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王曲街道中甘村崩塌地质灾害治理工程</w:t>
      </w:r>
    </w:p>
    <w:p>
      <w:pPr>
        <w:pStyle w:val="null3"/>
        <w:jc w:val="center"/>
        <w:outlineLvl w:val="2"/>
      </w:pPr>
      <w:r>
        <w:rPr>
          <w:b/>
          <w:sz w:val="28"/>
        </w:rPr>
        <w:t>采购项目编号：</w:t>
      </w:r>
      <w:r>
        <w:rPr>
          <w:b/>
          <w:sz w:val="28"/>
        </w:rPr>
        <w:t>SZT2024-SN-QC-ZC-GC-0086</w:t>
      </w:r>
      <w:r>
        <w:br/>
      </w:r>
      <w:r>
        <w:br/>
      </w:r>
      <w:r>
        <w:br/>
      </w:r>
    </w:p>
    <w:p>
      <w:pPr>
        <w:pStyle w:val="null3"/>
        <w:jc w:val="center"/>
        <w:outlineLvl w:val="2"/>
      </w:pPr>
      <w:r>
        <w:rPr>
          <w:b/>
          <w:sz w:val="28"/>
        </w:rPr>
        <w:t>西安市自然资源和规划局长安分局矿产资源管理站</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2024年02月28日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西安市自然资源和规划局长安分局矿产资源管理站</w:t>
      </w:r>
      <w:r>
        <w:rPr/>
        <w:t>委托，拟对</w:t>
      </w:r>
      <w:r>
        <w:rPr/>
        <w:t>王曲街道中甘村崩塌地质灾害治理工程</w:t>
      </w:r>
      <w:r>
        <w:rPr/>
        <w:t>采用竞争性磋商采购方式进行采购，兹邀请供应商参加本项目的竞争性磋商。</w:t>
      </w:r>
    </w:p>
    <w:p>
      <w:pPr>
        <w:pStyle w:val="null3"/>
        <w:outlineLvl w:val="2"/>
      </w:pPr>
      <w:r>
        <w:rPr>
          <w:b/>
          <w:sz w:val="28"/>
        </w:rPr>
        <w:t>一、采购项目编号：</w:t>
      </w:r>
      <w:r>
        <w:rPr>
          <w:b/>
          <w:sz w:val="28"/>
        </w:rPr>
        <w:t>SZT2024-SN-QC-ZC-GC-0086</w:t>
      </w:r>
    </w:p>
    <w:p>
      <w:pPr>
        <w:pStyle w:val="null3"/>
        <w:outlineLvl w:val="2"/>
      </w:pPr>
      <w:r>
        <w:rPr>
          <w:b/>
          <w:sz w:val="28"/>
        </w:rPr>
        <w:t>二、采购项目名称：</w:t>
      </w:r>
      <w:r>
        <w:rPr>
          <w:b/>
          <w:sz w:val="28"/>
        </w:rPr>
        <w:t>王曲街道中甘村崩塌地质灾害治理工程</w:t>
      </w:r>
    </w:p>
    <w:p>
      <w:pPr>
        <w:pStyle w:val="null3"/>
        <w:outlineLvl w:val="2"/>
      </w:pPr>
      <w:r>
        <w:rPr>
          <w:b/>
          <w:sz w:val="28"/>
        </w:rPr>
        <w:t>三、磋商项目简介</w:t>
      </w:r>
    </w:p>
    <w:p>
      <w:pPr>
        <w:pStyle w:val="null3"/>
        <w:ind w:firstLine="480"/>
      </w:pPr>
      <w:r>
        <w:rPr/>
        <w:t>长安区王曲街道中甘村崩塌治理工程，本项目位于西安市长安区王曲街道中甘村村委会北侧，崩塌体平面呈近西北~东南方向分布，分为两段。该崩塌防治工程等级为三级。项目建设内容主要包括:削坡工程、排水沟、窑洞回填、监测标石、护坡砖砌挡墙等工程相结合。</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代表参加投标的，须出具法定代表人授权书及授权代表身份证（法定代表人直接参加投标的，须出具法定代表人身份证）。：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供应商须具备地质灾害防治单位资质施工乙级以上资质（含乙级），并具备安全生产许可证。：供应商须具备地质灾害防治单位资质施工乙级以上资质（含乙级），并具备安全生产许可证。供应商需在项目电子化交易系统中按要求上传相应证明文件并进行电子签章。</w:t>
      </w:r>
    </w:p>
    <w:p>
      <w:pPr>
        <w:pStyle w:val="null3"/>
      </w:pPr>
      <w:r>
        <w:rPr/>
        <w:t>3、项目负责人须具备二级以上（含二级）水利水电工程专业或建筑工程专业注册建造师证书和项目经理安全生产考核合格证，且无在建工程（承诺书）。：项目负责人须具备二级以上（含二级）水利水电工程专业或建筑工程专业注册建造师证书和项目经理安全生产考核合格证，且无在建工程（承诺书）。供应商需在项目电子化交易系统中按要求上传相应证明文件并进行电子签章。</w:t>
      </w:r>
    </w:p>
    <w:p>
      <w:pPr>
        <w:pStyle w:val="null3"/>
      </w:pPr>
      <w:r>
        <w:rPr/>
        <w:t>4、本项目不接受联合体磋商。：本项目不接受联合体磋商。供应商需在项目电子化交易系统中按要求上传相应证明文件并进行电子签章。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西安市自然资源和规划局长安分局矿产资源管理站</w:t>
      </w:r>
    </w:p>
    <w:p>
      <w:pPr>
        <w:pStyle w:val="null3"/>
      </w:pPr>
      <w:r>
        <w:rPr/>
        <w:t xml:space="preserve"> 地址： </w:t>
      </w:r>
      <w:r>
        <w:rPr/>
        <w:t>长安区西长安街79号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13572984222</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招标代理机构交纳招标代理服务费。招标代理服务费的收取参见国家计委颁布的《招标代理服务收费管理暂行办法》（计价格[2002]1980号）和（发改办价格[2011]534号）中收费标准，按照中标金额差额定率累进法计算。此招标代理服务费应计入投标中，但不单列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西安市自然资源和规划局长安分局矿产资源管理站</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西安市自然资源和规划局长安分局矿产资源管理站</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西安市自然资源和规划局长安分局矿产资源管理站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详见采购合同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1,810,000.00</w:t>
      </w:r>
    </w:p>
    <w:p>
      <w:pPr>
        <w:pStyle w:val="null3"/>
      </w:pPr>
      <w:r>
        <w:rPr/>
        <w:t>采购包最高限价（元）: 1,808,827.95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王曲街道中甘村崩塌治理工程</w:t>
            </w:r>
          </w:p>
        </w:tc>
        <w:tc>
          <w:tcPr>
            <w:tcW w:type="dxa" w:w="1384"/>
          </w:tcPr>
          <w:p>
            <w:pPr>
              <w:pStyle w:val="null3"/>
              <w:jc w:val="right"/>
            </w:pPr>
            <w:r>
              <w:rPr/>
              <w:t>1.00</w:t>
            </w:r>
          </w:p>
        </w:tc>
        <w:tc>
          <w:tcPr>
            <w:tcW w:type="dxa" w:w="1384"/>
          </w:tcPr>
          <w:p>
            <w:pPr>
              <w:pStyle w:val="null3"/>
              <w:jc w:val="right"/>
            </w:pPr>
            <w:r>
              <w:rPr/>
              <w:t>1,810,000.00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标的名称：王曲街道中甘村崩塌治理工程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45" w:after="330"/>
              <w:jc w:val="center"/>
              <w:outlineLvl w:val="0"/>
            </w:pPr>
            <w:r>
              <w:rPr>
                <w:rFonts w:ascii="仿宋" w:hAnsi="仿宋" w:cs="仿宋" w:eastAsia="仿宋"/>
                <w:b/>
                <w:sz w:val="32"/>
              </w:rPr>
              <w:t>工程量清单</w:t>
            </w:r>
            <w:r>
              <w:rPr>
                <w:rFonts w:ascii="仿宋" w:hAnsi="仿宋" w:cs="仿宋" w:eastAsia="仿宋"/>
                <w:b/>
                <w:sz w:val="32"/>
              </w:rPr>
              <w:t>编制说明</w:t>
            </w:r>
          </w:p>
          <w:p>
            <w:pPr>
              <w:pStyle w:val="null3"/>
              <w:jc w:val="both"/>
            </w:pPr>
            <w:r>
              <w:rPr>
                <w:rFonts w:ascii="仿宋" w:hAnsi="仿宋" w:cs="仿宋" w:eastAsia="仿宋"/>
                <w:b/>
                <w:sz w:val="24"/>
              </w:rPr>
              <w:t>1、</w:t>
            </w:r>
            <w:r>
              <w:rPr>
                <w:rFonts w:ascii="仿宋" w:hAnsi="仿宋" w:cs="仿宋" w:eastAsia="仿宋"/>
                <w:b/>
                <w:sz w:val="24"/>
              </w:rPr>
              <w:t>工程概况</w:t>
            </w:r>
          </w:p>
          <w:p>
            <w:pPr>
              <w:pStyle w:val="null3"/>
              <w:ind w:firstLine="480"/>
              <w:jc w:val="both"/>
            </w:pPr>
            <w:r>
              <w:rPr>
                <w:rFonts w:ascii="仿宋" w:hAnsi="仿宋" w:cs="仿宋" w:eastAsia="仿宋"/>
                <w:color w:val="000000"/>
                <w:sz w:val="24"/>
              </w:rPr>
              <w:t>长安区王曲街道中甘村崩塌治理工程，本项目位于西安市长安区王曲街道中甘村村委会北侧，崩塌体平面呈近西北</w:t>
            </w:r>
            <w:r>
              <w:rPr>
                <w:rFonts w:ascii="仿宋" w:hAnsi="仿宋" w:cs="仿宋" w:eastAsia="仿宋"/>
                <w:color w:val="000000"/>
                <w:sz w:val="24"/>
              </w:rPr>
              <w:t>~东南方向分布，分为两段。该崩塌防治工程等级为三级。项目建设内容主要包括:削坡工程、排水沟、窑洞回填、监测标石、护坡砖砌挡墙等工程相结合。</w:t>
            </w:r>
          </w:p>
          <w:p>
            <w:pPr>
              <w:pStyle w:val="null3"/>
              <w:jc w:val="both"/>
            </w:pPr>
            <w:r>
              <w:rPr>
                <w:rFonts w:ascii="仿宋" w:hAnsi="仿宋" w:cs="仿宋" w:eastAsia="仿宋"/>
                <w:b/>
                <w:sz w:val="24"/>
              </w:rPr>
              <w:t>2、</w:t>
            </w:r>
            <w:r>
              <w:rPr>
                <w:rFonts w:ascii="仿宋" w:hAnsi="仿宋" w:cs="仿宋" w:eastAsia="仿宋"/>
                <w:b/>
                <w:sz w:val="24"/>
              </w:rPr>
              <w:t>编制依据</w:t>
            </w:r>
          </w:p>
          <w:p>
            <w:pPr>
              <w:pStyle w:val="null3"/>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color w:val="000000"/>
                <w:sz w:val="24"/>
              </w:rPr>
              <w:t>长安区王曲街道中甘村崩塌治理工程相关图纸；</w:t>
            </w:r>
          </w:p>
          <w:p>
            <w:pPr>
              <w:pStyle w:val="null3"/>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）陕西省发展和改革委员会关于《陕西省水利工程设计预算编制规定》</w:t>
            </w:r>
          </w:p>
          <w:p>
            <w:pPr>
              <w:pStyle w:val="null3"/>
              <w:jc w:val="both"/>
            </w:pPr>
            <w:r>
              <w:rPr>
                <w:rFonts w:ascii="仿宋" w:hAnsi="仿宋" w:cs="仿宋" w:eastAsia="仿宋"/>
                <w:sz w:val="24"/>
              </w:rPr>
              <w:t>《陕西省水利建筑工程预算定额》等计价依据的批复（陕发改项目</w:t>
            </w:r>
            <w:r>
              <w:rPr>
                <w:rFonts w:ascii="仿宋" w:hAnsi="仿宋" w:cs="仿宋" w:eastAsia="仿宋"/>
                <w:sz w:val="24"/>
              </w:rPr>
              <w:t>[2017]1606 号）；</w:t>
            </w:r>
          </w:p>
          <w:p>
            <w:pPr>
              <w:pStyle w:val="null3"/>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）《水利部办公厅关于调整水利工程计价依据增值税计算标准的通知》（办财务函</w:t>
            </w:r>
            <w:r>
              <w:rPr>
                <w:rFonts w:ascii="仿宋" w:hAnsi="仿宋" w:cs="仿宋" w:eastAsia="仿宋"/>
                <w:sz w:val="24"/>
              </w:rPr>
              <w:t>[2019]448 号）编制。</w:t>
            </w:r>
          </w:p>
          <w:p>
            <w:pPr>
              <w:pStyle w:val="null3"/>
              <w:jc w:val="left"/>
            </w:pPr>
            <w:r>
              <w:rPr>
                <w:rFonts w:ascii="仿宋" w:hAnsi="仿宋" w:cs="仿宋" w:eastAsia="仿宋"/>
                <w:b/>
                <w:sz w:val="24"/>
              </w:rPr>
              <w:t>3、</w:t>
            </w:r>
            <w:r>
              <w:rPr>
                <w:rFonts w:ascii="仿宋" w:hAnsi="仿宋" w:cs="仿宋" w:eastAsia="仿宋"/>
                <w:b/>
                <w:sz w:val="24"/>
              </w:rPr>
              <w:t>取费标准</w:t>
            </w:r>
          </w:p>
          <w:p>
            <w:pPr>
              <w:pStyle w:val="null3"/>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）其他直接费均以基本直接费为取费基础，取</w:t>
            </w:r>
            <w:r>
              <w:rPr>
                <w:rFonts w:ascii="仿宋" w:hAnsi="仿宋" w:cs="仿宋" w:eastAsia="仿宋"/>
                <w:sz w:val="24"/>
              </w:rPr>
              <w:t>4.5</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）间接费：均以直接费为取费基础，土方工程取</w:t>
            </w:r>
            <w:r>
              <w:rPr>
                <w:rFonts w:ascii="仿宋" w:hAnsi="仿宋" w:cs="仿宋" w:eastAsia="仿宋"/>
                <w:sz w:val="24"/>
              </w:rPr>
              <w:t>4</w:t>
            </w:r>
            <w:r>
              <w:rPr>
                <w:rFonts w:ascii="仿宋" w:hAnsi="仿宋" w:cs="仿宋" w:eastAsia="仿宋"/>
                <w:sz w:val="24"/>
              </w:rPr>
              <w:t>％，石方工程、</w:t>
            </w:r>
            <w:r>
              <w:rPr>
                <w:rFonts w:ascii="仿宋" w:hAnsi="仿宋" w:cs="仿宋" w:eastAsia="仿宋"/>
                <w:sz w:val="24"/>
              </w:rPr>
              <w:t>混凝土制作、疏浚工程、其他</w:t>
            </w:r>
            <w:r>
              <w:rPr>
                <w:rFonts w:ascii="仿宋" w:hAnsi="仿宋" w:cs="仿宋" w:eastAsia="仿宋"/>
                <w:sz w:val="24"/>
              </w:rPr>
              <w:t>取</w:t>
            </w:r>
            <w:r>
              <w:rPr>
                <w:rFonts w:ascii="仿宋" w:hAnsi="仿宋" w:cs="仿宋" w:eastAsia="仿宋"/>
                <w:sz w:val="24"/>
              </w:rPr>
              <w:t>6%，</w:t>
            </w:r>
            <w:r>
              <w:rPr>
                <w:rFonts w:ascii="仿宋" w:hAnsi="仿宋" w:cs="仿宋" w:eastAsia="仿宋"/>
                <w:sz w:val="24"/>
              </w:rPr>
              <w:t>模板工程、钢筋制作安装工程取</w:t>
            </w:r>
            <w:r>
              <w:rPr>
                <w:rFonts w:ascii="仿宋" w:hAnsi="仿宋" w:cs="仿宋" w:eastAsia="仿宋"/>
                <w:sz w:val="24"/>
              </w:rPr>
              <w:t>5</w:t>
            </w:r>
            <w:r>
              <w:rPr>
                <w:rFonts w:ascii="仿宋" w:hAnsi="仿宋" w:cs="仿宋" w:eastAsia="仿宋"/>
                <w:sz w:val="24"/>
              </w:rPr>
              <w:t>%，钻孔灌浆及锚固工程</w:t>
            </w:r>
            <w:r>
              <w:rPr>
                <w:rFonts w:ascii="仿宋" w:hAnsi="仿宋" w:cs="仿宋" w:eastAsia="仿宋"/>
                <w:sz w:val="24"/>
              </w:rPr>
              <w:t>取</w:t>
            </w:r>
            <w:r>
              <w:rPr>
                <w:rFonts w:ascii="仿宋" w:hAnsi="仿宋" w:cs="仿宋" w:eastAsia="仿宋"/>
                <w:sz w:val="24"/>
              </w:rPr>
              <w:t>9%，</w:t>
            </w:r>
            <w:r>
              <w:rPr>
                <w:rFonts w:ascii="仿宋" w:hAnsi="仿宋" w:cs="仿宋" w:eastAsia="仿宋"/>
                <w:sz w:val="24"/>
              </w:rPr>
              <w:t>设备安装工程取</w:t>
            </w:r>
            <w:r>
              <w:rPr>
                <w:rFonts w:ascii="仿宋" w:hAnsi="仿宋" w:cs="仿宋" w:eastAsia="仿宋"/>
                <w:sz w:val="24"/>
              </w:rPr>
              <w:t>60</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）利润取直接费与间接费之和的</w:t>
            </w:r>
            <w:r>
              <w:rPr>
                <w:rFonts w:ascii="仿宋" w:hAnsi="仿宋" w:cs="仿宋" w:eastAsia="仿宋"/>
                <w:sz w:val="24"/>
              </w:rPr>
              <w:t>5</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）税金取增值税销项税率</w:t>
            </w:r>
            <w:r>
              <w:rPr>
                <w:rFonts w:ascii="仿宋" w:hAnsi="仿宋" w:cs="仿宋" w:eastAsia="仿宋"/>
                <w:sz w:val="24"/>
              </w:rPr>
              <w:t>9％。</w:t>
            </w:r>
          </w:p>
          <w:p>
            <w:pPr>
              <w:pStyle w:val="null3"/>
              <w:jc w:val="left"/>
            </w:pPr>
            <w:r>
              <w:rPr>
                <w:rFonts w:ascii="仿宋" w:hAnsi="仿宋" w:cs="仿宋" w:eastAsia="仿宋"/>
                <w:b/>
                <w:sz w:val="24"/>
              </w:rPr>
              <w:t>4、特殊说明</w:t>
            </w:r>
          </w:p>
          <w:p>
            <w:pPr>
              <w:pStyle w:val="null3"/>
              <w:ind w:firstLine="480"/>
              <w:jc w:val="left"/>
            </w:pPr>
            <w:r>
              <w:rPr>
                <w:rFonts w:ascii="仿宋" w:hAnsi="仿宋" w:cs="仿宋" w:eastAsia="仿宋"/>
                <w:sz w:val="24"/>
              </w:rPr>
              <w:t>（</w:t>
            </w:r>
            <w:r>
              <w:rPr>
                <w:rFonts w:ascii="仿宋" w:hAnsi="仿宋" w:cs="仿宋" w:eastAsia="仿宋"/>
                <w:sz w:val="24"/>
              </w:rPr>
              <w:t>1</w:t>
            </w:r>
            <w:r>
              <w:rPr>
                <w:rFonts w:ascii="仿宋" w:hAnsi="仿宋" w:cs="仿宋" w:eastAsia="仿宋"/>
                <w:sz w:val="24"/>
              </w:rPr>
              <w:t>）临时工程</w:t>
            </w:r>
            <w:r>
              <w:rPr>
                <w:rFonts w:ascii="仿宋" w:hAnsi="仿宋" w:cs="仿宋" w:eastAsia="仿宋"/>
                <w:sz w:val="24"/>
              </w:rPr>
              <w:t>费</w:t>
            </w:r>
            <w:r>
              <w:rPr>
                <w:rFonts w:ascii="仿宋" w:hAnsi="仿宋" w:cs="仿宋" w:eastAsia="仿宋"/>
                <w:sz w:val="24"/>
              </w:rPr>
              <w:t>取建筑工程</w:t>
            </w:r>
            <w:r>
              <w:rPr>
                <w:rFonts w:ascii="仿宋" w:hAnsi="仿宋" w:cs="仿宋" w:eastAsia="仿宋"/>
                <w:sz w:val="24"/>
              </w:rPr>
              <w:t>费</w:t>
            </w:r>
            <w:r>
              <w:rPr>
                <w:rFonts w:ascii="仿宋" w:hAnsi="仿宋" w:cs="仿宋" w:eastAsia="仿宋"/>
                <w:sz w:val="24"/>
              </w:rPr>
              <w:t>的</w:t>
            </w:r>
            <w:r>
              <w:rPr>
                <w:rFonts w:ascii="仿宋" w:hAnsi="仿宋" w:cs="仿宋" w:eastAsia="仿宋"/>
                <w:sz w:val="24"/>
              </w:rPr>
              <w:t>2%；</w:t>
            </w:r>
          </w:p>
          <w:p>
            <w:pPr>
              <w:pStyle w:val="null3"/>
              <w:ind w:firstLine="480"/>
              <w:jc w:val="left"/>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shd w:fill="FFFFFF" w:val="clear"/>
              </w:rPr>
              <w:t>工程量清单</w:t>
            </w:r>
            <w:r>
              <w:rPr>
                <w:rFonts w:ascii="仿宋" w:hAnsi="仿宋" w:cs="仿宋" w:eastAsia="仿宋"/>
                <w:sz w:val="24"/>
              </w:rPr>
              <w:t>编制采用陕西省易投造价软件，</w:t>
            </w:r>
            <w:r>
              <w:rPr>
                <w:rFonts w:ascii="仿宋" w:hAnsi="仿宋" w:cs="仿宋" w:eastAsia="仿宋"/>
                <w:sz w:val="24"/>
              </w:rPr>
              <w:t>版本号</w:t>
            </w:r>
            <w:r>
              <w:rPr>
                <w:rFonts w:ascii="仿宋" w:hAnsi="仿宋" w:cs="仿宋" w:eastAsia="仿宋"/>
                <w:sz w:val="24"/>
              </w:rPr>
              <w:t>SXYT-20231020</w:t>
            </w:r>
            <w:r>
              <w:rPr>
                <w:rFonts w:ascii="仿宋" w:hAnsi="仿宋" w:cs="仿宋" w:eastAsia="仿宋"/>
                <w:sz w:val="24"/>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按照国家及行业相关标准执行。</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报价方式：最后报价方式。 投标报价： 1.本项目单价包括完成一个规定计量单位项目所需的人工费、材料费、机械费、企业管理费、利润、风险费用、规费、税金、安全文明措施专项费、协调费等所有费用。 2.超出最高限价将导致废标。 3.合同单价以磋商最终报价与一次报价的下浮比例，对所有单价进行同比例下浮，以下浮后的价格作为合同执行单价。 踏勘：本项目自行踏勘。 1. 供应商踏勘现场发生的费用自理。 2.供应商自行负责在踏勘现场中所发生的人员伤亡和财产损失。 3. 采购人在踏勘现场中介绍的工程场地和相关的周边环境情况，以作为供应商在编制磋商响应文件时参考，采购人不对供应商据此作出的判断和决策负责。</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2、具有良好的商业信誉和健全的财务会计制度（提供2022年度财务审计报告或银行资信证明或财政部门认可的政府采购专业担保机构出具的投标担保函）；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 供应商需在项目电子化交易系统中按要求上传相应证明文件并进行电子签章。</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度财务审计报告或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法定代表人授权代表参加投标的，须出具法定代表人授权书及授权代表身份证（法定代表人直接参加投标的，须出具法定代表人身份证）。</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2</w:t>
            </w:r>
          </w:p>
        </w:tc>
        <w:tc>
          <w:tcPr>
            <w:tcW w:type="dxa" w:w="2492"/>
          </w:tcPr>
          <w:p>
            <w:pPr>
              <w:pStyle w:val="null3"/>
            </w:pPr>
            <w:r>
              <w:rPr/>
              <w:t>供应商须具备地质灾害防治单位资质施工乙级以上资质（含乙级），并具备安全生产许可证。</w:t>
            </w:r>
          </w:p>
        </w:tc>
        <w:tc>
          <w:tcPr>
            <w:tcW w:type="dxa" w:w="3322"/>
          </w:tcPr>
          <w:p>
            <w:pPr>
              <w:pStyle w:val="null3"/>
            </w:pPr>
            <w:r>
              <w:rPr/>
              <w:t>供应商须具备地质灾害防治单位资质施工乙级以上资质（含乙级），并具备安全生产许可证。供应商需在项目电子化交易系统中按要求上传相应证明文件并进行电子签章。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项目负责人须具备二级以上（含二级）水利水电工程专业或建筑工程专业注册建造师证书和项目经理安全生产考核合格证，且无在建工程（承诺书）。</w:t>
            </w:r>
          </w:p>
        </w:tc>
        <w:tc>
          <w:tcPr>
            <w:tcW w:type="dxa" w:w="3322"/>
          </w:tcPr>
          <w:p>
            <w:pPr>
              <w:pStyle w:val="null3"/>
            </w:pPr>
            <w:r>
              <w:rPr/>
              <w:t>项目负责人须具备二级以上（含二级）水利水电工程专业或建筑工程专业注册建造师证书和项目经理安全生产考核合格证，且无在建工程（承诺书）。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4</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供应商为本项目提供的资格证明文件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预算书 标的清单</w:t>
            </w:r>
          </w:p>
        </w:tc>
      </w:tr>
      <w:tr>
        <w:tc>
          <w:tcPr>
            <w:tcW w:type="dxa" w:w="831"/>
          </w:tcPr>
          <w:p>
            <w:pPr>
              <w:pStyle w:val="null3"/>
            </w:pPr>
            <w:r>
              <w:rPr/>
              <w:t>2</w:t>
            </w:r>
          </w:p>
        </w:tc>
        <w:tc>
          <w:tcPr>
            <w:tcW w:type="dxa" w:w="2492"/>
          </w:tcPr>
          <w:p>
            <w:pPr>
              <w:pStyle w:val="null3"/>
            </w:pPr>
            <w:r>
              <w:rPr/>
              <w:t>计划工期是否响应</w:t>
            </w:r>
          </w:p>
        </w:tc>
        <w:tc>
          <w:tcPr>
            <w:tcW w:type="dxa" w:w="3322"/>
          </w:tcPr>
          <w:p>
            <w:pPr>
              <w:pStyle w:val="null3"/>
            </w:pPr>
            <w:r>
              <w:rPr/>
              <w:t>计划工期是否按磋商文件要求响应</w:t>
            </w:r>
          </w:p>
        </w:tc>
        <w:tc>
          <w:tcPr>
            <w:tcW w:type="dxa" w:w="1661"/>
          </w:tcPr>
          <w:p>
            <w:pPr>
              <w:pStyle w:val="null3"/>
            </w:pPr>
            <w:r>
              <w:rPr/>
              <w:t>商务偏离表 磋商报价表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商务偏离表 磋商报价表</w:t>
            </w:r>
          </w:p>
        </w:tc>
      </w:tr>
      <w:tr>
        <w:tc>
          <w:tcPr>
            <w:tcW w:type="dxa" w:w="831"/>
          </w:tcPr>
          <w:p>
            <w:pPr>
              <w:pStyle w:val="null3"/>
            </w:pPr>
            <w:r>
              <w:rPr/>
              <w:t>4</w:t>
            </w:r>
          </w:p>
        </w:tc>
        <w:tc>
          <w:tcPr>
            <w:tcW w:type="dxa" w:w="2492"/>
          </w:tcPr>
          <w:p>
            <w:pPr>
              <w:pStyle w:val="null3"/>
            </w:pPr>
            <w:r>
              <w:rPr/>
              <w:t>工程质量是否合格</w:t>
            </w:r>
          </w:p>
        </w:tc>
        <w:tc>
          <w:tcPr>
            <w:tcW w:type="dxa" w:w="3322"/>
          </w:tcPr>
          <w:p>
            <w:pPr>
              <w:pStyle w:val="null3"/>
            </w:pPr>
            <w:r>
              <w:rPr/>
              <w:t>工程质量是否承诺合格</w:t>
            </w:r>
          </w:p>
        </w:tc>
        <w:tc>
          <w:tcPr>
            <w:tcW w:type="dxa" w:w="1661"/>
          </w:tcPr>
          <w:p>
            <w:pPr>
              <w:pStyle w:val="null3"/>
            </w:pPr>
            <w:r>
              <w:rPr/>
              <w:t>商务偏离表 磋商报价表</w:t>
            </w:r>
          </w:p>
        </w:tc>
      </w:tr>
      <w:tr>
        <w:tc>
          <w:tcPr>
            <w:tcW w:type="dxa" w:w="831"/>
          </w:tcPr>
          <w:p>
            <w:pPr>
              <w:pStyle w:val="null3"/>
            </w:pPr>
            <w:r>
              <w:rPr/>
              <w:t>5</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商务偏离表 磋商报价表</w:t>
            </w:r>
          </w:p>
        </w:tc>
      </w:tr>
      <w:tr>
        <w:tc>
          <w:tcPr>
            <w:tcW w:type="dxa" w:w="831"/>
          </w:tcPr>
          <w:p>
            <w:pPr>
              <w:pStyle w:val="null3"/>
            </w:pPr>
            <w:r>
              <w:rPr/>
              <w:t>6</w:t>
            </w:r>
          </w:p>
        </w:tc>
        <w:tc>
          <w:tcPr>
            <w:tcW w:type="dxa" w:w="2492"/>
          </w:tcPr>
          <w:p>
            <w:pPr>
              <w:pStyle w:val="null3"/>
            </w:pPr>
            <w:r>
              <w:rPr/>
              <w:t>质保期是否响应</w:t>
            </w:r>
          </w:p>
        </w:tc>
        <w:tc>
          <w:tcPr>
            <w:tcW w:type="dxa" w:w="3322"/>
          </w:tcPr>
          <w:p>
            <w:pPr>
              <w:pStyle w:val="null3"/>
            </w:pPr>
            <w:r>
              <w:rPr/>
              <w:t>质保期是否响应磋商文件要求</w:t>
            </w:r>
          </w:p>
        </w:tc>
        <w:tc>
          <w:tcPr>
            <w:tcW w:type="dxa" w:w="1661"/>
          </w:tcPr>
          <w:p>
            <w:pPr>
              <w:pStyle w:val="null3"/>
            </w:pPr>
            <w:r>
              <w:rPr/>
              <w:t>商务偏离表 磋商报价表</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有符合本项目工程的质量管理目标和质量管理制度、主要工序的质量技术保证措施和手段。措施是否完备齐全、先进、合理、切实可行。在1.0～6.0分之间赋分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安全管理人员配备合理，制度健全，各道工序安全技术措施针对性强，符合实际且满足要求措施是否完备齐全、先进、合理、切实可行。在1.0～6.0分之间赋分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有现场文明施工计划和环境保护措施，且各项措施周全、具体、有效。在1.0～6.0分之间赋分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有保证工期的技术措施、组织措施及施工进度安排。措施是否完备齐全、先进、合理、切实可行。在1.0～6.0分之间赋分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施工方案</w:t>
            </w:r>
          </w:p>
        </w:tc>
        <w:tc>
          <w:tcPr>
            <w:tcW w:type="dxa" w:w="2492"/>
          </w:tcPr>
          <w:p>
            <w:pPr>
              <w:pStyle w:val="null3"/>
            </w:pPr>
            <w:r>
              <w:rPr/>
              <w:t>有完善、针对性强、切实可行的实施方案。在1.0～6.0分之间赋分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项目组织机构及项目经理部组成人员</w:t>
            </w:r>
          </w:p>
        </w:tc>
        <w:tc>
          <w:tcPr>
            <w:tcW w:type="dxa" w:w="2492"/>
          </w:tcPr>
          <w:p>
            <w:pPr>
              <w:pStyle w:val="null3"/>
            </w:pPr>
            <w:r>
              <w:rPr/>
              <w:t>人员齐备、专业配套、相关岗位证书齐全。在1.0～6.0分之间赋分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拟派项目组人员名单</w:t>
            </w:r>
          </w:p>
          <w:p>
            <w:pPr>
              <w:pStyle w:val="null3"/>
            </w:pPr>
            <w:r>
              <w:rPr/>
              <w:t>拟投入项目负责人及主要人员简历表</w:t>
            </w:r>
          </w:p>
          <w:p>
            <w:pPr>
              <w:pStyle w:val="null3"/>
            </w:pPr>
            <w:r>
              <w:rPr/>
              <w:t>施工组织设计</w:t>
            </w:r>
          </w:p>
        </w:tc>
      </w:tr>
      <w:tr>
        <w:tc>
          <w:tcPr>
            <w:tcW w:type="dxa" w:w="831"/>
            <w:vMerge/>
          </w:tcPr>
          <w:p/>
        </w:tc>
        <w:tc>
          <w:tcPr>
            <w:tcW w:type="dxa" w:w="1661"/>
          </w:tcPr>
          <w:p>
            <w:pPr>
              <w:pStyle w:val="null3"/>
            </w:pPr>
            <w:r>
              <w:rPr/>
              <w:t>施工机械配备</w:t>
            </w:r>
          </w:p>
        </w:tc>
        <w:tc>
          <w:tcPr>
            <w:tcW w:type="dxa" w:w="2492"/>
          </w:tcPr>
          <w:p>
            <w:pPr>
              <w:pStyle w:val="null3"/>
            </w:pPr>
            <w:r>
              <w:rPr/>
              <w:t>投入的施工机械、设备、机具有详细计划周密，设备数量、选型配置、进场数量、时间安排合理满足施工需求。在1.0～6.0分之间赋分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施工进度表或施工网络图，安排科学合理符合本项目施工实际要求。在1.0～6.0分之间赋分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劳动力安排合理妥当，时间安排合理满足施工需求。在1.0～6.0分之间赋分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拟派项目组人员名单</w:t>
            </w:r>
          </w:p>
          <w:p>
            <w:pPr>
              <w:pStyle w:val="null3"/>
            </w:pPr>
            <w:r>
              <w:rPr/>
              <w:t>拟投入项目负责人及主要人员简历表</w:t>
            </w:r>
          </w:p>
          <w:p>
            <w:pPr>
              <w:pStyle w:val="null3"/>
            </w:pPr>
            <w:r>
              <w:rPr/>
              <w:t>施工组织设计</w:t>
            </w:r>
          </w:p>
        </w:tc>
      </w:tr>
      <w:tr>
        <w:tc>
          <w:tcPr>
            <w:tcW w:type="dxa" w:w="831"/>
            <w:vMerge/>
          </w:tcPr>
          <w:p/>
        </w:tc>
        <w:tc>
          <w:tcPr>
            <w:tcW w:type="dxa" w:w="1661"/>
          </w:tcPr>
          <w:p>
            <w:pPr>
              <w:pStyle w:val="null3"/>
            </w:pPr>
            <w:r>
              <w:rPr/>
              <w:t>新技术、新产品、新工艺、新材料应用及施工现场扬尘预防措施</w:t>
            </w:r>
          </w:p>
        </w:tc>
        <w:tc>
          <w:tcPr>
            <w:tcW w:type="dxa" w:w="2492"/>
          </w:tcPr>
          <w:p>
            <w:pPr>
              <w:pStyle w:val="null3"/>
            </w:pPr>
            <w:r>
              <w:rPr/>
              <w:t>施工单位应用的技术、产品、工艺、材料等先进科学，并有合理的施工现场扬尘预防措施。在1.0～6.0分之间赋分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2020年1月1日至今相关项目的业绩，提供合同复印件并加盖公章，每个业绩得2分，共10分，未提供的不得分。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满足磋商文件要求且最后的磋商报价最低的投标价为评审基准价，其价格分为满分。 磋商报价得分=（评审基准价/磋商报价）×价格权值×100。符合招标文件规定的小微企业、监狱企业等优惠条件的投标人，价格给予3%的扣除，用扣除后的价格参与评审。</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预算书</w:t>
            </w:r>
          </w:p>
          <w:p>
            <w:pPr>
              <w:pStyle w:val="null3"/>
            </w:pPr>
            <w:r>
              <w:rPr/>
              <w:t>磋商报价表</w:t>
            </w:r>
          </w:p>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详见附件：承诺书</w:t>
      </w:r>
    </w:p>
    <w:p>
      <w:pPr>
        <w:pStyle w:val="null3"/>
        <w:ind w:firstLine="960"/>
      </w:pPr>
      <w:r>
        <w:rPr/>
        <w:t>详见附件：供应商为本项目提供的资格证明文件</w:t>
      </w:r>
    </w:p>
    <w:p>
      <w:pPr>
        <w:pStyle w:val="null3"/>
        <w:ind w:firstLine="960"/>
      </w:pPr>
      <w:r>
        <w:rPr/>
        <w:t>详见附件：拟派项目组人员名单</w:t>
      </w:r>
    </w:p>
    <w:p>
      <w:pPr>
        <w:pStyle w:val="null3"/>
        <w:ind w:firstLine="960"/>
      </w:pPr>
      <w:r>
        <w:rPr/>
        <w:t>详见附件：拟投入项目负责人及主要人员简历表</w:t>
      </w:r>
    </w:p>
    <w:p>
      <w:pPr>
        <w:pStyle w:val="null3"/>
        <w:ind w:firstLine="960"/>
      </w:pPr>
      <w:r>
        <w:rPr/>
        <w:t>详见附件：商务偏离表</w:t>
      </w:r>
    </w:p>
    <w:p>
      <w:pPr>
        <w:pStyle w:val="null3"/>
        <w:ind w:firstLine="960"/>
      </w:pPr>
      <w:r>
        <w:rPr/>
        <w:t>详见附件：施工组织设计</w:t>
      </w:r>
    </w:p>
    <w:p>
      <w:pPr>
        <w:pStyle w:val="null3"/>
        <w:ind w:firstLine="960"/>
      </w:pPr>
      <w:r>
        <w:rPr/>
        <w:t>详见附件：业绩表</w:t>
      </w:r>
    </w:p>
    <w:p>
      <w:pPr>
        <w:pStyle w:val="null3"/>
        <w:ind w:firstLine="960"/>
      </w:pPr>
      <w:r>
        <w:rPr/>
        <w:t>详见附件：预算书</w:t>
      </w:r>
    </w:p>
    <w:p>
      <w:pPr>
        <w:pStyle w:val="null3"/>
        <w:ind w:firstLine="960"/>
      </w:pPr>
      <w:r>
        <w:rPr/>
        <w:t>详见附件：磋商报价表</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