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西咸院区信息系统建设-医联体医院医生工作站采购项目</w:t>
      </w:r>
    </w:p>
    <w:p>
      <w:pPr>
        <w:pStyle w:val="null3"/>
        <w:jc w:val="center"/>
        <w:outlineLvl w:val="2"/>
      </w:pPr>
      <w:r>
        <w:rPr>
          <w:b/>
          <w:sz w:val="28"/>
        </w:rPr>
        <w:t>采购项目编号：</w:t>
      </w:r>
      <w:r>
        <w:rPr>
          <w:b/>
          <w:sz w:val="28"/>
        </w:rPr>
        <w:t>SZT2024-SN-SC-ZC-HW-0098</w:t>
      </w:r>
      <w:r>
        <w:br/>
      </w:r>
      <w:r>
        <w:br/>
      </w:r>
      <w:r>
        <w:br/>
      </w:r>
    </w:p>
    <w:p>
      <w:pPr>
        <w:pStyle w:val="null3"/>
        <w:jc w:val="center"/>
        <w:outlineLvl w:val="2"/>
      </w:pPr>
      <w:r>
        <w:rPr>
          <w:b/>
          <w:sz w:val="28"/>
        </w:rPr>
        <w:t>陕西省人民医院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2024年04月22日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陕西省人民医院</w:t>
      </w:r>
      <w:r>
        <w:rPr/>
        <w:t>委托，拟对</w:t>
      </w:r>
      <w:r>
        <w:rPr/>
        <w:t>西咸院区信息系统建设-医联体医院医生工作站采购项目</w:t>
      </w:r>
      <w:r>
        <w:rPr/>
        <w:t>进行国内公开招标，兹邀请符合本次招标要求的供应商参加投标。</w:t>
      </w:r>
    </w:p>
    <w:p>
      <w:pPr>
        <w:pStyle w:val="null3"/>
        <w:outlineLvl w:val="2"/>
      </w:pPr>
      <w:r>
        <w:rPr>
          <w:b/>
          <w:sz w:val="28"/>
        </w:rPr>
        <w:t>一、采购项目编号：</w:t>
      </w:r>
      <w:r>
        <w:rPr>
          <w:b/>
          <w:sz w:val="28"/>
        </w:rPr>
        <w:t>SZT2024-SN-SC-ZC-HW-0098</w:t>
      </w:r>
    </w:p>
    <w:p>
      <w:pPr>
        <w:pStyle w:val="null3"/>
        <w:outlineLvl w:val="2"/>
      </w:pPr>
      <w:r>
        <w:rPr>
          <w:b/>
          <w:sz w:val="28"/>
        </w:rPr>
        <w:t>二、采购项目名称：</w:t>
      </w:r>
      <w:r>
        <w:rPr>
          <w:b/>
          <w:sz w:val="28"/>
        </w:rPr>
        <w:t>西咸院区信息系统建设-医联体医院医生工作站采购项目</w:t>
      </w:r>
    </w:p>
    <w:p>
      <w:pPr>
        <w:pStyle w:val="null3"/>
        <w:outlineLvl w:val="2"/>
      </w:pPr>
      <w:r>
        <w:rPr>
          <w:b/>
          <w:sz w:val="28"/>
        </w:rPr>
        <w:t>三、招标项目简介</w:t>
      </w:r>
    </w:p>
    <w:p>
      <w:pPr>
        <w:pStyle w:val="null3"/>
        <w:ind w:firstLine="480"/>
      </w:pPr>
      <w:r>
        <w:rPr/>
        <w:t>陕西省人民医院西咸院区信息系统建设-医联体医院医生工作站采购项目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85253261-3382</w:t>
      </w:r>
    </w:p>
    <w:p>
      <w:pPr>
        <w:pStyle w:val="null3"/>
        <w:outlineLvl w:val="2"/>
      </w:pPr>
      <w:r>
        <w:rPr>
          <w:b/>
          <w:sz w:val="28"/>
        </w:rPr>
        <w:t>代理机构：</w:t>
      </w:r>
      <w:r>
        <w:rPr>
          <w:b/>
          <w:sz w:val="28"/>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方雨、李文俊</w:t>
      </w:r>
    </w:p>
    <w:p>
      <w:pPr>
        <w:pStyle w:val="null3"/>
      </w:pPr>
      <w:r>
        <w:rPr/>
        <w:t xml:space="preserve"> 联系电话： </w:t>
      </w:r>
      <w:r>
        <w:rPr/>
        <w:t>029-88364979-879</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开户银行：中国银行团结南路支行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招标代理服务费收取按照国家计委颁布的《招标代理服务收费管理暂行办法》（计价格[2002]1980号）和（发改办价格[2003]857号）货物类收费标准。按照预算金额差额定率累进法计算（预算金额≤100万元的，正常计取；100＜预算金额≤500万元的，下浮20%计取；500＜预算金额≤1000万元的，下浮25%计取；1000＞预算金额的，下浮30%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医生工作站采购</w:t>
      </w:r>
    </w:p>
    <w:p>
      <w:pPr>
        <w:pStyle w:val="null3"/>
        <w:outlineLvl w:val="2"/>
      </w:pPr>
      <w:r>
        <w:rPr>
          <w:b/>
          <w:sz w:val="28"/>
        </w:rPr>
        <w:t>3.2采购内容</w:t>
      </w:r>
    </w:p>
    <w:p>
      <w:pPr>
        <w:pStyle w:val="null3"/>
      </w:pPr>
      <w:r>
        <w:rPr/>
        <w:t>采购包1：</w:t>
      </w:r>
    </w:p>
    <w:p>
      <w:pPr>
        <w:pStyle w:val="null3"/>
      </w:pPr>
      <w:r>
        <w:rPr/>
        <w:t>采购包预算金额（元）: 880,000.00</w:t>
      </w:r>
    </w:p>
    <w:p>
      <w:pPr>
        <w:pStyle w:val="null3"/>
      </w:pPr>
      <w:r>
        <w:rPr/>
        <w:t>采购包最高限价（元）: 750,530.00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西咸院区信息系统建设-医联体医院医生工作站</w:t>
            </w:r>
          </w:p>
        </w:tc>
        <w:tc>
          <w:tcPr>
            <w:tcW w:type="dxa" w:w="831"/>
          </w:tcPr>
          <w:p>
            <w:pPr>
              <w:pStyle w:val="null3"/>
              <w:jc w:val="right"/>
            </w:pPr>
            <w:r>
              <w:rPr/>
              <w:t>1.00</w:t>
            </w:r>
          </w:p>
        </w:tc>
        <w:tc>
          <w:tcPr>
            <w:tcW w:type="dxa" w:w="831"/>
          </w:tcPr>
          <w:p>
            <w:pPr>
              <w:pStyle w:val="null3"/>
              <w:jc w:val="right"/>
            </w:pPr>
            <w:r>
              <w:rPr/>
              <w:t>880,000.00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标的名称：西咸院区信息系统建设-医联体医院医生工作站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81"/>
              <w:jc w:val="both"/>
            </w:pPr>
            <w:r>
              <w:rPr>
                <w:rFonts w:ascii="宋体" w:hAnsi="宋体" w:cs="宋体" w:eastAsia="宋体"/>
                <w:b/>
                <w:sz w:val="24"/>
              </w:rPr>
              <w:t>本次项目建设内容及要求如下：</w:t>
            </w:r>
          </w:p>
          <w:p>
            <w:pPr>
              <w:pStyle w:val="null3"/>
              <w:ind w:firstLine="480"/>
            </w:pPr>
            <w:r>
              <w:rPr>
                <w:rFonts w:ascii="宋体" w:hAnsi="宋体" w:cs="宋体" w:eastAsia="宋体"/>
                <w:sz w:val="24"/>
              </w:rPr>
              <w:t>应业务开展的需求，陕西省人民医院需将下辖的</w:t>
            </w:r>
            <w:r>
              <w:rPr>
                <w:rFonts w:ascii="宋体" w:hAnsi="宋体" w:cs="宋体" w:eastAsia="宋体"/>
                <w:sz w:val="24"/>
              </w:rPr>
              <w:t>2</w:t>
            </w:r>
            <w:r>
              <w:rPr>
                <w:rFonts w:ascii="宋体" w:hAnsi="宋体" w:cs="宋体" w:eastAsia="宋体"/>
                <w:sz w:val="24"/>
              </w:rPr>
              <w:t>2</w:t>
            </w:r>
            <w:r>
              <w:rPr>
                <w:rFonts w:ascii="宋体" w:hAnsi="宋体" w:cs="宋体" w:eastAsia="宋体"/>
                <w:sz w:val="24"/>
              </w:rPr>
              <w:t>个卫生服务站</w:t>
            </w:r>
            <w:r>
              <w:rPr>
                <w:rFonts w:ascii="宋体" w:hAnsi="宋体" w:cs="宋体" w:eastAsia="宋体"/>
                <w:color w:val="262626"/>
                <w:sz w:val="24"/>
              </w:rPr>
              <w:t>接入到总院区，访问</w:t>
            </w:r>
            <w:r>
              <w:rPr>
                <w:rFonts w:ascii="宋体" w:hAnsi="宋体" w:cs="宋体" w:eastAsia="宋体"/>
                <w:color w:val="262626"/>
                <w:sz w:val="24"/>
              </w:rPr>
              <w:t>H</w:t>
            </w:r>
            <w:r>
              <w:rPr>
                <w:rFonts w:ascii="宋体" w:hAnsi="宋体" w:cs="宋体" w:eastAsia="宋体"/>
                <w:color w:val="262626"/>
                <w:sz w:val="24"/>
              </w:rPr>
              <w:t>IS</w:t>
            </w:r>
            <w:r>
              <w:rPr>
                <w:rFonts w:ascii="宋体" w:hAnsi="宋体" w:cs="宋体" w:eastAsia="宋体"/>
                <w:color w:val="262626"/>
                <w:sz w:val="24"/>
              </w:rPr>
              <w:t>业务资源；考虑到经济因素，卫生服务站与总院区间通过广域网进行连接，由于传输的涉及患者敏感数据，需要在广域网链路上对传输的数据进行加密，以确保患者数据的安全。</w:t>
            </w:r>
          </w:p>
          <w:p>
            <w:pPr>
              <w:pStyle w:val="null3"/>
              <w:ind w:firstLine="480"/>
            </w:pPr>
            <w:r>
              <w:rPr>
                <w:rFonts w:ascii="宋体" w:hAnsi="宋体" w:cs="宋体" w:eastAsia="宋体"/>
                <w:color w:val="262626"/>
                <w:sz w:val="24"/>
              </w:rPr>
              <w:t>本次建设在总部新部署一台高性能</w:t>
            </w:r>
            <w:r>
              <w:rPr>
                <w:rFonts w:ascii="宋体" w:hAnsi="宋体" w:cs="宋体" w:eastAsia="宋体"/>
                <w:color w:val="262626"/>
                <w:sz w:val="24"/>
              </w:rPr>
              <w:t>V</w:t>
            </w:r>
            <w:r>
              <w:rPr>
                <w:rFonts w:ascii="宋体" w:hAnsi="宋体" w:cs="宋体" w:eastAsia="宋体"/>
                <w:color w:val="262626"/>
                <w:sz w:val="24"/>
              </w:rPr>
              <w:t>PN</w:t>
            </w:r>
            <w:r>
              <w:rPr>
                <w:rFonts w:ascii="宋体" w:hAnsi="宋体" w:cs="宋体" w:eastAsia="宋体"/>
                <w:color w:val="262626"/>
                <w:sz w:val="24"/>
              </w:rPr>
              <w:t>设备，实现对</w:t>
            </w:r>
            <w:r>
              <w:rPr>
                <w:rFonts w:ascii="宋体" w:hAnsi="宋体" w:cs="宋体" w:eastAsia="宋体"/>
                <w:color w:val="262626"/>
                <w:sz w:val="24"/>
              </w:rPr>
              <w:t>2</w:t>
            </w:r>
            <w:r>
              <w:rPr>
                <w:rFonts w:ascii="宋体" w:hAnsi="宋体" w:cs="宋体" w:eastAsia="宋体"/>
                <w:color w:val="262626"/>
                <w:sz w:val="24"/>
              </w:rPr>
              <w:t>2</w:t>
            </w:r>
            <w:r>
              <w:rPr>
                <w:rFonts w:ascii="宋体" w:hAnsi="宋体" w:cs="宋体" w:eastAsia="宋体"/>
                <w:color w:val="262626"/>
                <w:sz w:val="24"/>
              </w:rPr>
              <w:t>个卫生服务站的接入，考虑到业务的可靠性，要求本次新增的防火墙可以与医院现有的</w:t>
            </w:r>
            <w:r>
              <w:rPr>
                <w:rFonts w:ascii="宋体" w:hAnsi="宋体" w:cs="宋体" w:eastAsia="宋体"/>
                <w:color w:val="262626"/>
                <w:sz w:val="24"/>
              </w:rPr>
              <w:t>H</w:t>
            </w:r>
            <w:r>
              <w:rPr>
                <w:rFonts w:ascii="宋体" w:hAnsi="宋体" w:cs="宋体" w:eastAsia="宋体"/>
                <w:color w:val="262626"/>
                <w:sz w:val="24"/>
              </w:rPr>
              <w:t>3C Secpath F5000</w:t>
            </w:r>
            <w:r>
              <w:rPr>
                <w:rFonts w:ascii="宋体" w:hAnsi="宋体" w:cs="宋体" w:eastAsia="宋体"/>
                <w:color w:val="262626"/>
                <w:sz w:val="24"/>
              </w:rPr>
              <w:t>防火墙堆叠成一台设备，构成双活的</w:t>
            </w:r>
            <w:r>
              <w:rPr>
                <w:rFonts w:ascii="宋体" w:hAnsi="宋体" w:cs="宋体" w:eastAsia="宋体"/>
                <w:color w:val="262626"/>
                <w:sz w:val="24"/>
              </w:rPr>
              <w:t>V</w:t>
            </w:r>
            <w:r>
              <w:rPr>
                <w:rFonts w:ascii="宋体" w:hAnsi="宋体" w:cs="宋体" w:eastAsia="宋体"/>
                <w:color w:val="262626"/>
                <w:sz w:val="24"/>
              </w:rPr>
              <w:t>PN</w:t>
            </w:r>
            <w:r>
              <w:rPr>
                <w:rFonts w:ascii="宋体" w:hAnsi="宋体" w:cs="宋体" w:eastAsia="宋体"/>
                <w:color w:val="262626"/>
                <w:sz w:val="24"/>
              </w:rPr>
              <w:t>接入平台；</w:t>
            </w:r>
          </w:p>
          <w:p>
            <w:pPr>
              <w:pStyle w:val="null3"/>
              <w:ind w:firstLine="480"/>
            </w:pPr>
            <w:r>
              <w:rPr>
                <w:rFonts w:ascii="宋体" w:hAnsi="宋体" w:cs="宋体" w:eastAsia="宋体"/>
                <w:color w:val="262626"/>
                <w:sz w:val="24"/>
              </w:rPr>
              <w:t>在省医院部署的中心侧</w:t>
            </w:r>
            <w:r>
              <w:rPr>
                <w:rFonts w:ascii="宋体" w:hAnsi="宋体" w:cs="宋体" w:eastAsia="宋体"/>
                <w:color w:val="262626"/>
                <w:sz w:val="24"/>
              </w:rPr>
              <w:t>VPN设备与卫生服务站的V</w:t>
            </w:r>
            <w:r>
              <w:rPr>
                <w:rFonts w:ascii="宋体" w:hAnsi="宋体" w:cs="宋体" w:eastAsia="宋体"/>
                <w:color w:val="262626"/>
                <w:sz w:val="24"/>
              </w:rPr>
              <w:t>PN</w:t>
            </w:r>
            <w:r>
              <w:rPr>
                <w:rFonts w:ascii="宋体" w:hAnsi="宋体" w:cs="宋体" w:eastAsia="宋体"/>
                <w:color w:val="262626"/>
                <w:sz w:val="24"/>
              </w:rPr>
              <w:t>设备，实现卫生服务站与省医院之间交互数据采用国密算法进行加密，满足</w:t>
            </w:r>
            <w:r>
              <w:rPr>
                <w:rFonts w:ascii="宋体" w:hAnsi="宋体" w:cs="宋体" w:eastAsia="宋体"/>
                <w:color w:val="262626"/>
                <w:sz w:val="24"/>
              </w:rPr>
              <w:t>“商用密码应用安全性评估”要求；</w:t>
            </w:r>
          </w:p>
          <w:p>
            <w:pPr>
              <w:pStyle w:val="null3"/>
              <w:ind w:left="135"/>
            </w:pPr>
            <w:r>
              <w:rPr/>
              <w:t xml:space="preserve">    </w:t>
            </w:r>
            <w:r>
              <w:rPr>
                <w:rFonts w:ascii="宋体" w:hAnsi="宋体" w:cs="宋体" w:eastAsia="宋体"/>
                <w:sz w:val="24"/>
              </w:rPr>
              <w:t>在省医院中心侧的奇安信终端安全管理系统上扩展</w:t>
            </w:r>
            <w:r>
              <w:rPr>
                <w:rFonts w:ascii="宋体" w:hAnsi="宋体" w:cs="宋体" w:eastAsia="宋体"/>
                <w:sz w:val="24"/>
              </w:rPr>
              <w:t>2</w:t>
            </w:r>
            <w:r>
              <w:rPr>
                <w:rFonts w:ascii="宋体" w:hAnsi="宋体" w:cs="宋体" w:eastAsia="宋体"/>
                <w:sz w:val="24"/>
              </w:rPr>
              <w:t>00</w:t>
            </w:r>
            <w:r>
              <w:rPr>
                <w:rFonts w:ascii="宋体" w:hAnsi="宋体" w:cs="宋体" w:eastAsia="宋体"/>
                <w:sz w:val="24"/>
              </w:rPr>
              <w:t>节点授权，实现对</w:t>
            </w:r>
            <w:r>
              <w:rPr>
                <w:rFonts w:ascii="宋体" w:hAnsi="宋体" w:cs="宋体" w:eastAsia="宋体"/>
                <w:sz w:val="24"/>
              </w:rPr>
              <w:t>2</w:t>
            </w:r>
            <w:r>
              <w:rPr>
                <w:rFonts w:ascii="宋体" w:hAnsi="宋体" w:cs="宋体" w:eastAsia="宋体"/>
                <w:sz w:val="24"/>
              </w:rPr>
              <w:t>2</w:t>
            </w:r>
            <w:r>
              <w:rPr>
                <w:rFonts w:ascii="宋体" w:hAnsi="宋体" w:cs="宋体" w:eastAsia="宋体"/>
                <w:sz w:val="24"/>
              </w:rPr>
              <w:t>个卫生服务站接入终端的安全检测及防护，以及外设管理，提升卫生服务站接入省医院的安全性；</w:t>
            </w:r>
          </w:p>
          <w:p>
            <w:pPr>
              <w:pStyle w:val="null3"/>
              <w:jc w:val="both"/>
            </w:pPr>
            <w:r>
              <w:rPr>
                <w:rFonts w:ascii="calibri" w:hAnsi="calibri" w:cs="calibri" w:eastAsia="calibri"/>
                <w:sz w:val="21"/>
              </w:rPr>
              <w:t xml:space="preserve">     </w:t>
            </w:r>
            <w:r>
              <w:rPr>
                <w:rFonts w:ascii="宋体" w:hAnsi="宋体" w:cs="宋体" w:eastAsia="宋体"/>
                <w:sz w:val="24"/>
              </w:rPr>
              <w:t>在</w:t>
            </w:r>
            <w:r>
              <w:rPr>
                <w:rFonts w:ascii="宋体" w:hAnsi="宋体" w:cs="宋体" w:eastAsia="宋体"/>
                <w:sz w:val="24"/>
              </w:rPr>
              <w:t>2</w:t>
            </w:r>
            <w:r>
              <w:rPr>
                <w:rFonts w:ascii="宋体" w:hAnsi="宋体" w:cs="宋体" w:eastAsia="宋体"/>
                <w:sz w:val="24"/>
              </w:rPr>
              <w:t>2</w:t>
            </w:r>
            <w:r>
              <w:rPr>
                <w:rFonts w:ascii="宋体" w:hAnsi="宋体" w:cs="宋体" w:eastAsia="宋体"/>
                <w:sz w:val="24"/>
              </w:rPr>
              <w:t>个卫生服务站，每个站新配置</w:t>
            </w:r>
            <w:r>
              <w:rPr>
                <w:rFonts w:ascii="宋体" w:hAnsi="宋体" w:cs="宋体" w:eastAsia="宋体"/>
                <w:sz w:val="24"/>
              </w:rPr>
              <w:t>1台8口千兆接入交换机，服务商须根据每个工作站实际需要，提供布线等相关工作，保证每个卫生服务站的业务良好开展；</w:t>
            </w:r>
          </w:p>
          <w:p>
            <w:pPr>
              <w:pStyle w:val="null3"/>
              <w:jc w:val="both"/>
            </w:pPr>
          </w:p>
        </w:tc>
      </w:tr>
      <w:tr>
        <w:tc>
          <w:tcPr>
            <w:tcW w:type="dxa" w:w="2769"/>
          </w:tcPr>
          <w:p/>
        </w:tc>
        <w:tc>
          <w:tcPr>
            <w:tcW w:type="dxa" w:w="2769"/>
          </w:tcPr>
          <w:p>
            <w:pPr>
              <w:pStyle w:val="null3"/>
            </w:pPr>
            <w:r>
              <w:rPr/>
              <w:t>2</w:t>
            </w:r>
          </w:p>
        </w:tc>
        <w:tc>
          <w:tcPr>
            <w:tcW w:type="dxa" w:w="2769"/>
          </w:tcPr>
          <w:p>
            <w:pPr>
              <w:pStyle w:val="null3"/>
              <w:ind w:firstLine="480"/>
              <w:jc w:val="both"/>
            </w:pPr>
            <w:r>
              <w:rPr>
                <w:rFonts w:ascii="宋体" w:hAnsi="宋体" w:cs="宋体" w:eastAsia="宋体"/>
                <w:sz w:val="24"/>
              </w:rPr>
              <w:t>本次采购设备清单如下：</w:t>
            </w:r>
          </w:p>
          <w:tbl>
            <w:tblPr>
              <w:tblBorders>
                <w:top w:val="none" w:color="000000" w:sz="4"/>
                <w:left w:val="none" w:color="000000" w:sz="4"/>
                <w:bottom w:val="none" w:color="000000" w:sz="4"/>
                <w:right w:val="none" w:color="000000" w:sz="4"/>
                <w:insideH w:val="none"/>
                <w:insideV w:val="none"/>
              </w:tblBorders>
            </w:tblPr>
            <w:tblGrid>
              <w:gridCol w:w="287"/>
              <w:gridCol w:w="953"/>
              <w:gridCol w:w="372"/>
              <w:gridCol w:w="299"/>
              <w:gridCol w:w="476"/>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设备名称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预估</w:t>
                  </w:r>
                  <w:r>
                    <w:rPr>
                      <w:rFonts w:ascii="宋体" w:hAnsi="宋体" w:cs="宋体" w:eastAsia="宋体"/>
                      <w:b/>
                      <w:color w:val="000000"/>
                      <w:sz w:val="24"/>
                    </w:rPr>
                    <w:t>数量</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单位</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备注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中心侧</w:t>
                  </w:r>
                  <w:r>
                    <w:rPr>
                      <w:rFonts w:ascii="宋体" w:hAnsi="宋体" w:cs="宋体" w:eastAsia="宋体"/>
                      <w:color w:val="000000"/>
                      <w:sz w:val="24"/>
                    </w:rPr>
                    <w:t>VPN设备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卫生服务站</w:t>
                  </w:r>
                  <w:r>
                    <w:rPr>
                      <w:rFonts w:ascii="宋体" w:hAnsi="宋体" w:cs="宋体" w:eastAsia="宋体"/>
                      <w:color w:val="000000"/>
                      <w:sz w:val="24"/>
                    </w:rPr>
                    <w:t>VPN设备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22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核心产品</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接入交换机</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22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终端安全管理系统</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24"/>
                    </w:rPr>
                    <w:t>套</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b/>
                <w:sz w:val="24"/>
              </w:rPr>
              <w:t>中心侧</w:t>
            </w:r>
            <w:r>
              <w:rPr>
                <w:rFonts w:ascii="宋体" w:hAnsi="宋体" w:cs="宋体" w:eastAsia="宋体"/>
                <w:b/>
                <w:sz w:val="24"/>
              </w:rPr>
              <w:t>VPN设备</w:t>
            </w:r>
          </w:p>
          <w:tbl>
            <w:tblPr>
              <w:tblBorders>
                <w:top w:val="none" w:color="000000" w:sz="4"/>
                <w:left w:val="none" w:color="000000" w:sz="4"/>
                <w:bottom w:val="none" w:color="000000" w:sz="4"/>
                <w:right w:val="none" w:color="000000" w:sz="4"/>
                <w:insideH w:val="none"/>
                <w:insideV w:val="none"/>
              </w:tblBorders>
            </w:tblPr>
            <w:tblGrid>
              <w:gridCol w:w="249"/>
              <w:gridCol w:w="550"/>
              <w:gridCol w:w="1743"/>
            </w:tblGrid>
            <w:tr>
              <w:tc>
                <w:tcPr>
                  <w:tcW w:type="dxa" w:w="249"/>
                  <w:tcBorders>
                    <w:top w:val="single" w:color="000000" w:sz="4"/>
                    <w:left w:val="singl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550"/>
                  <w:tcBorders>
                    <w:top w:val="single" w:color="000000" w:sz="4"/>
                    <w:left w:val="non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项目</w:t>
                  </w:r>
                </w:p>
              </w:tc>
              <w:tc>
                <w:tcPr>
                  <w:tcW w:type="dxa" w:w="1743"/>
                  <w:tcBorders>
                    <w:top w:val="single" w:color="000000" w:sz="4"/>
                    <w:left w:val="non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技术参数要求</w:t>
                  </w:r>
                </w:p>
              </w:tc>
            </w:tr>
            <w:tr>
              <w:tc>
                <w:tcPr>
                  <w:tcW w:type="dxa" w:w="249"/>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550"/>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硬件</w:t>
                  </w:r>
                  <w:r>
                    <w:rPr>
                      <w:rFonts w:ascii="宋体" w:hAnsi="宋体" w:cs="宋体" w:eastAsia="宋体"/>
                      <w:color w:val="000000"/>
                      <w:sz w:val="21"/>
                    </w:rPr>
                    <w:t>架构</w:t>
                  </w:r>
                </w:p>
              </w:tc>
              <w:tc>
                <w:tcPr>
                  <w:tcW w:type="dxa" w:w="174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采用非</w:t>
                  </w:r>
                  <w:r>
                    <w:rPr>
                      <w:rFonts w:ascii="宋体" w:hAnsi="宋体" w:cs="宋体" w:eastAsia="宋体"/>
                      <w:color w:val="000000"/>
                      <w:sz w:val="21"/>
                    </w:rPr>
                    <w:t>X86多核架构，支持冗余电源；</w:t>
                  </w:r>
                </w:p>
              </w:tc>
            </w:tr>
            <w:tr>
              <w:tc>
                <w:tcPr>
                  <w:tcW w:type="dxa" w:w="249"/>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550"/>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接口</w:t>
                  </w:r>
                  <w:r>
                    <w:rPr>
                      <w:rFonts w:ascii="宋体" w:hAnsi="宋体" w:cs="宋体" w:eastAsia="宋体"/>
                      <w:color w:val="000000"/>
                      <w:sz w:val="21"/>
                    </w:rPr>
                    <w:t>要求</w:t>
                  </w:r>
                </w:p>
              </w:tc>
              <w:tc>
                <w:tcPr>
                  <w:tcW w:type="dxa" w:w="174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配置</w:t>
                  </w:r>
                  <w:r>
                    <w:rPr>
                      <w:rFonts w:ascii="宋体" w:hAnsi="宋体" w:cs="宋体" w:eastAsia="宋体"/>
                      <w:color w:val="000000"/>
                      <w:sz w:val="21"/>
                    </w:rPr>
                    <w:t>≥8个千兆电口，≥8个万兆光口，≥</w:t>
                  </w:r>
                  <w:r>
                    <w:rPr>
                      <w:rFonts w:ascii="宋体" w:hAnsi="宋体" w:cs="宋体" w:eastAsia="宋体"/>
                      <w:color w:val="000000"/>
                      <w:sz w:val="21"/>
                    </w:rPr>
                    <w:t>4</w:t>
                  </w:r>
                  <w:r>
                    <w:rPr>
                      <w:rFonts w:ascii="宋体" w:hAnsi="宋体" w:cs="宋体" w:eastAsia="宋体"/>
                      <w:color w:val="000000"/>
                      <w:sz w:val="21"/>
                    </w:rPr>
                    <w:t>个扩展插槽；</w:t>
                  </w:r>
                </w:p>
              </w:tc>
            </w:tr>
            <w:tr>
              <w:tc>
                <w:tcPr>
                  <w:tcW w:type="dxa" w:w="249"/>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550"/>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产品性能</w:t>
                  </w:r>
                </w:p>
              </w:tc>
              <w:tc>
                <w:tcPr>
                  <w:tcW w:type="dxa" w:w="174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防火墙吞吐量</w:t>
                  </w:r>
                  <w:r>
                    <w:rPr>
                      <w:rFonts w:ascii="宋体" w:hAnsi="宋体" w:cs="宋体" w:eastAsia="宋体"/>
                      <w:color w:val="000000"/>
                      <w:sz w:val="21"/>
                    </w:rPr>
                    <w:t>≥4</w:t>
                  </w:r>
                  <w:r>
                    <w:rPr>
                      <w:rFonts w:ascii="宋体" w:hAnsi="宋体" w:cs="宋体" w:eastAsia="宋体"/>
                      <w:color w:val="000000"/>
                      <w:sz w:val="21"/>
                    </w:rPr>
                    <w:t>0</w:t>
                  </w:r>
                  <w:r>
                    <w:rPr>
                      <w:rFonts w:ascii="宋体" w:hAnsi="宋体" w:cs="宋体" w:eastAsia="宋体"/>
                      <w:color w:val="000000"/>
                      <w:sz w:val="21"/>
                    </w:rPr>
                    <w:t>G，并发连接数≥1</w:t>
                  </w:r>
                  <w:r>
                    <w:rPr>
                      <w:rFonts w:ascii="宋体" w:hAnsi="宋体" w:cs="宋体" w:eastAsia="宋体"/>
                      <w:color w:val="000000"/>
                      <w:sz w:val="21"/>
                    </w:rPr>
                    <w:t>5</w:t>
                  </w:r>
                  <w:r>
                    <w:rPr>
                      <w:rFonts w:ascii="宋体" w:hAnsi="宋体" w:cs="宋体" w:eastAsia="宋体"/>
                      <w:color w:val="000000"/>
                      <w:sz w:val="21"/>
                    </w:rPr>
                    <w:t>00万，每秒新建连接数≥5</w:t>
                  </w:r>
                  <w:r>
                    <w:rPr>
                      <w:rFonts w:ascii="宋体" w:hAnsi="宋体" w:cs="宋体" w:eastAsia="宋体"/>
                      <w:color w:val="000000"/>
                      <w:sz w:val="21"/>
                    </w:rPr>
                    <w:t>0</w:t>
                  </w:r>
                  <w:r>
                    <w:rPr>
                      <w:rFonts w:ascii="宋体" w:hAnsi="宋体" w:cs="宋体" w:eastAsia="宋体"/>
                      <w:color w:val="000000"/>
                      <w:sz w:val="21"/>
                    </w:rPr>
                    <w:t>万；</w:t>
                  </w:r>
                  <w:r>
                    <w:rPr>
                      <w:rFonts w:ascii="宋体" w:hAnsi="宋体" w:cs="宋体" w:eastAsia="宋体"/>
                      <w:color w:val="000000"/>
                      <w:sz w:val="21"/>
                    </w:rPr>
                    <w:t>IPSec VPN隧道数≥2</w:t>
                  </w:r>
                  <w:r>
                    <w:rPr>
                      <w:rFonts w:ascii="宋体" w:hAnsi="宋体" w:cs="宋体" w:eastAsia="宋体"/>
                      <w:color w:val="000000"/>
                      <w:sz w:val="21"/>
                    </w:rPr>
                    <w:t>0</w:t>
                  </w:r>
                  <w:r>
                    <w:rPr>
                      <w:rFonts w:ascii="宋体" w:hAnsi="宋体" w:cs="宋体" w:eastAsia="宋体"/>
                      <w:color w:val="000000"/>
                      <w:sz w:val="21"/>
                    </w:rPr>
                    <w:t>K，S</w:t>
                  </w:r>
                  <w:r>
                    <w:rPr>
                      <w:rFonts w:ascii="宋体" w:hAnsi="宋体" w:cs="宋体" w:eastAsia="宋体"/>
                      <w:color w:val="000000"/>
                      <w:sz w:val="21"/>
                    </w:rPr>
                    <w:t>M3/SM4</w:t>
                  </w:r>
                  <w:r>
                    <w:rPr>
                      <w:rFonts w:ascii="宋体" w:hAnsi="宋体" w:cs="宋体" w:eastAsia="宋体"/>
                      <w:color w:val="000000"/>
                      <w:sz w:val="21"/>
                    </w:rPr>
                    <w:t>加密吞吐量</w:t>
                  </w:r>
                  <w:r>
                    <w:rPr>
                      <w:rFonts w:ascii="宋体" w:hAnsi="宋体" w:cs="宋体" w:eastAsia="宋体"/>
                      <w:color w:val="000000"/>
                      <w:sz w:val="21"/>
                    </w:rPr>
                    <w:t>≥4</w:t>
                  </w:r>
                  <w:r>
                    <w:rPr>
                      <w:rFonts w:ascii="宋体" w:hAnsi="宋体" w:cs="宋体" w:eastAsia="宋体"/>
                      <w:color w:val="000000"/>
                      <w:sz w:val="21"/>
                    </w:rPr>
                    <w:t>G</w:t>
                  </w:r>
                  <w:r>
                    <w:rPr>
                      <w:rFonts w:ascii="宋体" w:hAnsi="宋体" w:cs="宋体" w:eastAsia="宋体"/>
                      <w:color w:val="000000"/>
                      <w:sz w:val="21"/>
                    </w:rPr>
                    <w:t>；</w:t>
                  </w:r>
                </w:p>
              </w:tc>
            </w:tr>
            <w:tr>
              <w:tc>
                <w:tcPr>
                  <w:tcW w:type="dxa" w:w="249"/>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550"/>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路由协议</w:t>
                  </w:r>
                </w:p>
              </w:tc>
              <w:tc>
                <w:tcPr>
                  <w:tcW w:type="dxa" w:w="174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支持静态路由、策略路由、</w:t>
                  </w:r>
                  <w:r>
                    <w:rPr>
                      <w:rFonts w:ascii="宋体" w:hAnsi="宋体" w:cs="宋体" w:eastAsia="宋体"/>
                      <w:color w:val="000000"/>
                      <w:sz w:val="21"/>
                    </w:rPr>
                    <w:t>RIP、OSPF、BGP等路由协议</w:t>
                  </w:r>
                </w:p>
              </w:tc>
            </w:tr>
            <w:tr>
              <w:tc>
                <w:tcPr>
                  <w:tcW w:type="dxa" w:w="249"/>
                  <w:vMerge w:val="restart"/>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550"/>
                  <w:vMerge w:val="restart"/>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VPN功能</w:t>
                  </w:r>
                </w:p>
              </w:tc>
              <w:tc>
                <w:tcPr>
                  <w:tcW w:type="dxa" w:w="174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支持高性能</w:t>
                  </w:r>
                  <w:r>
                    <w:rPr>
                      <w:rFonts w:ascii="宋体" w:hAnsi="宋体" w:cs="宋体" w:eastAsia="宋体"/>
                      <w:color w:val="000000"/>
                      <w:sz w:val="21"/>
                    </w:rPr>
                    <w:t>IPSec、L2TP、GRE VPN、SSL VPN等功能；</w:t>
                  </w:r>
                </w:p>
              </w:tc>
            </w:tr>
            <w:tr>
              <w:tc>
                <w:tcPr>
                  <w:tcW w:type="dxa" w:w="249"/>
                  <w:vMerge/>
                  <w:tcBorders>
                    <w:top w:val="none" w:color="000000" w:sz="4"/>
                    <w:left w:val="single" w:color="000000" w:sz="4"/>
                    <w:bottom w:val="outset" w:color="000000" w:sz="4"/>
                    <w:right w:val="single" w:color="000000" w:sz="4"/>
                  </w:tcBorders>
                </w:tcPr>
                <w:p/>
              </w:tc>
              <w:tc>
                <w:tcPr>
                  <w:tcW w:type="dxa" w:w="550"/>
                  <w:vMerge/>
                  <w:tcBorders>
                    <w:top w:val="none" w:color="000000" w:sz="4"/>
                    <w:left w:val="none" w:color="000000" w:sz="4"/>
                    <w:bottom w:val="outset" w:color="000000" w:sz="4"/>
                    <w:right w:val="single" w:color="000000" w:sz="4"/>
                  </w:tcBorders>
                </w:tcPr>
                <w:p/>
              </w:tc>
              <w:tc>
                <w:tcPr>
                  <w:tcW w:type="dxa" w:w="174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w:t>
                  </w:r>
                  <w:r>
                    <w:rPr>
                      <w:rFonts w:ascii="宋体" w:hAnsi="宋体" w:cs="宋体" w:eastAsia="宋体"/>
                      <w:color w:val="000000"/>
                      <w:sz w:val="21"/>
                    </w:rPr>
                    <w:t>IPsec VPN隧道自动建立，无需流量触发；</w:t>
                  </w:r>
                </w:p>
              </w:tc>
            </w:tr>
            <w:tr>
              <w:tc>
                <w:tcPr>
                  <w:tcW w:type="dxa" w:w="249"/>
                  <w:vMerge/>
                  <w:tcBorders>
                    <w:top w:val="none" w:color="000000" w:sz="4"/>
                    <w:left w:val="single" w:color="000000" w:sz="4"/>
                    <w:bottom w:val="outset" w:color="000000" w:sz="4"/>
                    <w:right w:val="single" w:color="000000" w:sz="4"/>
                  </w:tcBorders>
                </w:tcPr>
                <w:p/>
              </w:tc>
              <w:tc>
                <w:tcPr>
                  <w:tcW w:type="dxa" w:w="550"/>
                  <w:vMerge/>
                  <w:tcBorders>
                    <w:top w:val="none" w:color="000000" w:sz="4"/>
                    <w:left w:val="none" w:color="000000" w:sz="4"/>
                    <w:bottom w:val="outset" w:color="000000" w:sz="4"/>
                    <w:right w:val="single" w:color="000000" w:sz="4"/>
                  </w:tcBorders>
                </w:tcP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w:t>
                  </w:r>
                  <w:r>
                    <w:rPr>
                      <w:rFonts w:ascii="宋体" w:hAnsi="宋体" w:cs="宋体" w:eastAsia="宋体"/>
                      <w:color w:val="000000"/>
                      <w:sz w:val="21"/>
                    </w:rPr>
                    <w:t>IPsec VPN智能选路，根据应用和隧道质量调度流量；</w:t>
                  </w:r>
                </w:p>
              </w:tc>
            </w:tr>
            <w:tr>
              <w:tc>
                <w:tcPr>
                  <w:tcW w:type="dxa" w:w="249"/>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攻击防护</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实现安全区域划分，访问控制列表，配置对象及策略，动态包过滤，黑名单，</w:t>
                  </w:r>
                  <w:r>
                    <w:rPr>
                      <w:rFonts w:ascii="宋体" w:hAnsi="宋体" w:cs="宋体" w:eastAsia="宋体"/>
                      <w:color w:val="000000"/>
                      <w:sz w:val="21"/>
                    </w:rPr>
                    <w:t>MAC和IP绑定功能，基于MAC的访问控制列表，802.1q VLAN 透传等功能；</w:t>
                  </w:r>
                </w:p>
              </w:tc>
            </w:tr>
            <w:tr>
              <w:tc>
                <w:tcPr>
                  <w:tcW w:type="dxa" w:w="249"/>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安全策略</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支持一体化安全策略，能够基于时间、用户</w:t>
                  </w:r>
                  <w:r>
                    <w:rPr>
                      <w:rFonts w:ascii="宋体" w:hAnsi="宋体" w:cs="宋体" w:eastAsia="宋体"/>
                      <w:color w:val="000000"/>
                      <w:sz w:val="21"/>
                    </w:rPr>
                    <w:t>/用户组、应用层协议、五元组、内容安全统一界面进行安全策略配置；支持策略冗余分析， 冲突策略分析以及命中率统计；</w:t>
                  </w:r>
                </w:p>
              </w:tc>
            </w:tr>
            <w:tr>
              <w:tc>
                <w:tcPr>
                  <w:tcW w:type="dxa" w:w="249"/>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入侵防御</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支持对黑客攻击、蠕虫</w:t>
                  </w:r>
                  <w:r>
                    <w:rPr>
                      <w:rFonts w:ascii="宋体" w:hAnsi="宋体" w:cs="宋体" w:eastAsia="宋体"/>
                      <w:color w:val="000000"/>
                      <w:sz w:val="21"/>
                    </w:rPr>
                    <w:t>/病毒、木马、恶意代码、间谍软件/广告软件等攻击的防御，实现缓冲区溢出、SQL注入、IDS/IPS逃逸等攻击的防御，实现攻击特征库的分类；</w:t>
                  </w:r>
                </w:p>
              </w:tc>
            </w:tr>
            <w:tr>
              <w:tc>
                <w:tcPr>
                  <w:tcW w:type="dxa" w:w="249"/>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防病毒</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可基于病毒特征进行检测，实现病毒库手动和自动升级，报文流处理模式，实现病毒日志和报表；</w:t>
                  </w:r>
                </w:p>
              </w:tc>
            </w:tr>
            <w:tr>
              <w:tc>
                <w:tcPr>
                  <w:tcW w:type="dxa" w:w="249"/>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0</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国密</w:t>
                  </w:r>
                  <w:r>
                    <w:rPr>
                      <w:rFonts w:ascii="宋体" w:hAnsi="宋体" w:cs="宋体" w:eastAsia="宋体"/>
                      <w:color w:val="000000"/>
                      <w:sz w:val="21"/>
                    </w:rPr>
                    <w:t>算法</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适配</w:t>
                  </w:r>
                  <w:r>
                    <w:rPr>
                      <w:rFonts w:ascii="宋体" w:hAnsi="宋体" w:cs="宋体" w:eastAsia="宋体"/>
                      <w:color w:val="000000"/>
                      <w:sz w:val="21"/>
                    </w:rPr>
                    <w:t>国</w:t>
                  </w:r>
                  <w:r>
                    <w:rPr>
                      <w:rFonts w:ascii="宋体" w:hAnsi="宋体" w:cs="宋体" w:eastAsia="宋体"/>
                      <w:sz w:val="21"/>
                    </w:rPr>
                    <w:t>密</w:t>
                  </w:r>
                  <w:r>
                    <w:rPr>
                      <w:rFonts w:ascii="宋体" w:hAnsi="宋体" w:cs="宋体" w:eastAsia="宋体"/>
                      <w:sz w:val="21"/>
                    </w:rPr>
                    <w:t>算法，提供国家密码管理局商用密码检测中心出具的商用密码产品认证证书。</w:t>
                  </w:r>
                  <w:r>
                    <w:rPr>
                      <w:rFonts w:ascii="宋体" w:hAnsi="宋体" w:cs="宋体" w:eastAsia="宋体"/>
                      <w:color w:val="000000"/>
                      <w:sz w:val="21"/>
                    </w:rPr>
                    <w:t>配置国密</w:t>
                  </w:r>
                  <w:r>
                    <w:rPr>
                      <w:rFonts w:ascii="宋体" w:hAnsi="宋体" w:cs="宋体" w:eastAsia="宋体"/>
                      <w:color w:val="000000"/>
                      <w:sz w:val="21"/>
                    </w:rPr>
                    <w:t>I</w:t>
                  </w:r>
                  <w:r>
                    <w:rPr>
                      <w:rFonts w:ascii="宋体" w:hAnsi="宋体" w:cs="宋体" w:eastAsia="宋体"/>
                      <w:color w:val="000000"/>
                      <w:sz w:val="21"/>
                    </w:rPr>
                    <w:t>P</w:t>
                  </w:r>
                  <w:r>
                    <w:rPr>
                      <w:rFonts w:ascii="宋体" w:hAnsi="宋体" w:cs="宋体" w:eastAsia="宋体"/>
                      <w:color w:val="000000"/>
                      <w:sz w:val="21"/>
                    </w:rPr>
                    <w:t>sec</w:t>
                  </w:r>
                  <w:r>
                    <w:rPr>
                      <w:rFonts w:ascii="calibri" w:hAnsi="calibri" w:cs="calibri" w:eastAsia="calibri"/>
                      <w:sz w:val="21"/>
                    </w:rPr>
                    <w:t xml:space="preserve"> </w:t>
                  </w:r>
                  <w:r>
                    <w:rPr>
                      <w:rFonts w:ascii="宋体" w:hAnsi="宋体" w:cs="宋体" w:eastAsia="宋体"/>
                      <w:color w:val="000000"/>
                      <w:sz w:val="21"/>
                    </w:rPr>
                    <w:t>V</w:t>
                  </w:r>
                  <w:r>
                    <w:rPr>
                      <w:rFonts w:ascii="宋体" w:hAnsi="宋体" w:cs="宋体" w:eastAsia="宋体"/>
                      <w:color w:val="000000"/>
                      <w:sz w:val="21"/>
                    </w:rPr>
                    <w:t>PN</w:t>
                  </w:r>
                  <w:r>
                    <w:rPr>
                      <w:rFonts w:ascii="宋体" w:hAnsi="宋体" w:cs="宋体" w:eastAsia="宋体"/>
                      <w:color w:val="000000"/>
                      <w:sz w:val="21"/>
                    </w:rPr>
                    <w:t>功能，适配国密算法。</w:t>
                  </w:r>
                  <w:r>
                    <w:rPr>
                      <w:rFonts w:ascii="calibri" w:hAnsi="calibri" w:cs="calibri" w:eastAsia="calibri"/>
                      <w:sz w:val="21"/>
                    </w:rPr>
                    <w:t xml:space="preserve"> </w:t>
                  </w:r>
                </w:p>
              </w:tc>
            </w:tr>
            <w:tr>
              <w:tc>
                <w:tcPr>
                  <w:tcW w:type="dxa" w:w="249"/>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1</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可靠性</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支持将</w:t>
                  </w:r>
                  <w:r>
                    <w:rPr>
                      <w:rFonts w:ascii="宋体" w:hAnsi="宋体" w:cs="宋体" w:eastAsia="宋体"/>
                      <w:sz w:val="21"/>
                    </w:rPr>
                    <w:t>2台设备堆叠成1台设备使用，实现统一管理，统一配置，所投设备支持高可靠性（包含主备/主主模式）部署</w:t>
                  </w:r>
                  <w:r>
                    <w:rPr>
                      <w:rFonts w:ascii="宋体" w:hAnsi="宋体" w:cs="宋体" w:eastAsia="宋体"/>
                      <w:sz w:val="21"/>
                    </w:rPr>
                    <w:t>，提供第三方机构出具的检测报告针对产品功能的检测内容截图</w:t>
                  </w:r>
                </w:p>
              </w:tc>
            </w:tr>
            <w:tr>
              <w:tc>
                <w:tcPr>
                  <w:tcW w:type="dxa" w:w="249"/>
                  <w:tcBorders>
                    <w:top w:val="outset"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2</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配置要求</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配置双电源、双风扇模块</w:t>
                  </w:r>
                  <w:r>
                    <w:rPr>
                      <w:rFonts w:ascii="宋体" w:hAnsi="宋体" w:cs="宋体" w:eastAsia="宋体"/>
                      <w:color w:val="000000"/>
                      <w:sz w:val="21"/>
                    </w:rPr>
                    <w:t>，</w:t>
                  </w: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块万兆多模光模块</w:t>
                  </w:r>
                  <w:r>
                    <w:rPr>
                      <w:rFonts w:ascii="宋体" w:hAnsi="宋体" w:cs="宋体" w:eastAsia="宋体"/>
                      <w:color w:val="000000"/>
                      <w:sz w:val="21"/>
                    </w:rPr>
                    <w:t>。</w:t>
                  </w:r>
                </w:p>
              </w:tc>
            </w:tr>
          </w:tbl>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sz w:val="24"/>
              </w:rPr>
              <w:t>卫生服务站</w:t>
            </w:r>
            <w:r>
              <w:rPr>
                <w:rFonts w:ascii="宋体" w:hAnsi="宋体" w:cs="宋体" w:eastAsia="宋体"/>
                <w:b/>
                <w:sz w:val="24"/>
              </w:rPr>
              <w:t>VPN设备</w:t>
            </w:r>
          </w:p>
          <w:tbl>
            <w:tblPr>
              <w:tblBorders>
                <w:top w:val="none" w:color="000000" w:sz="4"/>
                <w:left w:val="none" w:color="000000" w:sz="4"/>
                <w:bottom w:val="none" w:color="000000" w:sz="4"/>
                <w:right w:val="none" w:color="000000" w:sz="4"/>
                <w:insideH w:val="none"/>
                <w:insideV w:val="none"/>
              </w:tblBorders>
            </w:tblPr>
            <w:tblGrid>
              <w:gridCol w:w="211"/>
              <w:gridCol w:w="478"/>
              <w:gridCol w:w="1853"/>
            </w:tblGrid>
            <w:tr>
              <w:tc>
                <w:tcPr>
                  <w:tcW w:type="dxa" w:w="211"/>
                  <w:tcBorders>
                    <w:top w:val="single" w:color="000000" w:sz="4"/>
                    <w:left w:val="singl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478"/>
                  <w:tcBorders>
                    <w:top w:val="single" w:color="000000" w:sz="4"/>
                    <w:left w:val="non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项目</w:t>
                  </w:r>
                </w:p>
              </w:tc>
              <w:tc>
                <w:tcPr>
                  <w:tcW w:type="dxa" w:w="1853"/>
                  <w:tcBorders>
                    <w:top w:val="single" w:color="000000" w:sz="4"/>
                    <w:left w:val="non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技术参数要求</w:t>
                  </w:r>
                </w:p>
              </w:tc>
            </w:tr>
            <w:tr>
              <w:tc>
                <w:tcPr>
                  <w:tcW w:type="dxa" w:w="211"/>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478"/>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硬件</w:t>
                  </w:r>
                  <w:r>
                    <w:rPr>
                      <w:rFonts w:ascii="宋体" w:hAnsi="宋体" w:cs="宋体" w:eastAsia="宋体"/>
                      <w:color w:val="000000"/>
                      <w:sz w:val="21"/>
                    </w:rPr>
                    <w:t>架构</w:t>
                  </w:r>
                </w:p>
              </w:tc>
              <w:tc>
                <w:tcPr>
                  <w:tcW w:type="dxa" w:w="185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采用非</w:t>
                  </w:r>
                  <w:r>
                    <w:rPr>
                      <w:rFonts w:ascii="宋体" w:hAnsi="宋体" w:cs="宋体" w:eastAsia="宋体"/>
                      <w:color w:val="000000"/>
                      <w:sz w:val="21"/>
                    </w:rPr>
                    <w:t>X86多核架构；</w:t>
                  </w:r>
                </w:p>
              </w:tc>
            </w:tr>
            <w:tr>
              <w:tc>
                <w:tcPr>
                  <w:tcW w:type="dxa" w:w="211"/>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478"/>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接口</w:t>
                  </w:r>
                  <w:r>
                    <w:rPr>
                      <w:rFonts w:ascii="宋体" w:hAnsi="宋体" w:cs="宋体" w:eastAsia="宋体"/>
                      <w:color w:val="000000"/>
                      <w:sz w:val="21"/>
                    </w:rPr>
                    <w:t>要求</w:t>
                  </w:r>
                </w:p>
              </w:tc>
              <w:tc>
                <w:tcPr>
                  <w:tcW w:type="dxa" w:w="185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配置</w:t>
                  </w:r>
                  <w:r>
                    <w:rPr>
                      <w:rFonts w:ascii="宋体" w:hAnsi="宋体" w:cs="宋体" w:eastAsia="宋体"/>
                      <w:color w:val="000000"/>
                      <w:sz w:val="21"/>
                    </w:rPr>
                    <w:t>≥</w:t>
                  </w:r>
                  <w:r>
                    <w:rPr>
                      <w:rFonts w:ascii="宋体" w:hAnsi="宋体" w:cs="宋体" w:eastAsia="宋体"/>
                      <w:color w:val="000000"/>
                      <w:sz w:val="21"/>
                    </w:rPr>
                    <w:t>4</w:t>
                  </w:r>
                  <w:r>
                    <w:rPr>
                      <w:rFonts w:ascii="宋体" w:hAnsi="宋体" w:cs="宋体" w:eastAsia="宋体"/>
                      <w:color w:val="000000"/>
                      <w:sz w:val="21"/>
                    </w:rPr>
                    <w:t>个千兆电口，</w:t>
                  </w:r>
                  <w:r>
                    <w:rPr>
                      <w:rFonts w:ascii="宋体" w:hAnsi="宋体" w:cs="宋体" w:eastAsia="宋体"/>
                      <w:color w:val="000000"/>
                      <w:sz w:val="21"/>
                    </w:rPr>
                    <w:t>≥2个千兆光口；</w:t>
                  </w:r>
                </w:p>
              </w:tc>
            </w:tr>
            <w:tr>
              <w:tc>
                <w:tcPr>
                  <w:tcW w:type="dxa" w:w="211"/>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478"/>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产品性能</w:t>
                  </w:r>
                </w:p>
              </w:tc>
              <w:tc>
                <w:tcPr>
                  <w:tcW w:type="dxa" w:w="185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防火墙吞吐量</w:t>
                  </w: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G，并发连接数≥100万，每秒新建连接数≥</w:t>
                  </w:r>
                  <w:r>
                    <w:rPr>
                      <w:rFonts w:ascii="宋体" w:hAnsi="宋体" w:cs="宋体" w:eastAsia="宋体"/>
                      <w:color w:val="000000"/>
                      <w:sz w:val="21"/>
                    </w:rPr>
                    <w:t>2</w:t>
                  </w:r>
                  <w:r>
                    <w:rPr>
                      <w:rFonts w:ascii="宋体" w:hAnsi="宋体" w:cs="宋体" w:eastAsia="宋体"/>
                      <w:color w:val="000000"/>
                      <w:sz w:val="21"/>
                    </w:rPr>
                    <w:t>万；</w:t>
                  </w:r>
                  <w:r>
                    <w:rPr>
                      <w:rFonts w:ascii="宋体" w:hAnsi="宋体" w:cs="宋体" w:eastAsia="宋体"/>
                      <w:color w:val="000000"/>
                      <w:sz w:val="21"/>
                    </w:rPr>
                    <w:t>IPSec VPN隧道数≥7</w:t>
                  </w:r>
                  <w:r>
                    <w:rPr>
                      <w:rFonts w:ascii="宋体" w:hAnsi="宋体" w:cs="宋体" w:eastAsia="宋体"/>
                      <w:color w:val="000000"/>
                      <w:sz w:val="21"/>
                    </w:rPr>
                    <w:t>00</w:t>
                  </w:r>
                  <w:r>
                    <w:rPr>
                      <w:rFonts w:ascii="宋体" w:hAnsi="宋体" w:cs="宋体" w:eastAsia="宋体"/>
                      <w:color w:val="000000"/>
                      <w:sz w:val="21"/>
                    </w:rPr>
                    <w:t>，</w:t>
                  </w:r>
                  <w:r>
                    <w:rPr>
                      <w:rFonts w:ascii="宋体" w:hAnsi="宋体" w:cs="宋体" w:eastAsia="宋体"/>
                      <w:color w:val="000000"/>
                      <w:sz w:val="21"/>
                    </w:rPr>
                    <w:t>S</w:t>
                  </w:r>
                  <w:r>
                    <w:rPr>
                      <w:rFonts w:ascii="宋体" w:hAnsi="宋体" w:cs="宋体" w:eastAsia="宋体"/>
                      <w:color w:val="000000"/>
                      <w:sz w:val="21"/>
                    </w:rPr>
                    <w:t>M3/SM4</w:t>
                  </w:r>
                  <w:r>
                    <w:rPr>
                      <w:rFonts w:ascii="宋体" w:hAnsi="宋体" w:cs="宋体" w:eastAsia="宋体"/>
                      <w:color w:val="000000"/>
                      <w:sz w:val="21"/>
                    </w:rPr>
                    <w:t>加密吞吐量</w:t>
                  </w:r>
                  <w:r>
                    <w:rPr>
                      <w:rFonts w:ascii="宋体" w:hAnsi="宋体" w:cs="宋体" w:eastAsia="宋体"/>
                      <w:color w:val="000000"/>
                      <w:sz w:val="21"/>
                    </w:rPr>
                    <w:t>≥</w:t>
                  </w:r>
                  <w:r>
                    <w:rPr>
                      <w:rFonts w:ascii="宋体" w:hAnsi="宋体" w:cs="宋体" w:eastAsia="宋体"/>
                      <w:color w:val="000000"/>
                      <w:sz w:val="21"/>
                    </w:rPr>
                    <w:t>70M</w:t>
                  </w:r>
                  <w:r>
                    <w:rPr>
                      <w:rFonts w:ascii="宋体" w:hAnsi="宋体" w:cs="宋体" w:eastAsia="宋体"/>
                      <w:color w:val="000000"/>
                      <w:sz w:val="21"/>
                    </w:rPr>
                    <w:t>；</w:t>
                  </w:r>
                </w:p>
              </w:tc>
            </w:tr>
            <w:tr>
              <w:tc>
                <w:tcPr>
                  <w:tcW w:type="dxa" w:w="211"/>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478"/>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路由协议</w:t>
                  </w:r>
                </w:p>
              </w:tc>
              <w:tc>
                <w:tcPr>
                  <w:tcW w:type="dxa" w:w="185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支持静态路由、策略路由、</w:t>
                  </w:r>
                  <w:r>
                    <w:rPr>
                      <w:rFonts w:ascii="宋体" w:hAnsi="宋体" w:cs="宋体" w:eastAsia="宋体"/>
                      <w:color w:val="000000"/>
                      <w:sz w:val="21"/>
                    </w:rPr>
                    <w:t>RIP、OSPF、BGP等路由协议</w:t>
                  </w:r>
                </w:p>
              </w:tc>
            </w:tr>
            <w:tr>
              <w:tc>
                <w:tcPr>
                  <w:tcW w:type="dxa" w:w="211"/>
                  <w:vMerge w:val="restart"/>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478"/>
                  <w:vMerge w:val="restart"/>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VPN功能</w:t>
                  </w:r>
                </w:p>
              </w:tc>
              <w:tc>
                <w:tcPr>
                  <w:tcW w:type="dxa" w:w="185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支持高性能</w:t>
                  </w:r>
                  <w:r>
                    <w:rPr>
                      <w:rFonts w:ascii="宋体" w:hAnsi="宋体" w:cs="宋体" w:eastAsia="宋体"/>
                      <w:color w:val="000000"/>
                      <w:sz w:val="21"/>
                    </w:rPr>
                    <w:t>IPSec、L2TP、GRE VPN、SSL VPN等功能；</w:t>
                  </w:r>
                </w:p>
              </w:tc>
            </w:tr>
            <w:tr>
              <w:tc>
                <w:tcPr>
                  <w:tcW w:type="dxa" w:w="211"/>
                  <w:vMerge/>
                  <w:tcBorders>
                    <w:top w:val="none" w:color="000000" w:sz="4"/>
                    <w:left w:val="single" w:color="000000" w:sz="4"/>
                    <w:bottom w:val="outset" w:color="000000" w:sz="4"/>
                    <w:right w:val="single" w:color="000000" w:sz="4"/>
                  </w:tcBorders>
                </w:tcPr>
                <w:p/>
              </w:tc>
              <w:tc>
                <w:tcPr>
                  <w:tcW w:type="dxa" w:w="478"/>
                  <w:vMerge/>
                  <w:tcBorders>
                    <w:top w:val="none" w:color="000000" w:sz="4"/>
                    <w:left w:val="none" w:color="000000" w:sz="4"/>
                    <w:bottom w:val="outset" w:color="000000" w:sz="4"/>
                    <w:right w:val="single" w:color="000000" w:sz="4"/>
                  </w:tcBorders>
                </w:tcPr>
                <w:p/>
              </w:tc>
              <w:tc>
                <w:tcPr>
                  <w:tcW w:type="dxa" w:w="1853"/>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w:t>
                  </w:r>
                  <w:r>
                    <w:rPr>
                      <w:rFonts w:ascii="宋体" w:hAnsi="宋体" w:cs="宋体" w:eastAsia="宋体"/>
                      <w:color w:val="000000"/>
                      <w:sz w:val="21"/>
                    </w:rPr>
                    <w:t>IPsec VPN隧道自动建立，无需流量触发；</w:t>
                  </w:r>
                </w:p>
              </w:tc>
            </w:tr>
            <w:tr>
              <w:tc>
                <w:tcPr>
                  <w:tcW w:type="dxa" w:w="211"/>
                  <w:vMerge/>
                  <w:tcBorders>
                    <w:top w:val="none" w:color="000000" w:sz="4"/>
                    <w:left w:val="single" w:color="000000" w:sz="4"/>
                    <w:bottom w:val="outset" w:color="000000" w:sz="4"/>
                    <w:right w:val="single" w:color="000000" w:sz="4"/>
                  </w:tcBorders>
                </w:tcPr>
                <w:p/>
              </w:tc>
              <w:tc>
                <w:tcPr>
                  <w:tcW w:type="dxa" w:w="478"/>
                  <w:vMerge/>
                  <w:tcBorders>
                    <w:top w:val="none" w:color="000000" w:sz="4"/>
                    <w:left w:val="none" w:color="000000" w:sz="4"/>
                    <w:bottom w:val="outset" w:color="000000" w:sz="4"/>
                    <w:right w:val="single" w:color="000000" w:sz="4"/>
                  </w:tcBorders>
                </w:tcP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w:t>
                  </w:r>
                  <w:r>
                    <w:rPr>
                      <w:rFonts w:ascii="宋体" w:hAnsi="宋体" w:cs="宋体" w:eastAsia="宋体"/>
                      <w:color w:val="000000"/>
                      <w:sz w:val="21"/>
                    </w:rPr>
                    <w:t>IPsec VPN智能选路，根据应用和隧道质量调度流量；</w:t>
                  </w:r>
                </w:p>
              </w:tc>
            </w:tr>
            <w:tr>
              <w:tc>
                <w:tcPr>
                  <w:tcW w:type="dxa" w:w="211"/>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4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攻击防护</w:t>
                  </w: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实现安全区域划分，访问控制列表，配置对象及策略，动态包过滤，黑名单，</w:t>
                  </w:r>
                  <w:r>
                    <w:rPr>
                      <w:rFonts w:ascii="宋体" w:hAnsi="宋体" w:cs="宋体" w:eastAsia="宋体"/>
                      <w:color w:val="000000"/>
                      <w:sz w:val="21"/>
                    </w:rPr>
                    <w:t>MAC和IP绑定功能，基于MAC的访问控制列表，802.1q VLAN 透传等功能；</w:t>
                  </w:r>
                </w:p>
              </w:tc>
            </w:tr>
            <w:tr>
              <w:tc>
                <w:tcPr>
                  <w:tcW w:type="dxa" w:w="211"/>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4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安全策略</w:t>
                  </w: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支持一体化安全策略，能够基于时间、用户</w:t>
                  </w:r>
                  <w:r>
                    <w:rPr>
                      <w:rFonts w:ascii="宋体" w:hAnsi="宋体" w:cs="宋体" w:eastAsia="宋体"/>
                      <w:color w:val="000000"/>
                      <w:sz w:val="21"/>
                    </w:rPr>
                    <w:t>/用户组、应用层协议、五元组、内容安全统一界面进行安全策略配置；支持策略冗余分析， 冲突策略分析以及命中率统计；</w:t>
                  </w:r>
                </w:p>
              </w:tc>
            </w:tr>
            <w:tr>
              <w:tc>
                <w:tcPr>
                  <w:tcW w:type="dxa" w:w="211"/>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4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入侵防御</w:t>
                  </w: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支持对黑客攻击、蠕虫</w:t>
                  </w:r>
                  <w:r>
                    <w:rPr>
                      <w:rFonts w:ascii="宋体" w:hAnsi="宋体" w:cs="宋体" w:eastAsia="宋体"/>
                      <w:color w:val="000000"/>
                      <w:sz w:val="21"/>
                    </w:rPr>
                    <w:t>/病毒、木马、恶意代码、间谍软件/广告软件等攻击的防御，实现缓冲区溢出、SQL注入、IDS/IPS逃逸等攻击的防御，实现攻击特征库的分类；</w:t>
                  </w:r>
                </w:p>
              </w:tc>
            </w:tr>
            <w:tr>
              <w:tc>
                <w:tcPr>
                  <w:tcW w:type="dxa" w:w="211"/>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4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防病毒</w:t>
                  </w: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可基于病毒特征进行检测，实现病毒库手动和自动升级，报文流处理模式，实现病毒日志和报表；</w:t>
                  </w:r>
                </w:p>
              </w:tc>
            </w:tr>
            <w:tr>
              <w:tc>
                <w:tcPr>
                  <w:tcW w:type="dxa" w:w="211"/>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1</w:t>
                  </w:r>
                  <w:r>
                    <w:rPr>
                      <w:rFonts w:ascii="宋体" w:hAnsi="宋体" w:cs="宋体" w:eastAsia="宋体"/>
                      <w:sz w:val="18"/>
                    </w:rPr>
                    <w:t>0</w:t>
                  </w:r>
                </w:p>
              </w:tc>
              <w:tc>
                <w:tcPr>
                  <w:tcW w:type="dxa" w:w="4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w:t>
                  </w:r>
                  <w:r>
                    <w:rPr>
                      <w:rFonts w:ascii="宋体" w:hAnsi="宋体" w:cs="宋体" w:eastAsia="宋体"/>
                      <w:color w:val="000000"/>
                      <w:sz w:val="21"/>
                    </w:rPr>
                    <w:t>国密</w:t>
                  </w:r>
                  <w:r>
                    <w:rPr>
                      <w:rFonts w:ascii="宋体" w:hAnsi="宋体" w:cs="宋体" w:eastAsia="宋体"/>
                      <w:color w:val="000000"/>
                      <w:sz w:val="21"/>
                    </w:rPr>
                    <w:t>算法</w:t>
                  </w: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适配国密算法，</w:t>
                  </w:r>
                  <w:r>
                    <w:rPr>
                      <w:rFonts w:ascii="宋体" w:hAnsi="宋体" w:cs="宋体" w:eastAsia="宋体"/>
                      <w:sz w:val="21"/>
                    </w:rPr>
                    <w:t>提供国家密码管理局商用密码检测中心出具的商用密码产品认证证书。</w:t>
                  </w:r>
                  <w:r>
                    <w:rPr>
                      <w:rFonts w:ascii="宋体" w:hAnsi="宋体" w:cs="宋体" w:eastAsia="宋体"/>
                      <w:color w:val="000000"/>
                      <w:sz w:val="21"/>
                    </w:rPr>
                    <w:t>配置国密</w:t>
                  </w:r>
                  <w:r>
                    <w:rPr>
                      <w:rFonts w:ascii="宋体" w:hAnsi="宋体" w:cs="宋体" w:eastAsia="宋体"/>
                      <w:color w:val="000000"/>
                      <w:sz w:val="21"/>
                    </w:rPr>
                    <w:t>I</w:t>
                  </w:r>
                  <w:r>
                    <w:rPr>
                      <w:rFonts w:ascii="宋体" w:hAnsi="宋体" w:cs="宋体" w:eastAsia="宋体"/>
                      <w:color w:val="000000"/>
                      <w:sz w:val="21"/>
                    </w:rPr>
                    <w:t>P</w:t>
                  </w:r>
                  <w:r>
                    <w:rPr>
                      <w:rFonts w:ascii="宋体" w:hAnsi="宋体" w:cs="宋体" w:eastAsia="宋体"/>
                      <w:color w:val="000000"/>
                      <w:sz w:val="21"/>
                    </w:rPr>
                    <w:t>sec</w:t>
                  </w:r>
                  <w:r>
                    <w:rPr>
                      <w:rFonts w:ascii="calibri" w:hAnsi="calibri" w:cs="calibri" w:eastAsia="calibri"/>
                      <w:sz w:val="21"/>
                    </w:rPr>
                    <w:t xml:space="preserve"> </w:t>
                  </w:r>
                  <w:r>
                    <w:rPr>
                      <w:rFonts w:ascii="宋体" w:hAnsi="宋体" w:cs="宋体" w:eastAsia="宋体"/>
                      <w:color w:val="000000"/>
                      <w:sz w:val="21"/>
                    </w:rPr>
                    <w:t>V</w:t>
                  </w:r>
                  <w:r>
                    <w:rPr>
                      <w:rFonts w:ascii="宋体" w:hAnsi="宋体" w:cs="宋体" w:eastAsia="宋体"/>
                      <w:color w:val="000000"/>
                      <w:sz w:val="21"/>
                    </w:rPr>
                    <w:t>PN</w:t>
                  </w:r>
                  <w:r>
                    <w:rPr>
                      <w:rFonts w:ascii="宋体" w:hAnsi="宋体" w:cs="宋体" w:eastAsia="宋体"/>
                      <w:color w:val="000000"/>
                      <w:sz w:val="21"/>
                    </w:rPr>
                    <w:t>功能，适配国密算法。</w:t>
                  </w:r>
                  <w:r>
                    <w:rPr>
                      <w:rFonts w:ascii="calibri" w:hAnsi="calibri" w:cs="calibri" w:eastAsia="calibri"/>
                      <w:sz w:val="21"/>
                    </w:rPr>
                    <w:t xml:space="preserve"> </w:t>
                  </w:r>
                </w:p>
              </w:tc>
            </w:tr>
            <w:tr>
              <w:tc>
                <w:tcPr>
                  <w:tcW w:type="dxa" w:w="211"/>
                  <w:tcBorders>
                    <w:top w:val="outset"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1</w:t>
                  </w:r>
                  <w:r>
                    <w:rPr>
                      <w:rFonts w:ascii="宋体" w:hAnsi="宋体" w:cs="宋体" w:eastAsia="宋体"/>
                      <w:sz w:val="18"/>
                    </w:rPr>
                    <w:t>1</w:t>
                  </w:r>
                </w:p>
              </w:tc>
              <w:tc>
                <w:tcPr>
                  <w:tcW w:type="dxa" w:w="4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可靠性</w:t>
                  </w:r>
                </w:p>
              </w:tc>
              <w:tc>
                <w:tcPr>
                  <w:tcW w:type="dxa" w:w="18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支持</w:t>
                  </w:r>
                  <w:r>
                    <w:rPr>
                      <w:rFonts w:ascii="宋体" w:hAnsi="宋体" w:cs="宋体" w:eastAsia="宋体"/>
                      <w:color w:val="000000"/>
                      <w:sz w:val="21"/>
                    </w:rPr>
                    <w:t>2台设备堆叠成一台设备使用，实现统一管理，统一配置，所投设备支持高可靠性（包含主备/主主模式）部署；</w:t>
                  </w:r>
                </w:p>
              </w:tc>
            </w:tr>
          </w:tbl>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b/>
                <w:sz w:val="24"/>
              </w:rPr>
              <w:t>接入交换机</w:t>
            </w:r>
          </w:p>
          <w:tbl>
            <w:tblPr>
              <w:tblBorders>
                <w:top w:val="none" w:color="000000" w:sz="4"/>
                <w:left w:val="none" w:color="000000" w:sz="4"/>
                <w:bottom w:val="none" w:color="000000" w:sz="4"/>
                <w:right w:val="none" w:color="000000" w:sz="4"/>
                <w:insideH w:val="none"/>
                <w:insideV w:val="none"/>
              </w:tblBorders>
            </w:tblPr>
            <w:tblGrid>
              <w:gridCol w:w="202"/>
              <w:gridCol w:w="457"/>
              <w:gridCol w:w="1882"/>
            </w:tblGrid>
            <w:tr>
              <w:tc>
                <w:tcPr>
                  <w:tcW w:type="dxa" w:w="202"/>
                  <w:tcBorders>
                    <w:top w:val="single" w:color="000000" w:sz="4"/>
                    <w:left w:val="singl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457"/>
                  <w:tcBorders>
                    <w:top w:val="single" w:color="000000" w:sz="4"/>
                    <w:left w:val="non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项目</w:t>
                  </w:r>
                </w:p>
              </w:tc>
              <w:tc>
                <w:tcPr>
                  <w:tcW w:type="dxa" w:w="1882"/>
                  <w:tcBorders>
                    <w:top w:val="single" w:color="000000" w:sz="4"/>
                    <w:left w:val="none" w:color="000000" w:sz="4"/>
                    <w:bottom w:val="outset"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1"/>
                    </w:rPr>
                    <w:t>技术参数要求</w:t>
                  </w:r>
                </w:p>
              </w:tc>
            </w:tr>
            <w:tr>
              <w:tc>
                <w:tcPr>
                  <w:tcW w:type="dxa" w:w="202"/>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57"/>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配置要求</w:t>
                  </w:r>
                </w:p>
              </w:tc>
              <w:tc>
                <w:tcPr>
                  <w:tcW w:type="dxa" w:w="1882"/>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配置</w:t>
                  </w:r>
                  <w:r>
                    <w:rPr>
                      <w:rFonts w:ascii="宋体" w:hAnsi="宋体" w:cs="宋体" w:eastAsia="宋体"/>
                      <w:sz w:val="21"/>
                    </w:rPr>
                    <w:t>≥8个10/100/1000Base-T自适应以太网端口，≥2个</w:t>
                  </w:r>
                  <w:r>
                    <w:rPr>
                      <w:rFonts w:ascii="宋体" w:hAnsi="宋体" w:cs="宋体" w:eastAsia="宋体"/>
                      <w:sz w:val="21"/>
                    </w:rPr>
                    <w:t>千</w:t>
                  </w:r>
                  <w:r>
                    <w:rPr>
                      <w:rFonts w:ascii="宋体" w:hAnsi="宋体" w:cs="宋体" w:eastAsia="宋体"/>
                      <w:sz w:val="21"/>
                    </w:rPr>
                    <w:t>兆</w:t>
                  </w:r>
                  <w:r>
                    <w:rPr>
                      <w:rFonts w:ascii="宋体" w:hAnsi="宋体" w:cs="宋体" w:eastAsia="宋体"/>
                      <w:sz w:val="21"/>
                    </w:rPr>
                    <w:t>光端</w:t>
                  </w:r>
                  <w:r>
                    <w:rPr>
                      <w:rFonts w:ascii="宋体" w:hAnsi="宋体" w:cs="宋体" w:eastAsia="宋体"/>
                      <w:sz w:val="21"/>
                    </w:rPr>
                    <w:t>口</w:t>
                  </w:r>
                </w:p>
              </w:tc>
            </w:tr>
            <w:tr>
              <w:tc>
                <w:tcPr>
                  <w:tcW w:type="dxa" w:w="202"/>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57"/>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交换容量</w:t>
                  </w:r>
                </w:p>
              </w:tc>
              <w:tc>
                <w:tcPr>
                  <w:tcW w:type="dxa" w:w="1882"/>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≥330</w:t>
                  </w:r>
                  <w:r>
                    <w:rPr>
                      <w:rFonts w:ascii="宋体" w:hAnsi="宋体" w:cs="宋体" w:eastAsia="宋体"/>
                      <w:sz w:val="21"/>
                    </w:rPr>
                    <w:t>Gbps</w:t>
                  </w:r>
                </w:p>
              </w:tc>
            </w:tr>
            <w:tr>
              <w:tc>
                <w:tcPr>
                  <w:tcW w:type="dxa" w:w="202"/>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57"/>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包转发率</w:t>
                  </w:r>
                </w:p>
              </w:tc>
              <w:tc>
                <w:tcPr>
                  <w:tcW w:type="dxa" w:w="1882"/>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≥60Mpps</w:t>
                  </w:r>
                </w:p>
              </w:tc>
            </w:tr>
            <w:tr>
              <w:tc>
                <w:tcPr>
                  <w:tcW w:type="dxa" w:w="202"/>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57"/>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虚拟化</w:t>
                  </w:r>
                </w:p>
              </w:tc>
              <w:tc>
                <w:tcPr>
                  <w:tcW w:type="dxa" w:w="1882"/>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支持虚拟化技术，可以将多台交换机虚拟成</w:t>
                  </w:r>
                  <w:r>
                    <w:rPr>
                      <w:rFonts w:ascii="宋体" w:hAnsi="宋体" w:cs="宋体" w:eastAsia="宋体"/>
                      <w:sz w:val="21"/>
                    </w:rPr>
                    <w:t>1台设备，方便管理；</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路由协议</w:t>
                  </w:r>
                </w:p>
              </w:tc>
              <w:tc>
                <w:tcPr>
                  <w:tcW w:type="dxa" w:w="18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支持</w:t>
                  </w:r>
                  <w:r>
                    <w:rPr>
                      <w:rFonts w:ascii="宋体" w:hAnsi="宋体" w:cs="宋体" w:eastAsia="宋体"/>
                      <w:sz w:val="21"/>
                    </w:rPr>
                    <w:t>IPv4、IPv6静态路由，RIP</w:t>
                  </w:r>
                  <w:r>
                    <w:rPr>
                      <w:rFonts w:ascii="宋体" w:hAnsi="宋体" w:cs="宋体" w:eastAsia="宋体"/>
                      <w:sz w:val="21"/>
                    </w:rPr>
                    <w:t>、</w:t>
                  </w:r>
                  <w:r>
                    <w:rPr>
                      <w:rFonts w:ascii="宋体" w:hAnsi="宋体" w:cs="宋体" w:eastAsia="宋体"/>
                      <w:sz w:val="21"/>
                    </w:rPr>
                    <w:t>OSPF</w:t>
                  </w:r>
                  <w:r>
                    <w:rPr>
                      <w:rFonts w:ascii="宋体" w:hAnsi="宋体" w:cs="宋体" w:eastAsia="宋体"/>
                      <w:sz w:val="21"/>
                    </w:rPr>
                    <w:t>等三层动态路由协议</w:t>
                  </w:r>
                  <w:r>
                    <w:rPr>
                      <w:rFonts w:ascii="宋体" w:hAnsi="宋体" w:cs="宋体" w:eastAsia="宋体"/>
                      <w:sz w:val="21"/>
                    </w:rPr>
                    <w:t>；</w:t>
                  </w:r>
                </w:p>
              </w:tc>
            </w:tr>
          </w:tbl>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b/>
                <w:sz w:val="24"/>
              </w:rPr>
              <w:t>终端安全管理系统</w:t>
            </w:r>
          </w:p>
          <w:tbl>
            <w:tblPr>
              <w:tblInd w:type="dxa" w:w="120"/>
              <w:tblBorders>
                <w:top w:val="none" w:color="000000" w:sz="4"/>
                <w:left w:val="none" w:color="000000" w:sz="4"/>
                <w:bottom w:val="none" w:color="000000" w:sz="4"/>
                <w:right w:val="none" w:color="000000" w:sz="4"/>
                <w:insideH w:val="none"/>
                <w:insideV w:val="none"/>
              </w:tblBorders>
            </w:tblPr>
            <w:tblGrid>
              <w:gridCol w:w="243"/>
              <w:gridCol w:w="547"/>
              <w:gridCol w:w="1731"/>
            </w:tblGrid>
            <w:tr>
              <w:tc>
                <w:tcPr>
                  <w:tcW w:type="dxa" w:w="24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宋体" w:hAnsi="宋体" w:cs="宋体" w:eastAsia="宋体"/>
                      <w:b/>
                      <w:color w:val="000000"/>
                      <w:sz w:val="22"/>
                    </w:rPr>
                    <w:t>序号</w:t>
                  </w:r>
                </w:p>
              </w:tc>
              <w:tc>
                <w:tcPr>
                  <w:tcW w:type="dxa" w:w="54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left="-315"/>
                    <w:jc w:val="center"/>
                  </w:pPr>
                  <w:r>
                    <w:rPr>
                      <w:rFonts w:ascii="宋体" w:hAnsi="宋体" w:cs="宋体" w:eastAsia="宋体"/>
                      <w:b/>
                      <w:sz w:val="21"/>
                    </w:rPr>
                    <w:t>项目</w:t>
                  </w:r>
                </w:p>
              </w:tc>
              <w:tc>
                <w:tcPr>
                  <w:tcW w:type="dxa" w:w="173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42"/>
                    <w:jc w:val="center"/>
                  </w:pPr>
                  <w:r>
                    <w:rPr>
                      <w:rFonts w:ascii="宋体" w:hAnsi="宋体" w:cs="宋体" w:eastAsia="宋体"/>
                      <w:b/>
                      <w:sz w:val="21"/>
                    </w:rPr>
                    <w:t>技术参数要求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产品架构</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软件产品，采用</w:t>
                  </w:r>
                  <w:r>
                    <w:rPr>
                      <w:rFonts w:ascii="宋体" w:hAnsi="宋体" w:cs="宋体" w:eastAsia="宋体"/>
                      <w:color w:val="000000"/>
                      <w:sz w:val="21"/>
                    </w:rPr>
                    <w:t>B/S架构管理端,配置</w:t>
                  </w:r>
                  <w:r>
                    <w:rPr>
                      <w:rFonts w:ascii="宋体" w:hAnsi="宋体" w:cs="宋体" w:eastAsia="宋体"/>
                      <w:color w:val="000000"/>
                      <w:sz w:val="21"/>
                    </w:rPr>
                    <w:t>不少于</w:t>
                  </w:r>
                  <w:r>
                    <w:rPr>
                      <w:rFonts w:ascii="宋体" w:hAnsi="宋体" w:cs="宋体" w:eastAsia="宋体"/>
                      <w:color w:val="000000"/>
                      <w:sz w:val="21"/>
                    </w:rPr>
                    <w:t>20</w:t>
                  </w:r>
                  <w:r>
                    <w:rPr>
                      <w:rFonts w:ascii="宋体" w:hAnsi="宋体" w:cs="宋体" w:eastAsia="宋体"/>
                      <w:color w:val="000000"/>
                      <w:sz w:val="21"/>
                    </w:rPr>
                    <w:t>0个</w:t>
                  </w:r>
                  <w:r>
                    <w:rPr>
                      <w:rFonts w:ascii="宋体" w:hAnsi="宋体" w:cs="宋体" w:eastAsia="宋体"/>
                      <w:color w:val="000000"/>
                      <w:sz w:val="21"/>
                    </w:rPr>
                    <w:t>W</w:t>
                  </w:r>
                  <w:r>
                    <w:rPr>
                      <w:rFonts w:ascii="宋体" w:hAnsi="宋体" w:cs="宋体" w:eastAsia="宋体"/>
                      <w:color w:val="000000"/>
                      <w:sz w:val="21"/>
                    </w:rPr>
                    <w:t>indows客户端授权终端</w:t>
                  </w:r>
                  <w:r>
                    <w:rPr>
                      <w:rFonts w:ascii="宋体" w:hAnsi="宋体" w:cs="宋体" w:eastAsia="宋体"/>
                      <w:color w:val="000000"/>
                      <w:sz w:val="21"/>
                    </w:rPr>
                    <w:t>。</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基本功能</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支持根据分组、计算机名称、</w:t>
                  </w:r>
                  <w:r>
                    <w:rPr>
                      <w:rFonts w:ascii="宋体" w:hAnsi="宋体" w:cs="宋体" w:eastAsia="宋体"/>
                      <w:sz w:val="21"/>
                    </w:rPr>
                    <w:t>IP地址、MAC地址、操作系统、激活状态等条件的组合筛选出符合条件的终端进行管理，自由对终端进行转移分组、删除终端、重启系统和终端跃迁。</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管理控制中心当登录账号输入密码错误次数超过锁定阈值后账号将被锁定，且可设置锁定时间，该时间内账号登录请求不被接受。</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color w:val="000000"/>
                      <w:sz w:val="21"/>
                    </w:rPr>
                    <w:t>需要与省医院外网态势感知平台联动，可以根据平台上所发现的威胁攻击自动下发处置</w:t>
                  </w:r>
                  <w:r>
                    <w:rPr>
                      <w:rFonts w:ascii="宋体" w:hAnsi="宋体" w:cs="宋体" w:eastAsia="宋体"/>
                      <w:color w:val="000000"/>
                      <w:sz w:val="21"/>
                    </w:rPr>
                    <w:t>规则，须</w:t>
                  </w:r>
                  <w:r>
                    <w:rPr>
                      <w:rFonts w:ascii="宋体" w:hAnsi="宋体" w:cs="宋体" w:eastAsia="宋体"/>
                      <w:color w:val="000000"/>
                      <w:sz w:val="21"/>
                    </w:rPr>
                    <w:t>出具能取得安全联动的承诺书</w:t>
                  </w:r>
                  <w:r>
                    <w:rPr>
                      <w:rFonts w:ascii="宋体" w:hAnsi="宋体" w:cs="宋体" w:eastAsia="宋体"/>
                      <w:color w:val="000000"/>
                      <w:sz w:val="21"/>
                    </w:rPr>
                    <w:t>。</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防病毒</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支持对进程防护、注册表防护、驱动防护、</w:t>
                  </w:r>
                  <w:r>
                    <w:rPr>
                      <w:rFonts w:ascii="宋体" w:hAnsi="宋体" w:cs="宋体" w:eastAsia="宋体"/>
                      <w:sz w:val="21"/>
                    </w:rPr>
                    <w:t>U盘安全防护、邮件防护、下载防护、IM防护、局域网文件防护、网页安全防护、勒索软件防护。</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病毒防护日志包含：病毒查杀日志、查杀任务日志、攻击防护日志、系统防护日志、按分组、按终端、按时间</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客户端弹窗支持免打扰模式和智能模式，使用免打扰模式可以对不能弹窗的终端设备中避免弹窗。使用智能模式是智能调整弹窗，对已知的病毒自动处理，对未知的病毒提示处理。</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支持扫描资源占用设置，可设置不限制、均衡型、低资源三种模式。</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补丁管理</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支持管理员预先设置好灰度发布批次漏洞修复策略，每当控制台更新补丁库，自动化编排完成漏洞修复</w:t>
                  </w:r>
                  <w:r>
                    <w:rPr>
                      <w:rFonts w:ascii="宋体" w:hAnsi="宋体" w:cs="宋体" w:eastAsia="宋体"/>
                      <w:sz w:val="21"/>
                    </w:rPr>
                    <w:t>——将全网终端划分为由小到大的多个批次，根据企业环境，自动先推送给第一个小批次分组，如无问题自动推送给下一个批次，直到推送给全网。</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支持开启自动修复漏洞，包括开机时修复，并支持随机延迟执行、间隔修复和按时间段修复，可设置延迟时间、间隔修复时间和修复时间段</w:t>
                  </w:r>
                  <w:r>
                    <w:rPr>
                      <w:rFonts w:ascii="宋体" w:hAnsi="宋体" w:cs="宋体" w:eastAsia="宋体"/>
                      <w:color w:val="000000"/>
                      <w:sz w:val="21"/>
                    </w:rPr>
                    <w:t>；</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支持对</w:t>
                  </w:r>
                  <w:r>
                    <w:rPr>
                      <w:rFonts w:ascii="宋体" w:hAnsi="宋体" w:cs="宋体" w:eastAsia="宋体"/>
                      <w:sz w:val="21"/>
                    </w:rPr>
                    <w:t>Windows操作系统、IE、.NET Framework、Office、Adobe Flash Player、Adobe Acrobat和Adobe Acrobat Reader DC、硬件驱动更新等软件进行补丁修复。</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软件管理</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支持自定义配置搜索软件的关键字，提高终端用户搜索软件的命中率和体验</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管制中心支持上传本地软件，支持本地软件应用平台，为终端用户提供本地软件下载。支持软件的上传、更新、上架、下架、回退、删除管理精细操</w:t>
                  </w:r>
                  <w:r>
                    <w:rPr>
                      <w:rFonts w:ascii="宋体" w:hAnsi="宋体" w:cs="宋体" w:eastAsia="宋体"/>
                      <w:sz w:val="21"/>
                    </w:rPr>
                    <w:t>作</w:t>
                  </w:r>
                  <w:r>
                    <w:rPr>
                      <w:rFonts w:ascii="宋体" w:hAnsi="宋体" w:cs="宋体" w:eastAsia="宋体"/>
                      <w:color w:val="000000"/>
                      <w:sz w:val="21"/>
                    </w:rPr>
                    <w:t>；</w:t>
                  </w:r>
                  <w:r>
                    <w:rPr>
                      <w:rFonts w:ascii="calibri" w:hAnsi="calibri" w:cs="calibri" w:eastAsia="calibri"/>
                      <w:sz w:val="21"/>
                    </w:rPr>
                    <w:t xml:space="preserve"> </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支持软件分发功能，支持一次分发多款有依赖的软件，支持保存目录设制，支持自动重命名分发的文件和覆盖终端上的文件，支持分发时机设制仅在操作系统账号登录和无论操作系统账号是否登录。</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支持同一控制中心下为不同分组定制软件，满足不同的软件下载需求</w:t>
                  </w:r>
                </w:p>
              </w:tc>
            </w:tr>
            <w:tr>
              <w:tc>
                <w:tcPr>
                  <w:tcW w:type="dxa" w:w="243"/>
                  <w:vMerge/>
                  <w:tcBorders>
                    <w:top w:val="none" w:color="000000" w:sz="4"/>
                    <w:left w:val="single" w:color="000000" w:sz="4"/>
                    <w:bottom w:val="single" w:color="000000" w:sz="4"/>
                    <w:right w:val="single" w:color="000000" w:sz="4"/>
                  </w:tcBorders>
                </w:tcPr>
                <w:p/>
              </w:tc>
              <w:tc>
                <w:tcPr>
                  <w:tcW w:type="dxa" w:w="547"/>
                  <w:vMerge/>
                  <w:tcBorders>
                    <w:top w:val="none" w:color="000000" w:sz="4"/>
                    <w:left w:val="single" w:color="000000" w:sz="4"/>
                    <w:bottom w:val="single" w:color="000000" w:sz="4"/>
                    <w:right w:val="single" w:color="000000" w:sz="4"/>
                  </w:tcBorders>
                </w:tcP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支持统一配置终端下载软件存储位置、软件安装包保留时间、更新提醒间隔等设置。</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终端管控</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支持对终端各种外设（</w:t>
                  </w:r>
                  <w:r>
                    <w:rPr>
                      <w:rFonts w:ascii="宋体" w:hAnsi="宋体" w:cs="宋体" w:eastAsia="宋体"/>
                      <w:color w:val="000000"/>
                      <w:sz w:val="21"/>
                    </w:rPr>
                    <w:t>USB存储、硬盘、存储卡、光驱、打印机、扫描仪、摄像头、手机、平板等）、接口（USB口、串口、并口、1394、PCMIA）设置使用权限，并支持生效时间设置。</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产品配置</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配置</w:t>
                  </w:r>
                  <w:r>
                    <w:rPr>
                      <w:rFonts w:ascii="宋体" w:hAnsi="宋体" w:cs="宋体" w:eastAsia="宋体"/>
                      <w:sz w:val="21"/>
                    </w:rPr>
                    <w:t>≥</w:t>
                  </w:r>
                  <w:r>
                    <w:rPr>
                      <w:rFonts w:ascii="宋体" w:hAnsi="宋体" w:cs="宋体" w:eastAsia="宋体"/>
                      <w:color w:val="000000"/>
                      <w:sz w:val="21"/>
                    </w:rPr>
                    <w:t>20</w:t>
                  </w:r>
                  <w:r>
                    <w:rPr>
                      <w:rFonts w:ascii="宋体" w:hAnsi="宋体" w:cs="宋体" w:eastAsia="宋体"/>
                      <w:color w:val="000000"/>
                      <w:sz w:val="21"/>
                    </w:rPr>
                    <w:t>0点的</w:t>
                  </w:r>
                  <w:r>
                    <w:rPr>
                      <w:rFonts w:ascii="宋体" w:hAnsi="宋体" w:cs="宋体" w:eastAsia="宋体"/>
                      <w:color w:val="000000"/>
                      <w:sz w:val="21"/>
                    </w:rPr>
                    <w:t>W</w:t>
                  </w:r>
                  <w:r>
                    <w:rPr>
                      <w:rFonts w:ascii="宋体" w:hAnsi="宋体" w:cs="宋体" w:eastAsia="宋体"/>
                      <w:color w:val="000000"/>
                      <w:sz w:val="21"/>
                    </w:rPr>
                    <w:t>indows终端病毒、补丁及桌面管控授权（如提供的终端安全管理系统与医院现有的奇安信终端安全管理系统不能融合，投标时需额外提供部署所需要的服务器、操作系统和数据库）。</w:t>
                  </w:r>
                </w:p>
              </w:tc>
            </w:tr>
          </w:tbl>
          <w:p/>
        </w:tc>
      </w:tr>
      <w:tr>
        <w:tc>
          <w:tcPr>
            <w:tcW w:type="dxa" w:w="2769"/>
          </w:tcPr>
          <w:p/>
        </w:tc>
        <w:tc>
          <w:tcPr>
            <w:tcW w:type="dxa" w:w="2769"/>
          </w:tcPr>
          <w:p>
            <w:pPr>
              <w:pStyle w:val="null3"/>
            </w:pPr>
            <w:r>
              <w:rPr/>
              <w:t>7</w:t>
            </w:r>
          </w:p>
        </w:tc>
        <w:tc>
          <w:tcPr>
            <w:tcW w:type="dxa" w:w="2769"/>
          </w:tcPr>
          <w:p>
            <w:pPr>
              <w:pStyle w:val="null3"/>
              <w:ind w:firstLine="480"/>
              <w:jc w:val="both"/>
            </w:pPr>
            <w:r>
              <w:rPr>
                <w:rFonts w:ascii="宋体" w:hAnsi="宋体" w:cs="宋体" w:eastAsia="宋体"/>
                <w:sz w:val="24"/>
              </w:rPr>
              <w:t>1、服务响应时间从服务需求提出，即用户方开始拨打服务方热线服务电话后开始计时。现场工程师不能解决的问题须联系厂家。问题要求服务提供方承诺在服务需求提出后</w:t>
            </w:r>
            <w:r>
              <w:rPr>
                <w:rFonts w:ascii="宋体" w:hAnsi="宋体" w:cs="宋体" w:eastAsia="宋体"/>
                <w:sz w:val="24"/>
              </w:rPr>
              <w:t>30</w:t>
            </w:r>
            <w:r>
              <w:rPr>
                <w:rFonts w:ascii="宋体" w:hAnsi="宋体" w:cs="宋体" w:eastAsia="宋体"/>
                <w:sz w:val="24"/>
              </w:rPr>
              <w:t>分钟之内提供电话响应或在线支持服务，并于</w:t>
            </w:r>
            <w:r>
              <w:rPr>
                <w:rFonts w:ascii="宋体" w:hAnsi="宋体" w:cs="宋体" w:eastAsia="宋体"/>
                <w:sz w:val="24"/>
              </w:rPr>
              <w:t>1小时内到达现场，2小时内恢复系统运行，4小时内彻底排除设备故障。</w:t>
            </w:r>
          </w:p>
          <w:p>
            <w:pPr>
              <w:pStyle w:val="null3"/>
              <w:ind w:firstLine="480"/>
              <w:jc w:val="both"/>
            </w:pPr>
            <w:r>
              <w:rPr>
                <w:rFonts w:ascii="宋体" w:hAnsi="宋体" w:cs="宋体" w:eastAsia="宋体"/>
                <w:sz w:val="24"/>
              </w:rPr>
              <w:t>2、</w:t>
            </w:r>
            <w:r>
              <w:rPr>
                <w:rFonts w:ascii="宋体" w:hAnsi="宋体" w:cs="宋体" w:eastAsia="宋体"/>
                <w:b/>
                <w:sz w:val="24"/>
              </w:rPr>
              <w:t>培</w:t>
            </w:r>
            <w:r>
              <w:rPr>
                <w:rFonts w:ascii="calibri" w:hAnsi="calibri" w:cs="calibri" w:eastAsia="calibri"/>
                <w:b/>
                <w:sz w:val="21"/>
              </w:rPr>
              <w:t xml:space="preserve">   </w:t>
            </w:r>
            <w:r>
              <w:rPr>
                <w:rFonts w:ascii="宋体" w:hAnsi="宋体" w:cs="宋体" w:eastAsia="宋体"/>
                <w:b/>
                <w:sz w:val="24"/>
              </w:rPr>
              <w:t>训：</w:t>
            </w:r>
            <w:r>
              <w:rPr>
                <w:rFonts w:ascii="宋体" w:hAnsi="宋体" w:cs="宋体" w:eastAsia="宋体"/>
                <w:sz w:val="24"/>
              </w:rPr>
              <w:t>提供</w:t>
            </w:r>
            <w:r>
              <w:rPr>
                <w:rFonts w:ascii="宋体" w:hAnsi="宋体" w:cs="宋体" w:eastAsia="宋体"/>
                <w:sz w:val="24"/>
              </w:rPr>
              <w:t>≥</w:t>
            </w:r>
            <w:r>
              <w:rPr>
                <w:rFonts w:ascii="宋体" w:hAnsi="宋体" w:cs="宋体" w:eastAsia="宋体"/>
                <w:sz w:val="24"/>
              </w:rPr>
              <w:t>1</w:t>
            </w:r>
            <w:r>
              <w:rPr>
                <w:rFonts w:ascii="宋体" w:hAnsi="宋体" w:cs="宋体" w:eastAsia="宋体"/>
                <w:sz w:val="24"/>
              </w:rPr>
              <w:t>天现场系统运行维护培训；</w:t>
            </w:r>
          </w:p>
          <w:p>
            <w:pPr>
              <w:pStyle w:val="null3"/>
              <w:ind w:firstLine="480"/>
              <w:jc w:val="both"/>
            </w:pPr>
            <w:r>
              <w:rPr>
                <w:rFonts w:ascii="宋体" w:hAnsi="宋体" w:cs="宋体" w:eastAsia="宋体"/>
                <w:sz w:val="24"/>
              </w:rPr>
              <w:t>3、</w:t>
            </w:r>
            <w:r>
              <w:rPr>
                <w:rFonts w:ascii="宋体" w:hAnsi="宋体" w:cs="宋体" w:eastAsia="宋体"/>
                <w:b/>
                <w:sz w:val="24"/>
              </w:rPr>
              <w:t>原厂交付：</w:t>
            </w:r>
            <w:r>
              <w:rPr>
                <w:rFonts w:ascii="宋体" w:hAnsi="宋体" w:cs="宋体" w:eastAsia="宋体"/>
                <w:sz w:val="24"/>
              </w:rPr>
              <w:t>提供原厂工程师实施服务；</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b/>
                <w:sz w:val="24"/>
              </w:rPr>
              <w:t>硬件巡检：</w:t>
            </w:r>
            <w:r>
              <w:rPr>
                <w:rFonts w:ascii="宋体" w:hAnsi="宋体" w:cs="宋体" w:eastAsia="宋体"/>
                <w:sz w:val="24"/>
              </w:rPr>
              <w:t>提供每季度</w:t>
            </w:r>
            <w:r>
              <w:rPr>
                <w:rFonts w:ascii="宋体" w:hAnsi="宋体" w:cs="宋体" w:eastAsia="宋体"/>
                <w:sz w:val="24"/>
              </w:rPr>
              <w:t>≥1次的硬件设备运行情况检查；</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b/>
                <w:sz w:val="24"/>
              </w:rPr>
              <w:t>系统巡检：</w:t>
            </w:r>
            <w:r>
              <w:rPr>
                <w:rFonts w:ascii="宋体" w:hAnsi="宋体" w:cs="宋体" w:eastAsia="宋体"/>
                <w:sz w:val="24"/>
              </w:rPr>
              <w:t>提供每季度</w:t>
            </w:r>
            <w:r>
              <w:rPr>
                <w:rFonts w:ascii="宋体" w:hAnsi="宋体" w:cs="宋体" w:eastAsia="宋体"/>
                <w:sz w:val="24"/>
              </w:rPr>
              <w:t>≥1次的系统健康检查；</w:t>
            </w:r>
          </w:p>
          <w:p>
            <w:pPr>
              <w:pStyle w:val="null3"/>
              <w:ind w:firstLine="480"/>
              <w:jc w:val="both"/>
            </w:pPr>
            <w:r>
              <w:rPr>
                <w:rFonts w:ascii="宋体" w:hAnsi="宋体" w:cs="宋体" w:eastAsia="宋体"/>
                <w:sz w:val="24"/>
              </w:rPr>
              <w:t>6</w:t>
            </w:r>
            <w:r>
              <w:rPr>
                <w:rFonts w:ascii="宋体" w:hAnsi="宋体" w:cs="宋体" w:eastAsia="宋体"/>
                <w:sz w:val="24"/>
              </w:rPr>
              <w:t>、</w:t>
            </w:r>
            <w:r>
              <w:rPr>
                <w:rFonts w:ascii="宋体" w:hAnsi="宋体" w:cs="宋体" w:eastAsia="宋体"/>
                <w:b/>
                <w:sz w:val="24"/>
              </w:rPr>
              <w:t>微码升级</w:t>
            </w:r>
            <w:r>
              <w:rPr>
                <w:rFonts w:ascii="宋体" w:hAnsi="宋体" w:cs="宋体" w:eastAsia="宋体"/>
                <w:sz w:val="24"/>
              </w:rPr>
              <w:t>：建立硬件微码档案，制订升级方案，根据需要协助用户方实施升级工作；</w:t>
            </w:r>
          </w:p>
          <w:p>
            <w:pPr>
              <w:pStyle w:val="null3"/>
              <w:ind w:firstLine="480"/>
              <w:jc w:val="both"/>
            </w:pPr>
            <w:r>
              <w:rPr>
                <w:rFonts w:ascii="宋体" w:hAnsi="宋体" w:cs="宋体" w:eastAsia="宋体"/>
                <w:sz w:val="24"/>
              </w:rPr>
              <w:t>7</w:t>
            </w:r>
            <w:r>
              <w:rPr>
                <w:rFonts w:ascii="宋体" w:hAnsi="宋体" w:cs="宋体" w:eastAsia="宋体"/>
                <w:sz w:val="24"/>
              </w:rPr>
              <w:t>、所投产品提供</w:t>
            </w:r>
            <w:r>
              <w:rPr>
                <w:rFonts w:ascii="simsun" w:hAnsi="simsun" w:cs="simsun" w:eastAsia="simsun"/>
                <w:sz w:val="24"/>
              </w:rPr>
              <w:t>3年</w:t>
            </w:r>
            <w:r>
              <w:rPr>
                <w:rFonts w:ascii="宋体" w:hAnsi="宋体" w:cs="宋体" w:eastAsia="宋体"/>
                <w:sz w:val="24"/>
              </w:rPr>
              <w:t>原厂免费保修、现场技术支持、及软件免费升级服务；</w:t>
            </w:r>
          </w:p>
          <w:p>
            <w:pPr>
              <w:pStyle w:val="null3"/>
              <w:ind w:firstLine="480"/>
              <w:jc w:val="both"/>
            </w:pPr>
            <w:r>
              <w:rPr>
                <w:rFonts w:ascii="宋体" w:hAnsi="宋体" w:cs="宋体" w:eastAsia="宋体"/>
                <w:sz w:val="24"/>
              </w:rPr>
              <w:t>8</w:t>
            </w:r>
            <w:r>
              <w:rPr>
                <w:rFonts w:ascii="宋体" w:hAnsi="宋体" w:cs="宋体" w:eastAsia="宋体"/>
                <w:sz w:val="24"/>
              </w:rPr>
              <w:t>、</w:t>
            </w:r>
            <w:r>
              <w:rPr>
                <w:rFonts w:ascii="宋体" w:hAnsi="宋体" w:cs="宋体" w:eastAsia="宋体"/>
                <w:color w:val="000000"/>
                <w:sz w:val="24"/>
              </w:rPr>
              <w:t>▲</w:t>
            </w:r>
            <w:r>
              <w:rPr>
                <w:rFonts w:ascii="宋体" w:hAnsi="宋体" w:cs="宋体" w:eastAsia="宋体"/>
                <w:sz w:val="24"/>
              </w:rPr>
              <w:t>提供</w:t>
            </w:r>
            <w:r>
              <w:rPr>
                <w:rFonts w:ascii="宋体" w:hAnsi="宋体" w:cs="宋体" w:eastAsia="宋体"/>
                <w:color w:val="000000"/>
                <w:sz w:val="24"/>
              </w:rPr>
              <w:t>中心侧</w:t>
            </w:r>
            <w:r>
              <w:rPr>
                <w:rFonts w:ascii="宋体" w:hAnsi="宋体" w:cs="宋体" w:eastAsia="宋体"/>
                <w:color w:val="000000"/>
                <w:sz w:val="24"/>
              </w:rPr>
              <w:t>V</w:t>
            </w:r>
            <w:r>
              <w:rPr>
                <w:rFonts w:ascii="宋体" w:hAnsi="宋体" w:cs="宋体" w:eastAsia="宋体"/>
                <w:color w:val="000000"/>
                <w:sz w:val="24"/>
              </w:rPr>
              <w:t>PN</w:t>
            </w:r>
            <w:r>
              <w:rPr>
                <w:rFonts w:ascii="宋体" w:hAnsi="宋体" w:cs="宋体" w:eastAsia="宋体"/>
                <w:color w:val="000000"/>
                <w:sz w:val="24"/>
              </w:rPr>
              <w:t>设备、卫生服务站</w:t>
            </w:r>
            <w:r>
              <w:rPr>
                <w:rFonts w:ascii="宋体" w:hAnsi="宋体" w:cs="宋体" w:eastAsia="宋体"/>
                <w:color w:val="000000"/>
                <w:sz w:val="24"/>
              </w:rPr>
              <w:t>V</w:t>
            </w:r>
            <w:r>
              <w:rPr>
                <w:rFonts w:ascii="宋体" w:hAnsi="宋体" w:cs="宋体" w:eastAsia="宋体"/>
                <w:color w:val="000000"/>
                <w:sz w:val="24"/>
              </w:rPr>
              <w:t>PN</w:t>
            </w:r>
            <w:r>
              <w:rPr>
                <w:rFonts w:ascii="宋体" w:hAnsi="宋体" w:cs="宋体" w:eastAsia="宋体"/>
                <w:color w:val="000000"/>
                <w:sz w:val="24"/>
              </w:rPr>
              <w:t>设备、终端安全管理系统生产厂商针对本项目的售后服务承诺函；</w:t>
            </w:r>
          </w:p>
          <w:p>
            <w:pPr>
              <w:pStyle w:val="null3"/>
              <w:jc w:val="both"/>
            </w:pPr>
            <w:r>
              <w:rPr>
                <w:rFonts w:ascii="宋体" w:hAnsi="宋体" w:cs="宋体" w:eastAsia="宋体"/>
                <w:sz w:val="24"/>
              </w:rPr>
              <w:t xml:space="preserve">   9、提供本项目所需辅材及配件，包括所有的网络跳线、互联尾纤（O</w:t>
            </w:r>
            <w:r>
              <w:rPr>
                <w:rFonts w:ascii="宋体" w:hAnsi="宋体" w:cs="宋体" w:eastAsia="宋体"/>
                <w:sz w:val="24"/>
              </w:rPr>
              <w:t>M4</w:t>
            </w:r>
            <w:r>
              <w:rPr>
                <w:rFonts w:ascii="宋体" w:hAnsi="宋体" w:cs="宋体" w:eastAsia="宋体"/>
                <w:sz w:val="24"/>
              </w:rPr>
              <w:t>）等，以及施工服务。</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接甲方通知之日起30个日历日。</w:t>
      </w:r>
    </w:p>
    <w:p>
      <w:pPr>
        <w:pStyle w:val="null3"/>
        <w:outlineLvl w:val="3"/>
      </w:pPr>
      <w:r>
        <w:rPr>
          <w:b/>
          <w:sz w:val="24"/>
        </w:rPr>
        <w:t>3.4.2交货地点</w:t>
      </w:r>
    </w:p>
    <w:p>
      <w:pPr>
        <w:pStyle w:val="null3"/>
      </w:pPr>
      <w:r>
        <w:rPr/>
        <w:t>采购包1：</w:t>
      </w:r>
    </w:p>
    <w:p>
      <w:pPr>
        <w:pStyle w:val="null3"/>
      </w:pPr>
      <w:r>
        <w:rPr/>
        <w:t>陕西省人民医院指定地点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根据实际供货量，据实结算，具体支付事宜由采购人与成交供应商商定</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按招标文件、投标文件及合同约定执行。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所投产品提供3年原厂免费保修、现场技术支持、及软件免费升级服务；</w:t>
      </w:r>
    </w:p>
    <w:p>
      <w:pPr>
        <w:pStyle w:val="null3"/>
        <w:outlineLvl w:val="3"/>
      </w:pPr>
      <w:r>
        <w:rPr>
          <w:b/>
          <w:sz w:val="24"/>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b/>
          <w:sz w:val="28"/>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 投标函</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接甲方通知之日起30个日历日</w:t>
            </w:r>
          </w:p>
        </w:tc>
        <w:tc>
          <w:tcPr>
            <w:tcW w:type="dxa" w:w="1661"/>
          </w:tcPr>
          <w:p>
            <w:pPr>
              <w:pStyle w:val="null3"/>
            </w:pPr>
            <w:r>
              <w:rPr/>
              <w:t>商务偏离表 投标文件封面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所投产品提供3年原厂免费保修、现场技术支持、及软件免费升级服务。</w:t>
            </w:r>
          </w:p>
        </w:tc>
        <w:tc>
          <w:tcPr>
            <w:tcW w:type="dxa" w:w="1661"/>
          </w:tcPr>
          <w:p>
            <w:pPr>
              <w:pStyle w:val="null3"/>
            </w:pPr>
            <w:r>
              <w:rPr/>
              <w:t>商务偏离表 投标文件封面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根据实际供货量，据实结算。</w:t>
            </w:r>
          </w:p>
        </w:tc>
        <w:tc>
          <w:tcPr>
            <w:tcW w:type="dxa" w:w="1661"/>
          </w:tcPr>
          <w:p>
            <w:pPr>
              <w:pStyle w:val="null3"/>
            </w:pPr>
            <w:r>
              <w:rPr/>
              <w:t>商务偏离表 投标文件封面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 投标文件封面</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标的清单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供应商提供投标产品的配置方案：包括但不限于：1、选型、配置；2、适配性；3、设备维护保养等全生命周期成本控制措施等。 方案各项内容全面详细、阐述条理清晰、技术先进、功能配置合理，能有效保障本项目实施得9分，每有一项缺项扣3分，每有一处内容存在缺陷，扣1分，扣完为止。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技术评审</w:t>
            </w:r>
          </w:p>
        </w:tc>
        <w:tc>
          <w:tcPr>
            <w:tcW w:type="dxa" w:w="2492"/>
          </w:tcPr>
          <w:p>
            <w:pPr>
              <w:pStyle w:val="null3"/>
            </w:pPr>
            <w:r>
              <w:rPr/>
              <w:t>投标产品的基本功能、产品技术参数和配置完全满足或优于采购文件要求的，得满分（20）分；其中“▲”（10项）标注参数为重要技术参数。每负偏离一项扣2分，直至本项扣完为止；非“▲”参数为一般参数，每负偏离一项扣1分，直至本项扣完为止。 注：带“▲”参数需提供佐证材料并加盖公章。 （佐证材料不限于：检测报告、功能说明书、网站截图等、承诺函内容，证明材料需加盖公章，未提供相关证明材料不得分。） 根据技术规格响应表，逐条对应（并单独列出）核对检测设备技术参数，未提供有效支持依据的可按负偏离处理。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技术评审</w:t>
            </w:r>
          </w:p>
        </w:tc>
        <w:tc>
          <w:tcPr>
            <w:tcW w:type="dxa" w:w="2492"/>
          </w:tcPr>
          <w:p>
            <w:pPr>
              <w:pStyle w:val="null3"/>
            </w:pPr>
            <w:r>
              <w:rPr/>
              <w:t>供应商提供针对本项目的VPN方案：包括但不限于1、VPN总体架构方案；2、部署方案3、新增中心侧VPN设备与医院现有VPN设备构建双活VPN接入平台的实现方案等。 方案各项内容全面详细、阐述条理清晰，能有效保障本项目实施得9分，每有一项缺项扣3分，每有一处内容存在缺陷，扣1分，扣完为止。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技术评审</w:t>
            </w:r>
          </w:p>
        </w:tc>
        <w:tc>
          <w:tcPr>
            <w:tcW w:type="dxa" w:w="2492"/>
          </w:tcPr>
          <w:p>
            <w:pPr>
              <w:pStyle w:val="null3"/>
            </w:pPr>
            <w:r>
              <w:rPr/>
              <w:t>供应商提供针对本项目的终端安全系统方案：包括但不限于1、终端安全系统部署方案；2、与医院现有态势感知平台的安全联动技术方案。 方案各项内容全面详细、阐述条理清晰，能有效保障本项目实施得6分，每有一项缺项扣3分，每有一处内容存在缺陷，扣1分，扣完为止。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供应商提供2021年1月1日至今（以合同签订日期为准）类似项目业绩。每提供1份得2分，最高得6分。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供货渠道</w:t>
            </w:r>
          </w:p>
        </w:tc>
        <w:tc>
          <w:tcPr>
            <w:tcW w:type="dxa" w:w="2492"/>
          </w:tcPr>
          <w:p>
            <w:pPr>
              <w:pStyle w:val="null3"/>
            </w:pPr>
            <w:r>
              <w:rPr/>
              <w:t>供应商须提供中心侧VPN设备、卫生服务站VPN设备、终端安全管理系统，产品厂家对所投产品合法的来源渠道证明文件。（包括但不限于代理协议、原厂授权等相关证明文件），每提供1份得1分，满分3分。未提供来源渠道证明文件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供货渠道</w:t>
            </w:r>
          </w:p>
        </w:tc>
      </w:tr>
      <w:tr>
        <w:tc>
          <w:tcPr>
            <w:tcW w:type="dxa" w:w="831"/>
            <w:vMerge/>
          </w:tcPr>
          <w:p/>
        </w:tc>
        <w:tc>
          <w:tcPr>
            <w:tcW w:type="dxa" w:w="1661"/>
          </w:tcPr>
          <w:p>
            <w:pPr>
              <w:pStyle w:val="null3"/>
            </w:pPr>
            <w:r>
              <w:rPr/>
              <w:t>售后服务</w:t>
            </w:r>
          </w:p>
        </w:tc>
        <w:tc>
          <w:tcPr>
            <w:tcW w:type="dxa" w:w="2492"/>
          </w:tcPr>
          <w:p>
            <w:pPr>
              <w:pStyle w:val="null3"/>
            </w:pPr>
            <w:r>
              <w:rPr/>
              <w:t>供应商提供售后服务方案：包括但不限于1、售后服务计划、措施等；2、硬件巡检、系统巡检的巡检计划；3、服务响应时间。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供应商提供培训方案：包括但不限于1、培训方案保证使用单位能熟练操作维护和正常使用；2、列出详细的培训内容、培训方式；3、提供≥1天现场系统运行维护培训等。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报价表及分项报价表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详见附件：供货渠道</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详见附件：报价表及分项报价表</w:t>
      </w:r>
    </w:p>
    <w:p>
      <w:pPr>
        <w:pStyle w:val="null3"/>
        <w:ind w:firstLine="960"/>
      </w:pPr>
      <w:r>
        <w:rPr/>
        <w:t>详见附件：资格响应表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