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（服务类）</w:t>
      </w:r>
      <w:r>
        <w:br/>
      </w:r>
      <w:r>
        <w:br/>
      </w:r>
      <w:r>
        <w:br/>
      </w:r>
      <w:r>
        <w:br/>
      </w:r>
      <w:r>
        <w:br/>
      </w:r>
      <w:r>
        <w:br/>
      </w:r>
      <w:r>
        <w:br/>
      </w:r>
      <w:r>
        <w:br/>
      </w:r>
      <w:r>
        <w:br/>
      </w:r>
      <w:r>
        <w:br/>
      </w:r>
      <w:r>
        <w:br/>
      </w:r>
    </w:p>
    <w:p>
      <w:pPr>
        <w:pStyle w:val="null3"/>
        <w:jc w:val="center"/>
        <w:outlineLvl w:val="5"/>
      </w:pPr>
      <w:r>
        <w:rPr>
          <w:b/>
          <w:sz w:val="15"/>
        </w:rPr>
        <w:t>采购项目名称：</w:t>
      </w:r>
      <w:r>
        <w:rPr>
          <w:b/>
          <w:sz w:val="15"/>
        </w:rPr>
        <w:t>CT球管更换服务采购项目</w:t>
      </w:r>
    </w:p>
    <w:p>
      <w:pPr>
        <w:pStyle w:val="null3"/>
        <w:jc w:val="center"/>
        <w:outlineLvl w:val="5"/>
      </w:pPr>
      <w:r>
        <w:rPr>
          <w:b/>
          <w:sz w:val="15"/>
        </w:rPr>
        <w:t xml:space="preserve">采购项目编号: </w:t>
      </w:r>
      <w:r>
        <w:rPr>
          <w:b/>
          <w:sz w:val="15"/>
        </w:rPr>
        <w:t>SZT2024-SN-SC-ZC-FW-0136</w:t>
      </w:r>
      <w:r>
        <w:br/>
      </w:r>
      <w:r>
        <w:br/>
      </w:r>
      <w:r>
        <w:br/>
      </w:r>
    </w:p>
    <w:p>
      <w:pPr>
        <w:pStyle w:val="null3"/>
        <w:jc w:val="center"/>
        <w:outlineLvl w:val="5"/>
      </w:pPr>
      <w:r>
        <w:rPr>
          <w:b/>
          <w:sz w:val="15"/>
        </w:rPr>
        <w:t>陕西省人民医院</w:t>
      </w:r>
    </w:p>
    <w:p>
      <w:pPr>
        <w:pStyle w:val="null3"/>
        <w:jc w:val="center"/>
        <w:outlineLvl w:val="5"/>
      </w:pPr>
      <w:r>
        <w:rPr>
          <w:b/>
          <w:sz w:val="15"/>
        </w:rPr>
        <w:t>陕西中技招标有限公司</w:t>
      </w:r>
      <w:r>
        <w:rPr>
          <w:b/>
          <w:sz w:val="15"/>
        </w:rPr>
        <w:t>共同编制</w:t>
      </w:r>
    </w:p>
    <w:p>
      <w:pPr>
        <w:pStyle w:val="null3"/>
        <w:jc w:val="center"/>
        <w:outlineLvl w:val="5"/>
      </w:pPr>
      <w:r>
        <w:rPr>
          <w:b/>
          <w:sz w:val="15"/>
        </w:rPr>
        <w:t>2024年05月07日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陕西中技招标有限公司</w:t>
      </w:r>
      <w:r>
        <w:rPr/>
        <w:t>（以下简称“代理机构”）受</w:t>
      </w:r>
      <w:r>
        <w:rPr/>
        <w:t>陕西省人民医院</w:t>
      </w:r>
      <w:r>
        <w:rPr/>
        <w:t>委托，拟对</w:t>
      </w:r>
      <w:r>
        <w:rPr/>
        <w:t>CT球管更换服务采购项目</w:t>
      </w:r>
      <w:r>
        <w:rPr/>
        <w:t>采用单一来源方式进行采购，现邀请贵公司参加该项目的协商。</w:t>
      </w:r>
    </w:p>
    <w:p>
      <w:pPr>
        <w:pStyle w:val="null3"/>
        <w:outlineLvl w:val="2"/>
      </w:pPr>
      <w:r>
        <w:rPr>
          <w:b/>
          <w:sz w:val="28"/>
        </w:rPr>
        <w:t xml:space="preserve"> 一、采购项目编号：</w:t>
      </w:r>
      <w:r>
        <w:rPr>
          <w:b/>
          <w:sz w:val="28"/>
        </w:rPr>
        <w:t>SZT2024-SN-SC-ZC-FW-0136</w:t>
      </w:r>
    </w:p>
    <w:p>
      <w:pPr>
        <w:pStyle w:val="null3"/>
        <w:outlineLvl w:val="2"/>
      </w:pPr>
      <w:r>
        <w:rPr>
          <w:b/>
          <w:sz w:val="28"/>
        </w:rPr>
        <w:t xml:space="preserve"> 二、采购项目名称：</w:t>
      </w:r>
      <w:r>
        <w:rPr>
          <w:b/>
          <w:sz w:val="28"/>
        </w:rPr>
        <w:t>CT球管更换服务采购项目</w:t>
      </w:r>
    </w:p>
    <w:p>
      <w:pPr>
        <w:pStyle w:val="null3"/>
        <w:outlineLvl w:val="2"/>
      </w:pPr>
      <w:r>
        <w:rPr>
          <w:b/>
          <w:sz w:val="28"/>
        </w:rPr>
        <w:t>三、协商项目简介：</w:t>
      </w:r>
    </w:p>
    <w:p>
      <w:pPr>
        <w:pStyle w:val="null3"/>
        <w:ind w:firstLine="480"/>
      </w:pPr>
      <w:r>
        <w:rPr/>
        <w:t>CT球管更换服务</w:t>
      </w:r>
    </w:p>
    <w:p>
      <w:pPr>
        <w:pStyle w:val="null3"/>
        <w:outlineLvl w:val="2"/>
      </w:pPr>
      <w:r>
        <w:rPr>
          <w:b/>
          <w:sz w:val="28"/>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2、医疗器械经营许可证：供应商须提供医疗器械经营许可证。</w:t>
      </w:r>
    </w:p>
    <w:p>
      <w:pPr>
        <w:pStyle w:val="null3"/>
      </w:pPr>
      <w:r>
        <w:rPr/>
        <w:t>3、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jc w:val="left"/>
      </w:pPr>
      <w:r>
        <w:rPr/>
        <w:br/>
        <w:t xml:space="preserve"> 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b/>
          <w:sz w:val="28"/>
        </w:rPr>
        <w:t xml:space="preserve"> 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85253261-3382</w:t>
      </w:r>
    </w:p>
    <w:p>
      <w:pPr>
        <w:pStyle w:val="null3"/>
        <w:outlineLvl w:val="2"/>
      </w:pPr>
      <w:r>
        <w:rPr>
          <w:b/>
          <w:sz w:val="28"/>
        </w:rPr>
        <w:t xml:space="preserve"> 代理机构：</w:t>
      </w:r>
      <w:r>
        <w:rPr>
          <w:b/>
          <w:sz w:val="28"/>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方雨、李文俊</w:t>
      </w:r>
    </w:p>
    <w:p>
      <w:pPr>
        <w:pStyle w:val="null3"/>
      </w:pPr>
      <w:r>
        <w:rPr/>
        <w:t xml:space="preserve"> 联系电话： </w:t>
      </w:r>
      <w:r>
        <w:rPr/>
        <w:t>029-88364979-879</w:t>
      </w:r>
    </w:p>
    <w:p>
      <w:pPr>
        <w:pStyle w:val="null3"/>
        <w:outlineLvl w:val="2"/>
      </w:pPr>
      <w:r>
        <w:rPr>
          <w:b/>
          <w:sz w:val="28"/>
        </w:rPr>
        <w:t xml:space="preserve"> 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采购包1：1,000,000.00元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采购包1：1,000,000.00元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w:t>
            </w:r>
          </w:p>
          <w:p>
            <w:pPr>
              <w:pStyle w:val="null3"/>
            </w:pPr>
            <w:r>
              <w:rPr/>
              <w:t>开户银行：招商银行西安分行营业部</w:t>
            </w:r>
          </w:p>
          <w:p>
            <w:pPr>
              <w:pStyle w:val="null3"/>
            </w:pPr>
            <w:r>
              <w:rPr/>
              <w:t>银行账号：129916812810001</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供应商应向采购代理机构交纳招标代理服务费。招标代理服务费的收取参见国家计委颁布的《招标代理服务收费管理暂行办法》（计价格[2002]1980号）和（发改办价格[2003]857号）收费标准，按照中标金额差额定率累进法计算后计取（中标金额≤100万元的，正常计取；100＜中标金额≤500万元的，下浮20%计取；500＜中标金额≤1000万元的，下浮25%计取；1000＞中标金额的，下浮30%计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陕西省人民医院</w:t>
      </w:r>
      <w:r>
        <w:rPr/>
        <w:t>和</w:t>
      </w:r>
      <w:r>
        <w:rPr/>
        <w:t>陕西中技招标有限公司</w:t>
      </w:r>
      <w:r>
        <w:rPr/>
        <w:t>享有。对采购文件中供应商参加本次政府采购活动应当具备的条件、项目技术、服务、商务及其他要求，评审标准由采购人负责解释。除前述采购文件内容，其他内容由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陕西省人民医院</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b/>
          <w:sz w:val="24"/>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b/>
          <w:sz w:val="24"/>
        </w:rPr>
        <w:t xml:space="preserve"> 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⑴本合同及附件文本所约定的验收标准； ⑵谈判文件、响应文件、澄清表（函）； ⑶国家相应的标准、规范。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医院现用CT出现故障，无法曝光，经鉴定是球管出现故障，现需更换球管并调试设备至正常运行。</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1,000,000.00</w:t>
      </w:r>
    </w:p>
    <w:p>
      <w:pPr>
        <w:pStyle w:val="null3"/>
      </w:pPr>
      <w:r>
        <w:rPr/>
        <w:t>采购包最高限价（元）: 1,000,000.00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CT球管更换服务采购项目</w:t>
            </w:r>
          </w:p>
        </w:tc>
        <w:tc>
          <w:tcPr>
            <w:tcW w:type="dxa" w:w="831"/>
          </w:tcPr>
          <w:p>
            <w:pPr>
              <w:pStyle w:val="null3"/>
              <w:jc w:val="right"/>
            </w:pPr>
            <w:r>
              <w:rPr/>
              <w:t>1.00</w:t>
            </w:r>
          </w:p>
        </w:tc>
        <w:tc>
          <w:tcPr>
            <w:tcW w:type="dxa" w:w="831"/>
          </w:tcPr>
          <w:p>
            <w:pPr>
              <w:pStyle w:val="null3"/>
              <w:jc w:val="right"/>
            </w:pPr>
            <w:r>
              <w:rPr/>
              <w:t>1,000,000.00</w:t>
            </w:r>
          </w:p>
        </w:tc>
        <w:tc>
          <w:tcPr>
            <w:tcW w:type="dxa" w:w="831"/>
          </w:tcPr>
          <w:p>
            <w:pPr>
              <w:pStyle w:val="null3"/>
            </w:pPr>
            <w:r>
              <w:rPr/>
              <w:t>个</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标的名称：CT球管更换服务采购项目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热存储总容量</w:t>
            </w:r>
            <w:r>
              <w:rPr>
                <w:rFonts w:ascii="宋体" w:hAnsi="宋体" w:cs="宋体" w:eastAsia="宋体"/>
                <w:sz w:val="21"/>
              </w:rPr>
              <w:t>: 30MHU</w:t>
            </w:r>
          </w:p>
          <w:p>
            <w:pPr>
              <w:pStyle w:val="null3"/>
              <w:jc w:val="both"/>
            </w:pPr>
            <w:r>
              <w:rPr>
                <w:rFonts w:ascii="宋体" w:hAnsi="宋体" w:cs="宋体" w:eastAsia="宋体"/>
                <w:sz w:val="21"/>
              </w:rPr>
              <w:t>额定电压</w:t>
            </w:r>
            <w:r>
              <w:rPr>
                <w:rFonts w:ascii="宋体" w:hAnsi="宋体" w:cs="宋体" w:eastAsia="宋体"/>
                <w:sz w:val="21"/>
              </w:rPr>
              <w:t>:140KV</w:t>
            </w:r>
          </w:p>
          <w:p>
            <w:pPr>
              <w:pStyle w:val="null3"/>
              <w:jc w:val="both"/>
            </w:pPr>
            <w:r>
              <w:rPr>
                <w:rFonts w:ascii="宋体" w:hAnsi="宋体" w:cs="宋体" w:eastAsia="宋体"/>
                <w:sz w:val="21"/>
              </w:rPr>
              <w:t>最大连续阳极输入功率</w:t>
            </w:r>
            <w:r>
              <w:rPr>
                <w:rFonts w:ascii="宋体" w:hAnsi="宋体" w:cs="宋体" w:eastAsia="宋体"/>
                <w:sz w:val="21"/>
              </w:rPr>
              <w:t>:3 kW</w:t>
            </w:r>
          </w:p>
          <w:p>
            <w:pPr>
              <w:pStyle w:val="null3"/>
              <w:jc w:val="both"/>
            </w:pPr>
            <w:r>
              <w:rPr>
                <w:rFonts w:ascii="宋体" w:hAnsi="宋体" w:cs="宋体" w:eastAsia="宋体"/>
                <w:sz w:val="21"/>
              </w:rPr>
              <w:t>球管组件重量：</w:t>
            </w:r>
            <w:r>
              <w:rPr>
                <w:rFonts w:ascii="宋体" w:hAnsi="宋体" w:cs="宋体" w:eastAsia="宋体"/>
                <w:sz w:val="21"/>
              </w:rPr>
              <w:t>44.2 kg±0.3 kg</w:t>
            </w:r>
          </w:p>
          <w:p>
            <w:pPr>
              <w:pStyle w:val="null3"/>
              <w:jc w:val="both"/>
            </w:pPr>
            <w:r>
              <w:rPr>
                <w:rFonts w:ascii="宋体" w:hAnsi="宋体" w:cs="宋体" w:eastAsia="宋体"/>
                <w:sz w:val="21"/>
              </w:rPr>
              <w:t>焦点大小：</w:t>
            </w:r>
          </w:p>
          <w:p>
            <w:pPr>
              <w:pStyle w:val="null3"/>
              <w:jc w:val="both"/>
            </w:pPr>
            <w:r>
              <w:rPr>
                <w:rFonts w:ascii="宋体" w:hAnsi="宋体" w:cs="宋体" w:eastAsia="宋体"/>
                <w:sz w:val="21"/>
              </w:rPr>
              <w:t>超小焦点：</w:t>
            </w:r>
            <w:r>
              <w:rPr>
                <w:rFonts w:ascii="宋体" w:hAnsi="宋体" w:cs="宋体" w:eastAsia="宋体"/>
                <w:sz w:val="21"/>
              </w:rPr>
              <w:t>0.4*0.7 IEC60336</w:t>
            </w:r>
          </w:p>
          <w:p>
            <w:pPr>
              <w:pStyle w:val="null3"/>
              <w:jc w:val="both"/>
            </w:pPr>
            <w:r>
              <w:rPr>
                <w:rFonts w:ascii="宋体" w:hAnsi="宋体" w:cs="宋体" w:eastAsia="宋体"/>
                <w:sz w:val="21"/>
              </w:rPr>
              <w:t>小焦点：</w:t>
            </w:r>
            <w:r>
              <w:rPr>
                <w:rFonts w:ascii="宋体" w:hAnsi="宋体" w:cs="宋体" w:eastAsia="宋体"/>
                <w:sz w:val="21"/>
              </w:rPr>
              <w:t>0.6*0.7  IEC60336</w:t>
            </w:r>
          </w:p>
          <w:p>
            <w:pPr>
              <w:pStyle w:val="null3"/>
              <w:jc w:val="both"/>
            </w:pPr>
            <w:r>
              <w:rPr>
                <w:rFonts w:ascii="宋体" w:hAnsi="宋体" w:cs="宋体" w:eastAsia="宋体"/>
                <w:sz w:val="21"/>
              </w:rPr>
              <w:t>大焦点：</w:t>
            </w:r>
            <w:r>
              <w:rPr>
                <w:rFonts w:ascii="宋体" w:hAnsi="宋体" w:cs="宋体" w:eastAsia="宋体"/>
                <w:sz w:val="21"/>
              </w:rPr>
              <w:t>1.1*1.2  IEC60336</w:t>
            </w:r>
          </w:p>
          <w:p>
            <w:pPr>
              <w:pStyle w:val="null3"/>
              <w:jc w:val="both"/>
            </w:pPr>
            <w:r>
              <w:rPr>
                <w:rFonts w:ascii="宋体" w:hAnsi="宋体" w:cs="宋体" w:eastAsia="宋体"/>
                <w:sz w:val="21"/>
              </w:rPr>
              <w:t>正常阳极转速：</w:t>
            </w:r>
            <w:r>
              <w:rPr>
                <w:rFonts w:ascii="宋体" w:hAnsi="宋体" w:cs="宋体" w:eastAsia="宋体"/>
                <w:sz w:val="21"/>
              </w:rPr>
              <w:t>10800RPM</w:t>
            </w:r>
          </w:p>
          <w:p>
            <w:pPr>
              <w:pStyle w:val="null3"/>
              <w:jc w:val="both"/>
            </w:pPr>
            <w:r>
              <w:rPr>
                <w:rFonts w:ascii="宋体" w:hAnsi="宋体" w:cs="宋体" w:eastAsia="宋体"/>
                <w:sz w:val="21"/>
              </w:rPr>
              <w:t>最大灯丝电流：</w:t>
            </w:r>
            <w:r>
              <w:rPr>
                <w:rFonts w:ascii="宋体" w:hAnsi="宋体" w:cs="宋体" w:eastAsia="宋体"/>
                <w:sz w:val="21"/>
              </w:rPr>
              <w:t>7.5A</w:t>
            </w:r>
          </w:p>
          <w:p>
            <w:pPr>
              <w:pStyle w:val="null3"/>
              <w:jc w:val="both"/>
            </w:pPr>
            <w:r>
              <w:rPr>
                <w:rFonts w:ascii="宋体" w:hAnsi="宋体" w:cs="宋体" w:eastAsia="宋体"/>
                <w:sz w:val="21"/>
              </w:rPr>
              <w:t>最大灯丝电压：</w:t>
            </w:r>
            <w:r>
              <w:rPr>
                <w:rFonts w:ascii="宋体" w:hAnsi="宋体" w:cs="宋体" w:eastAsia="宋体"/>
                <w:sz w:val="21"/>
              </w:rPr>
              <w:t>15.7V</w:t>
            </w:r>
          </w:p>
        </w:tc>
      </w:tr>
    </w:tbl>
    <w:p>
      <w:pPr>
        <w:pStyle w:val="null3"/>
        <w:outlineLvl w:val="3"/>
      </w:pPr>
      <w:r>
        <w:rPr>
          <w:b/>
          <w:sz w:val="24"/>
        </w:rPr>
        <w:t>3.2.3人员配置要求</w:t>
      </w:r>
    </w:p>
    <w:p>
      <w:pPr>
        <w:pStyle w:val="null3"/>
      </w:pPr>
      <w:r>
        <w:rPr/>
        <w:t>采购包1：</w:t>
      </w:r>
    </w:p>
    <w:p>
      <w:pPr>
        <w:pStyle w:val="null3"/>
      </w:pPr>
      <w:r>
        <w:rPr/>
        <w:t>满足采购方服务要求。</w:t>
      </w:r>
    </w:p>
    <w:p>
      <w:pPr>
        <w:pStyle w:val="null3"/>
        <w:outlineLvl w:val="3"/>
      </w:pPr>
      <w:r>
        <w:rPr>
          <w:b/>
          <w:sz w:val="24"/>
        </w:rPr>
        <w:t>3.2.4设施设备要求</w:t>
      </w:r>
    </w:p>
    <w:p>
      <w:pPr>
        <w:pStyle w:val="null3"/>
      </w:pPr>
      <w:r>
        <w:rPr/>
        <w:t>采购包1：</w:t>
      </w:r>
    </w:p>
    <w:p>
      <w:pPr>
        <w:pStyle w:val="null3"/>
      </w:pPr>
      <w:r>
        <w:rPr/>
        <w:t>满足采购方服务要求。</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 xml:space="preserve"> 自合同签订之日起10日内。</w:t>
      </w:r>
    </w:p>
    <w:p>
      <w:pPr>
        <w:pStyle w:val="null3"/>
        <w:outlineLvl w:val="3"/>
      </w:pPr>
      <w:r>
        <w:rPr>
          <w:b/>
          <w:sz w:val="24"/>
        </w:rPr>
        <w:t>3.3.2服务地点</w:t>
      </w:r>
    </w:p>
    <w:p>
      <w:pPr>
        <w:pStyle w:val="null3"/>
      </w:pPr>
      <w:r>
        <w:rPr/>
        <w:t>采购包1：</w:t>
      </w:r>
    </w:p>
    <w:p>
      <w:pPr>
        <w:pStyle w:val="null3"/>
      </w:pPr>
      <w:r>
        <w:rPr/>
        <w:t>陕西省人民医院</w:t>
      </w:r>
    </w:p>
    <w:p>
      <w:pPr>
        <w:pStyle w:val="null3"/>
        <w:outlineLvl w:val="3"/>
      </w:pPr>
      <w:r>
        <w:rPr>
          <w:b/>
          <w:sz w:val="24"/>
        </w:rPr>
        <w:t>3.3.3支付方式</w:t>
      </w:r>
    </w:p>
    <w:p>
      <w:pPr>
        <w:pStyle w:val="null3"/>
      </w:pPr>
      <w:r>
        <w:rPr/>
        <w:t>采购包1：</w:t>
      </w:r>
    </w:p>
    <w:p>
      <w:pPr>
        <w:pStyle w:val="null3"/>
      </w:pPr>
      <w:r>
        <w:rPr/>
        <w:t>一次付清</w:t>
      </w:r>
    </w:p>
    <w:p>
      <w:pPr>
        <w:pStyle w:val="null3"/>
        <w:outlineLvl w:val="3"/>
      </w:pPr>
      <w:r>
        <w:rPr>
          <w:b/>
          <w:sz w:val="24"/>
        </w:rPr>
        <w:t>3.3.4支付约定</w:t>
      </w:r>
    </w:p>
    <w:p>
      <w:pPr>
        <w:pStyle w:val="null3"/>
      </w:pPr>
      <w:r>
        <w:rPr/>
        <w:t>采购包1：</w:t>
      </w:r>
      <w:r>
        <w:rPr/>
        <w:t xml:space="preserve"> 付款条件说明： </w:t>
      </w:r>
      <w:r>
        <w:rPr/>
        <w:t>维修完成验收合格并递交发票后30日内</w:t>
      </w:r>
      <w:r>
        <w:rPr/>
        <w:t xml:space="preserve"> ，达到付款条件起 </w:t>
      </w:r>
      <w:r>
        <w:rPr/>
        <w:t>30</w:t>
      </w:r>
      <w:r>
        <w:rPr/>
        <w:t xml:space="preserve"> 日内，支付合同总金额的 </w:t>
      </w:r>
      <w:r>
        <w:rPr/>
        <w:t>100.00</w:t>
      </w:r>
      <w:r>
        <w:rPr/>
        <w:t>%。</w:t>
      </w:r>
    </w:p>
    <w:p>
      <w:pPr>
        <w:pStyle w:val="null3"/>
        <w:outlineLvl w:val="3"/>
      </w:pPr>
      <w:r>
        <w:rPr>
          <w:b/>
          <w:sz w:val="24"/>
        </w:rPr>
        <w:t>3.3.5.验收标准和方法</w:t>
      </w:r>
    </w:p>
    <w:p>
      <w:pPr>
        <w:pStyle w:val="null3"/>
      </w:pPr>
      <w:r>
        <w:rPr/>
        <w:t>采购包1：</w:t>
      </w:r>
    </w:p>
    <w:p>
      <w:pPr>
        <w:pStyle w:val="null3"/>
      </w:pPr>
      <w:r>
        <w:rPr/>
        <w:t>1、本合同下交付的服务必须等同或优于本项目谈判文件“技术要求”所述的标准。若乙方在其响应文件中承诺的技术标准优于本项目谈判文件“技术要求”所述标准的，按响应文件的承诺执行。 2 、成交供应商完成并交付的工作成果需经采购人验收合格，则视为接受。如果在验收时采购人表明不接受成交供应商提交的工作成果并明示不接受的原因，成交供应商应当采取合理之措施进行修改，以达到合同规定的要求。</w:t>
      </w:r>
    </w:p>
    <w:p>
      <w:pPr>
        <w:pStyle w:val="null3"/>
        <w:outlineLvl w:val="3"/>
      </w:pPr>
      <w:r>
        <w:rPr>
          <w:b/>
          <w:sz w:val="24"/>
        </w:rPr>
        <w:t>3.3.6违约责任及解决争议的方法</w:t>
      </w:r>
    </w:p>
    <w:p>
      <w:pPr>
        <w:pStyle w:val="null3"/>
      </w:pPr>
      <w:r>
        <w:rPr/>
        <w:t>采购包1：</w:t>
      </w:r>
    </w:p>
    <w:p>
      <w:pPr>
        <w:pStyle w:val="null3"/>
      </w:pPr>
      <w:r>
        <w:rPr/>
        <w:t>因履行本合同发生的争议，由采购人和中标供应商协商解决，协商不成的，任何一方均可向采购人住所地人民法院提起诉讼，通过诉讼途径解决。</w:t>
      </w:r>
    </w:p>
    <w:p>
      <w:pPr>
        <w:pStyle w:val="null3"/>
        <w:outlineLvl w:val="2"/>
      </w:pPr>
      <w:r>
        <w:rPr>
          <w:b/>
          <w:sz w:val="28"/>
        </w:rPr>
        <w:t>3.4其他要求</w:t>
      </w:r>
    </w:p>
    <w:p>
      <w:pPr>
        <w:pStyle w:val="null3"/>
      </w:pPr>
      <w:r>
        <w:rPr/>
        <w:t>采购包1：</w:t>
      </w:r>
    </w:p>
    <w:p>
      <w:pPr>
        <w:pStyle w:val="null3"/>
      </w:pPr>
      <w:r>
        <w:rPr/>
        <w:t>1、为顺利推进政府采购电子化交易平台试点应用工作，供应商需要在线提交所有通过电子化交易平台实施的政府采购项目的投标文件，同时，线下提交投标文件正本 壹 份、副本 壹 套、电子版贰套（U盘一套标明供应商名称，随正本密封）。若系统电子投标文件与纸质投标文件不一致的，以系统电子投标文件为准。</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资格响应表 中小企业声明函 残疾人福利性单位声明函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响应函</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 响应函</w:t>
            </w:r>
          </w:p>
        </w:tc>
      </w:tr>
      <w:tr>
        <w:tc>
          <w:tcPr>
            <w:tcW w:type="dxa" w:w="831"/>
          </w:tcPr>
          <w:p>
            <w:pPr>
              <w:pStyle w:val="null3"/>
            </w:pPr>
            <w:r>
              <w:rPr/>
              <w:t>2</w:t>
            </w:r>
          </w:p>
        </w:tc>
        <w:tc>
          <w:tcPr>
            <w:tcW w:type="dxa" w:w="2492"/>
          </w:tcPr>
          <w:p>
            <w:pPr>
              <w:pStyle w:val="null3"/>
            </w:pPr>
            <w:r>
              <w:rPr/>
              <w:t>医疗器械经营许可证</w:t>
            </w:r>
          </w:p>
        </w:tc>
        <w:tc>
          <w:tcPr>
            <w:tcW w:type="dxa" w:w="3322"/>
          </w:tcPr>
          <w:p>
            <w:pPr>
              <w:pStyle w:val="null3"/>
            </w:pPr>
            <w:r>
              <w:rPr/>
              <w:t>供应商须提供医疗器械经营许可证。</w:t>
            </w:r>
          </w:p>
        </w:tc>
        <w:tc>
          <w:tcPr>
            <w:tcW w:type="dxa" w:w="1661"/>
          </w:tcPr>
          <w:p>
            <w:pPr>
              <w:pStyle w:val="null3"/>
            </w:pPr>
            <w:r>
              <w:rPr/>
              <w:t>资格响应表 响应函</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响应函</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b/>
          <w:sz w:val="24"/>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标的清单 报价表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维修完成验收合格并递交发票后 30 日内一次性付款 100％</w:t>
            </w:r>
          </w:p>
        </w:tc>
        <w:tc>
          <w:tcPr>
            <w:tcW w:type="dxa" w:w="1661"/>
          </w:tcPr>
          <w:p>
            <w:pPr>
              <w:pStyle w:val="null3"/>
            </w:pPr>
            <w:r>
              <w:rPr/>
              <w:t>技术偏离表 商务偏离表 报价表及分项报价表</w:t>
            </w:r>
          </w:p>
        </w:tc>
      </w:tr>
      <w:tr>
        <w:tc>
          <w:tcPr>
            <w:tcW w:type="dxa" w:w="831"/>
          </w:tcPr>
          <w:p>
            <w:pPr>
              <w:pStyle w:val="null3"/>
            </w:pPr>
            <w:r>
              <w:rPr/>
              <w:t>5</w:t>
            </w:r>
          </w:p>
        </w:tc>
        <w:tc>
          <w:tcPr>
            <w:tcW w:type="dxa" w:w="2492"/>
          </w:tcPr>
          <w:p>
            <w:pPr>
              <w:pStyle w:val="null3"/>
            </w:pPr>
            <w:r>
              <w:rPr/>
              <w:t>质保期</w:t>
            </w:r>
          </w:p>
        </w:tc>
        <w:tc>
          <w:tcPr>
            <w:tcW w:type="dxa" w:w="3322"/>
          </w:tcPr>
          <w:p>
            <w:pPr>
              <w:pStyle w:val="null3"/>
            </w:pPr>
            <w:r>
              <w:rPr/>
              <w:t>球管保80万秒次或一年，先到为准。</w:t>
            </w:r>
          </w:p>
        </w:tc>
        <w:tc>
          <w:tcPr>
            <w:tcW w:type="dxa" w:w="1661"/>
          </w:tcPr>
          <w:p>
            <w:pPr>
              <w:pStyle w:val="null3"/>
            </w:pPr>
            <w:r>
              <w:rPr/>
              <w:t>技术偏离表 商务偏离表 报价表及分项报价表</w:t>
            </w:r>
          </w:p>
        </w:tc>
      </w:tr>
      <w:tr>
        <w:tc>
          <w:tcPr>
            <w:tcW w:type="dxa" w:w="831"/>
          </w:tcPr>
          <w:p>
            <w:pPr>
              <w:pStyle w:val="null3"/>
            </w:pPr>
            <w:r>
              <w:rPr/>
              <w:t>6</w:t>
            </w:r>
          </w:p>
        </w:tc>
        <w:tc>
          <w:tcPr>
            <w:tcW w:type="dxa" w:w="2492"/>
          </w:tcPr>
          <w:p>
            <w:pPr>
              <w:pStyle w:val="null3"/>
            </w:pPr>
            <w:r>
              <w:rPr/>
              <w:t>服务期限</w:t>
            </w:r>
          </w:p>
        </w:tc>
        <w:tc>
          <w:tcPr>
            <w:tcW w:type="dxa" w:w="3322"/>
          </w:tcPr>
          <w:p>
            <w:pPr>
              <w:pStyle w:val="null3"/>
            </w:pPr>
            <w:r>
              <w:rPr/>
              <w:t>自合同签订之日起10日内。</w:t>
            </w:r>
          </w:p>
        </w:tc>
        <w:tc>
          <w:tcPr>
            <w:tcW w:type="dxa" w:w="1661"/>
          </w:tcPr>
          <w:p>
            <w:pPr>
              <w:pStyle w:val="null3"/>
            </w:pPr>
            <w:r>
              <w:rPr/>
              <w:t>技术偏离表 商务偏离表 报价表及分项报价表</w:t>
            </w:r>
          </w:p>
        </w:tc>
      </w:tr>
      <w:tr>
        <w:tc>
          <w:tcPr>
            <w:tcW w:type="dxa" w:w="831"/>
          </w:tcPr>
          <w:p>
            <w:pPr>
              <w:pStyle w:val="null3"/>
            </w:pPr>
            <w:r>
              <w:rPr/>
              <w:t>7</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技术偏离表 商务偏离表 响应函</w:t>
            </w:r>
          </w:p>
        </w:tc>
      </w:tr>
      <w:tr>
        <w:tc>
          <w:tcPr>
            <w:tcW w:type="dxa" w:w="831"/>
          </w:tcPr>
          <w:p>
            <w:pPr>
              <w:pStyle w:val="null3"/>
            </w:pPr>
            <w:r>
              <w:rPr/>
              <w:t>8</w:t>
            </w:r>
          </w:p>
        </w:tc>
        <w:tc>
          <w:tcPr>
            <w:tcW w:type="dxa" w:w="2492"/>
          </w:tcPr>
          <w:p>
            <w:pPr>
              <w:pStyle w:val="null3"/>
            </w:pPr>
            <w:r>
              <w:rPr/>
              <w:t>技术响应性审查1</w:t>
            </w:r>
          </w:p>
        </w:tc>
        <w:tc>
          <w:tcPr>
            <w:tcW w:type="dxa" w:w="3322"/>
          </w:tcPr>
          <w:p>
            <w:pPr>
              <w:pStyle w:val="null3"/>
            </w:pPr>
            <w:r>
              <w:rPr/>
              <w:t>响应内容满足谈判文件要求，无重大偏离；服务内容明确，满足采购人使用需求</w:t>
            </w:r>
          </w:p>
        </w:tc>
        <w:tc>
          <w:tcPr>
            <w:tcW w:type="dxa" w:w="1661"/>
          </w:tcPr>
          <w:p>
            <w:pPr>
              <w:pStyle w:val="null3"/>
            </w:pPr>
            <w:r>
              <w:rPr/>
              <w:t>技术偏离表 商务偏离表 技术实施方案及承诺</w:t>
            </w:r>
          </w:p>
        </w:tc>
      </w:tr>
      <w:tr>
        <w:tc>
          <w:tcPr>
            <w:tcW w:type="dxa" w:w="831"/>
          </w:tcPr>
          <w:p>
            <w:pPr>
              <w:pStyle w:val="null3"/>
            </w:pPr>
            <w:r>
              <w:rPr/>
              <w:t>9</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技术偏离表 商务偏离表 技术实施方案及承诺</w:t>
            </w:r>
          </w:p>
        </w:tc>
      </w:tr>
    </w:tbl>
    <w:p>
      <w:pPr>
        <w:pStyle w:val="null3"/>
        <w:outlineLvl w:val="3"/>
      </w:pPr>
      <w:r>
        <w:rPr>
          <w:b/>
          <w:sz w:val="24"/>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b/>
          <w:sz w:val="24"/>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详见附件：技术实施方案及承诺</w:t>
      </w:r>
    </w:p>
    <w:p>
      <w:pPr>
        <w:pStyle w:val="null3"/>
        <w:ind w:firstLine="960"/>
      </w:pPr>
      <w:r>
        <w:rPr/>
        <w:t>详见附件：商务偏离表</w:t>
      </w:r>
    </w:p>
    <w:p>
      <w:pPr>
        <w:pStyle w:val="null3"/>
        <w:ind w:firstLine="960"/>
      </w:pPr>
      <w:r>
        <w:rPr/>
        <w:t>详见附件：技术偏离表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