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580"/>
        </w:tabs>
        <w:spacing w:before="120" w:line="360" w:lineRule="auto"/>
        <w:outlineLvl w:val="3"/>
        <w:rPr>
          <w:rFonts w:hint="eastAsia" w:ascii="仿宋" w:hAnsi="仿宋" w:eastAsia="仿宋" w:cs="仿宋"/>
          <w:bCs/>
          <w:color w:val="FF0000"/>
          <w:sz w:val="24"/>
        </w:rPr>
      </w:pPr>
      <w:r>
        <w:rPr>
          <w:rFonts w:hint="eastAsia" w:ascii="仿宋" w:hAnsi="仿宋" w:eastAsia="仿宋" w:cs="仿宋"/>
          <w:bCs/>
          <w:sz w:val="24"/>
        </w:rPr>
        <w:t>1、具有独立承担民事责任的能力（企业法人应提供统一社会信用代码的营业执照；事业法人应提供事业单位法人证、组织机构代码证等证明文件；其他组织应提供合法证明文件；自然人提供身份证明文件）；</w:t>
      </w:r>
    </w:p>
    <w:p>
      <w:pPr>
        <w:pStyle w:val="5"/>
        <w:tabs>
          <w:tab w:val="left" w:pos="5580"/>
        </w:tabs>
        <w:spacing w:before="120" w:line="360" w:lineRule="auto"/>
        <w:ind w:firstLine="294" w:firstLineChars="147"/>
        <w:rPr>
          <w:rFonts w:ascii="仿宋" w:hAnsi="仿宋" w:eastAsia="仿宋" w:cs="仿宋"/>
          <w:bCs/>
          <w:szCs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tabs>
          <w:tab w:val="left" w:pos="5580"/>
        </w:tabs>
        <w:spacing w:before="120" w:line="360" w:lineRule="auto"/>
        <w:rPr>
          <w:rFonts w:hint="eastAsia" w:ascii="仿宋" w:hAnsi="仿宋" w:eastAsia="仿宋" w:cs="仿宋"/>
          <w:bCs/>
          <w:sz w:val="24"/>
        </w:rPr>
      </w:pPr>
    </w:p>
    <w:p>
      <w:pPr>
        <w:adjustRightInd w:val="0"/>
        <w:textAlignment w:val="baseline"/>
        <w:outlineLvl w:val="2"/>
        <w:rPr>
          <w:rFonts w:hint="eastAsia" w:ascii="仿宋" w:hAnsi="仿宋" w:eastAsia="仿宋" w:cs="仿宋"/>
          <w:kern w:val="1"/>
          <w:sz w:val="24"/>
          <w:szCs w:val="24"/>
        </w:rPr>
      </w:pPr>
      <w:bookmarkStart w:id="0" w:name="_Toc29033"/>
      <w:r>
        <w:rPr>
          <w:rFonts w:hint="eastAsia" w:ascii="仿宋" w:hAnsi="仿宋" w:eastAsia="仿宋" w:cs="仿宋"/>
          <w:kern w:val="1"/>
          <w:sz w:val="24"/>
          <w:szCs w:val="24"/>
        </w:rPr>
        <w:br w:type="page"/>
      </w:r>
      <w:r>
        <w:rPr>
          <w:rFonts w:hint="eastAsia" w:ascii="仿宋" w:hAnsi="仿宋" w:eastAsia="仿宋" w:cs="仿宋"/>
          <w:kern w:val="1"/>
          <w:sz w:val="24"/>
          <w:szCs w:val="24"/>
        </w:rPr>
        <w:t>2</w:t>
      </w:r>
      <w:bookmarkEnd w:id="0"/>
      <w:r>
        <w:rPr>
          <w:rFonts w:hint="eastAsia" w:ascii="仿宋" w:hAnsi="仿宋" w:eastAsia="仿宋" w:cs="仿宋"/>
          <w:kern w:val="1"/>
          <w:sz w:val="24"/>
          <w:szCs w:val="24"/>
          <w:lang w:eastAsia="zh-CN"/>
        </w:rPr>
        <w:t>、</w:t>
      </w:r>
      <w:r>
        <w:rPr>
          <w:rFonts w:hint="eastAsia" w:ascii="仿宋" w:hAnsi="仿宋" w:eastAsia="仿宋" w:cs="仿宋"/>
          <w:kern w:val="1"/>
          <w:sz w:val="24"/>
          <w:szCs w:val="24"/>
        </w:rPr>
        <w:t>具有良好的商业信誉和健全的财务会计制度（提供2022或2023年度财务审计报告或开标前6个月内银行资信证明或财政部门认可的政府采购专业担保机构出具的投标担保函）；</w:t>
      </w:r>
    </w:p>
    <w:p>
      <w:pPr>
        <w:spacing w:line="360" w:lineRule="auto"/>
        <w:outlineLvl w:val="2"/>
        <w:rPr>
          <w:rFonts w:hint="eastAsia" w:ascii="仿宋" w:hAnsi="仿宋" w:eastAsia="仿宋" w:cs="仿宋"/>
          <w:b/>
          <w:bCs/>
          <w:kern w:val="1"/>
          <w:sz w:val="24"/>
          <w:szCs w:val="24"/>
        </w:rPr>
      </w:pPr>
      <w:r>
        <w:rPr>
          <w:rFonts w:hint="eastAsia" w:ascii="仿宋" w:hAnsi="仿宋" w:eastAsia="仿宋" w:cs="仿宋"/>
          <w:kern w:val="1"/>
        </w:rPr>
        <w:br w:type="page"/>
      </w:r>
      <w:bookmarkStart w:id="1" w:name="_Toc2910"/>
      <w:bookmarkStart w:id="2" w:name="_Toc15615"/>
      <w:bookmarkStart w:id="3" w:name="_Toc4788"/>
      <w:bookmarkStart w:id="4" w:name="_Toc30477"/>
      <w:bookmarkStart w:id="5" w:name="_Toc7791"/>
      <w:bookmarkStart w:id="6" w:name="_Toc13195"/>
      <w:bookmarkStart w:id="7" w:name="_Toc5468"/>
      <w:bookmarkStart w:id="8" w:name="_Toc27097"/>
      <w:bookmarkStart w:id="9" w:name="_Toc13516"/>
      <w:bookmarkStart w:id="10" w:name="_Toc13233"/>
      <w:bookmarkStart w:id="11" w:name="_Toc31455"/>
      <w:bookmarkStart w:id="12" w:name="_Toc10778"/>
      <w:bookmarkStart w:id="13" w:name="_Toc26860"/>
      <w:r>
        <w:rPr>
          <w:rFonts w:hint="eastAsia" w:ascii="仿宋" w:hAnsi="仿宋" w:eastAsia="仿宋" w:cs="仿宋"/>
          <w:b/>
          <w:bCs/>
          <w:kern w:val="1"/>
          <w:sz w:val="24"/>
          <w:szCs w:val="24"/>
        </w:rPr>
        <w:t>3</w:t>
      </w:r>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b/>
          <w:bCs/>
          <w:kern w:val="1"/>
          <w:sz w:val="24"/>
          <w:szCs w:val="24"/>
        </w:rPr>
        <w:t>具有履行合同所必需的设备和专业技术能力的书面声明</w:t>
      </w:r>
      <w:bookmarkEnd w:id="13"/>
    </w:p>
    <w:p>
      <w:pPr>
        <w:spacing w:line="360" w:lineRule="auto"/>
        <w:outlineLvl w:val="2"/>
        <w:rPr>
          <w:rFonts w:hint="eastAsia" w:ascii="仿宋" w:hAnsi="仿宋" w:eastAsia="仿宋" w:cs="仿宋"/>
          <w:b/>
          <w:bCs/>
          <w:kern w:val="1"/>
          <w:sz w:val="24"/>
          <w:szCs w:val="24"/>
        </w:rPr>
      </w:pP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西安市自然资源和规划局长安分局土地储备中心：</w:t>
      </w:r>
    </w:p>
    <w:p>
      <w:pPr>
        <w:spacing w:before="240" w:beforeLines="100" w:after="120" w:afterLines="50"/>
        <w:ind w:firstLine="620" w:firstLineChars="250"/>
        <w:rPr>
          <w:rFonts w:hint="eastAsia" w:ascii="仿宋" w:hAnsi="仿宋" w:eastAsia="仿宋" w:cs="仿宋"/>
          <w:color w:val="36363D"/>
          <w:spacing w:val="4"/>
          <w:sz w:val="24"/>
          <w:szCs w:val="24"/>
        </w:rPr>
      </w:pPr>
      <w:r>
        <w:rPr>
          <w:rFonts w:hint="eastAsia" w:ascii="仿宋" w:hAnsi="仿宋" w:eastAsia="仿宋" w:cs="仿宋"/>
          <w:color w:val="36363D"/>
          <w:spacing w:val="4"/>
          <w:sz w:val="24"/>
          <w:szCs w:val="24"/>
          <w:u w:val="single"/>
        </w:rPr>
        <w:t xml:space="preserve">   （供应商名称）    </w:t>
      </w:r>
      <w:r>
        <w:rPr>
          <w:rFonts w:hint="eastAsia" w:ascii="仿宋" w:hAnsi="仿宋" w:eastAsia="仿宋" w:cs="仿宋"/>
          <w:color w:val="36363D"/>
          <w:spacing w:val="4"/>
          <w:sz w:val="24"/>
          <w:szCs w:val="24"/>
        </w:rPr>
        <w:t xml:space="preserve"> 于</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年</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月</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日在中华人民共和国境内</w:t>
      </w:r>
      <w:r>
        <w:rPr>
          <w:rFonts w:hint="eastAsia" w:ascii="仿宋" w:hAnsi="仿宋" w:eastAsia="仿宋" w:cs="仿宋"/>
          <w:color w:val="36363D"/>
          <w:spacing w:val="4"/>
          <w:sz w:val="24"/>
          <w:szCs w:val="24"/>
          <w:u w:val="single"/>
        </w:rPr>
        <w:t xml:space="preserve">               （详细注册地址）     </w:t>
      </w:r>
      <w:r>
        <w:rPr>
          <w:rFonts w:hint="eastAsia" w:ascii="仿宋" w:hAnsi="仿宋" w:eastAsia="仿宋" w:cs="仿宋"/>
          <w:color w:val="36363D"/>
          <w:spacing w:val="4"/>
          <w:sz w:val="24"/>
          <w:szCs w:val="24"/>
        </w:rPr>
        <w:t>合法注册并经营，公司主营业务为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，营业（生产经营）面积为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 xml:space="preserve"> ，现有员工数量为</w:t>
      </w:r>
      <w:r>
        <w:rPr>
          <w:rFonts w:hint="eastAsia" w:ascii="仿宋" w:hAnsi="仿宋" w:eastAsia="仿宋" w:cs="仿宋"/>
          <w:color w:val="36363D"/>
          <w:spacing w:val="4"/>
          <w:sz w:val="24"/>
          <w:szCs w:val="24"/>
          <w:u w:val="single"/>
        </w:rPr>
        <w:t xml:space="preserve">         </w:t>
      </w:r>
      <w:r>
        <w:rPr>
          <w:rFonts w:hint="eastAsia" w:ascii="仿宋" w:hAnsi="仿宋" w:eastAsia="仿宋" w:cs="仿宋"/>
          <w:color w:val="36363D"/>
          <w:spacing w:val="4"/>
          <w:sz w:val="24"/>
          <w:szCs w:val="24"/>
        </w:rPr>
        <w:t>，其中与履行本合同相关的专业技术人员有（</w:t>
      </w:r>
      <w:r>
        <w:rPr>
          <w:rFonts w:hint="eastAsia" w:ascii="仿宋" w:hAnsi="仿宋" w:eastAsia="仿宋" w:cs="仿宋"/>
          <w:color w:val="36363D"/>
          <w:spacing w:val="4"/>
          <w:sz w:val="24"/>
          <w:szCs w:val="24"/>
          <w:u w:val="single"/>
        </w:rPr>
        <w:t xml:space="preserve">             专业能力、数量        </w:t>
      </w:r>
      <w:r>
        <w:rPr>
          <w:rFonts w:hint="eastAsia" w:ascii="仿宋" w:hAnsi="仿宋" w:eastAsia="仿宋" w:cs="仿宋"/>
          <w:color w:val="36363D"/>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jc w:val="center"/>
              <w:rPr>
                <w:rFonts w:hint="eastAsia" w:ascii="仿宋" w:hAnsi="仿宋" w:eastAsia="仿宋" w:cs="仿宋"/>
                <w:b/>
                <w:color w:val="36363D"/>
                <w:sz w:val="24"/>
                <w:szCs w:val="24"/>
              </w:rPr>
            </w:pPr>
            <w:r>
              <w:rPr>
                <w:rFonts w:hint="eastAsia" w:ascii="仿宋" w:hAnsi="仿宋" w:eastAsia="仿宋" w:cs="仿宋"/>
                <w:b/>
                <w:color w:val="36363D"/>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序号</w:t>
            </w:r>
          </w:p>
        </w:tc>
        <w:tc>
          <w:tcPr>
            <w:tcW w:w="2693"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设备或材料名称</w:t>
            </w:r>
          </w:p>
        </w:tc>
        <w:tc>
          <w:tcPr>
            <w:tcW w:w="2268"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品牌及型号</w:t>
            </w:r>
          </w:p>
        </w:tc>
        <w:tc>
          <w:tcPr>
            <w:tcW w:w="851"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数量</w:t>
            </w:r>
          </w:p>
        </w:tc>
        <w:tc>
          <w:tcPr>
            <w:tcW w:w="2126"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1</w:t>
            </w:r>
          </w:p>
        </w:tc>
        <w:tc>
          <w:tcPr>
            <w:tcW w:w="2693" w:type="dxa"/>
            <w:noWrap w:val="0"/>
            <w:vAlign w:val="center"/>
          </w:tcPr>
          <w:p>
            <w:pPr>
              <w:jc w:val="center"/>
              <w:rPr>
                <w:rFonts w:hint="eastAsia" w:ascii="仿宋" w:hAnsi="仿宋" w:eastAsia="仿宋" w:cs="仿宋"/>
                <w:color w:val="36363D"/>
                <w:sz w:val="24"/>
                <w:szCs w:val="24"/>
              </w:rPr>
            </w:pPr>
          </w:p>
        </w:tc>
        <w:tc>
          <w:tcPr>
            <w:tcW w:w="2268" w:type="dxa"/>
            <w:noWrap w:val="0"/>
            <w:vAlign w:val="center"/>
          </w:tcPr>
          <w:p>
            <w:pPr>
              <w:jc w:val="center"/>
              <w:rPr>
                <w:rFonts w:hint="eastAsia" w:ascii="仿宋" w:hAnsi="仿宋" w:eastAsia="仿宋" w:cs="仿宋"/>
                <w:color w:val="36363D"/>
                <w:sz w:val="24"/>
                <w:szCs w:val="24"/>
              </w:rPr>
            </w:pPr>
          </w:p>
        </w:tc>
        <w:tc>
          <w:tcPr>
            <w:tcW w:w="851" w:type="dxa"/>
            <w:noWrap w:val="0"/>
            <w:vAlign w:val="center"/>
          </w:tcPr>
          <w:p>
            <w:pPr>
              <w:jc w:val="center"/>
              <w:rPr>
                <w:rFonts w:hint="eastAsia" w:ascii="仿宋" w:hAnsi="仿宋" w:eastAsia="仿宋" w:cs="仿宋"/>
                <w:color w:val="36363D"/>
                <w:sz w:val="24"/>
                <w:szCs w:val="24"/>
              </w:rPr>
            </w:pPr>
          </w:p>
        </w:tc>
        <w:tc>
          <w:tcPr>
            <w:tcW w:w="2126" w:type="dxa"/>
            <w:noWrap w:val="0"/>
            <w:vAlign w:val="center"/>
          </w:tcPr>
          <w:p>
            <w:pPr>
              <w:jc w:val="center"/>
              <w:rPr>
                <w:rFonts w:hint="eastAsia" w:ascii="仿宋" w:hAnsi="仿宋" w:eastAsia="仿宋" w:cs="仿宋"/>
                <w:color w:val="36363D"/>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2</w:t>
            </w:r>
          </w:p>
        </w:tc>
        <w:tc>
          <w:tcPr>
            <w:tcW w:w="2693" w:type="dxa"/>
            <w:noWrap w:val="0"/>
            <w:vAlign w:val="center"/>
          </w:tcPr>
          <w:p>
            <w:pPr>
              <w:jc w:val="center"/>
              <w:rPr>
                <w:rFonts w:hint="eastAsia" w:ascii="仿宋" w:hAnsi="仿宋" w:eastAsia="仿宋" w:cs="仿宋"/>
                <w:color w:val="36363D"/>
                <w:sz w:val="24"/>
                <w:szCs w:val="24"/>
              </w:rPr>
            </w:pPr>
          </w:p>
        </w:tc>
        <w:tc>
          <w:tcPr>
            <w:tcW w:w="2268" w:type="dxa"/>
            <w:noWrap w:val="0"/>
            <w:vAlign w:val="center"/>
          </w:tcPr>
          <w:p>
            <w:pPr>
              <w:jc w:val="center"/>
              <w:rPr>
                <w:rFonts w:hint="eastAsia" w:ascii="仿宋" w:hAnsi="仿宋" w:eastAsia="仿宋" w:cs="仿宋"/>
                <w:color w:val="36363D"/>
                <w:sz w:val="24"/>
                <w:szCs w:val="24"/>
              </w:rPr>
            </w:pPr>
          </w:p>
        </w:tc>
        <w:tc>
          <w:tcPr>
            <w:tcW w:w="851" w:type="dxa"/>
            <w:noWrap w:val="0"/>
            <w:vAlign w:val="center"/>
          </w:tcPr>
          <w:p>
            <w:pPr>
              <w:jc w:val="center"/>
              <w:rPr>
                <w:rFonts w:hint="eastAsia" w:ascii="仿宋" w:hAnsi="仿宋" w:eastAsia="仿宋" w:cs="仿宋"/>
                <w:color w:val="36363D"/>
                <w:sz w:val="24"/>
                <w:szCs w:val="24"/>
              </w:rPr>
            </w:pPr>
          </w:p>
        </w:tc>
        <w:tc>
          <w:tcPr>
            <w:tcW w:w="2126" w:type="dxa"/>
            <w:noWrap w:val="0"/>
            <w:vAlign w:val="center"/>
          </w:tcPr>
          <w:p>
            <w:pPr>
              <w:jc w:val="center"/>
              <w:rPr>
                <w:rFonts w:hint="eastAsia" w:ascii="仿宋" w:hAnsi="仿宋" w:eastAsia="仿宋" w:cs="仿宋"/>
                <w:color w:val="36363D"/>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3</w:t>
            </w:r>
          </w:p>
        </w:tc>
        <w:tc>
          <w:tcPr>
            <w:tcW w:w="2693" w:type="dxa"/>
            <w:noWrap w:val="0"/>
            <w:vAlign w:val="center"/>
          </w:tcPr>
          <w:p>
            <w:pPr>
              <w:jc w:val="center"/>
              <w:rPr>
                <w:rFonts w:hint="eastAsia" w:ascii="仿宋" w:hAnsi="仿宋" w:eastAsia="仿宋" w:cs="仿宋"/>
                <w:color w:val="36363D"/>
                <w:sz w:val="24"/>
                <w:szCs w:val="24"/>
              </w:rPr>
            </w:pPr>
          </w:p>
        </w:tc>
        <w:tc>
          <w:tcPr>
            <w:tcW w:w="2268" w:type="dxa"/>
            <w:noWrap w:val="0"/>
            <w:vAlign w:val="center"/>
          </w:tcPr>
          <w:p>
            <w:pPr>
              <w:jc w:val="center"/>
              <w:rPr>
                <w:rFonts w:hint="eastAsia" w:ascii="仿宋" w:hAnsi="仿宋" w:eastAsia="仿宋" w:cs="仿宋"/>
                <w:color w:val="36363D"/>
                <w:sz w:val="24"/>
                <w:szCs w:val="24"/>
              </w:rPr>
            </w:pPr>
          </w:p>
        </w:tc>
        <w:tc>
          <w:tcPr>
            <w:tcW w:w="851" w:type="dxa"/>
            <w:noWrap w:val="0"/>
            <w:vAlign w:val="center"/>
          </w:tcPr>
          <w:p>
            <w:pPr>
              <w:jc w:val="center"/>
              <w:rPr>
                <w:rFonts w:hint="eastAsia" w:ascii="仿宋" w:hAnsi="仿宋" w:eastAsia="仿宋" w:cs="仿宋"/>
                <w:color w:val="36363D"/>
                <w:sz w:val="24"/>
                <w:szCs w:val="24"/>
              </w:rPr>
            </w:pPr>
          </w:p>
        </w:tc>
        <w:tc>
          <w:tcPr>
            <w:tcW w:w="2126" w:type="dxa"/>
            <w:noWrap w:val="0"/>
            <w:vAlign w:val="center"/>
          </w:tcPr>
          <w:p>
            <w:pPr>
              <w:jc w:val="center"/>
              <w:rPr>
                <w:rFonts w:hint="eastAsia" w:ascii="仿宋" w:hAnsi="仿宋" w:eastAsia="仿宋" w:cs="仿宋"/>
                <w:color w:val="36363D"/>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jc w:val="center"/>
              <w:rPr>
                <w:rFonts w:hint="eastAsia" w:ascii="仿宋" w:hAnsi="仿宋" w:eastAsia="仿宋" w:cs="仿宋"/>
                <w:color w:val="36363D"/>
                <w:sz w:val="24"/>
                <w:szCs w:val="24"/>
              </w:rPr>
            </w:pPr>
            <w:r>
              <w:rPr>
                <w:rFonts w:hint="eastAsia" w:ascii="仿宋" w:hAnsi="仿宋" w:eastAsia="仿宋" w:cs="仿宋"/>
                <w:color w:val="36363D"/>
                <w:sz w:val="24"/>
                <w:szCs w:val="24"/>
              </w:rPr>
              <w:t>….</w:t>
            </w:r>
          </w:p>
        </w:tc>
        <w:tc>
          <w:tcPr>
            <w:tcW w:w="2693" w:type="dxa"/>
            <w:noWrap w:val="0"/>
            <w:vAlign w:val="center"/>
          </w:tcPr>
          <w:p>
            <w:pPr>
              <w:jc w:val="center"/>
              <w:rPr>
                <w:rFonts w:hint="eastAsia" w:ascii="仿宋" w:hAnsi="仿宋" w:eastAsia="仿宋" w:cs="仿宋"/>
                <w:color w:val="36363D"/>
                <w:sz w:val="24"/>
                <w:szCs w:val="24"/>
              </w:rPr>
            </w:pPr>
          </w:p>
        </w:tc>
        <w:tc>
          <w:tcPr>
            <w:tcW w:w="2268" w:type="dxa"/>
            <w:noWrap w:val="0"/>
            <w:vAlign w:val="center"/>
          </w:tcPr>
          <w:p>
            <w:pPr>
              <w:jc w:val="center"/>
              <w:rPr>
                <w:rFonts w:hint="eastAsia" w:ascii="仿宋" w:hAnsi="仿宋" w:eastAsia="仿宋" w:cs="仿宋"/>
                <w:color w:val="36363D"/>
                <w:sz w:val="24"/>
                <w:szCs w:val="24"/>
              </w:rPr>
            </w:pPr>
          </w:p>
        </w:tc>
        <w:tc>
          <w:tcPr>
            <w:tcW w:w="851" w:type="dxa"/>
            <w:noWrap w:val="0"/>
            <w:vAlign w:val="center"/>
          </w:tcPr>
          <w:p>
            <w:pPr>
              <w:jc w:val="center"/>
              <w:rPr>
                <w:rFonts w:hint="eastAsia" w:ascii="仿宋" w:hAnsi="仿宋" w:eastAsia="仿宋" w:cs="仿宋"/>
                <w:color w:val="36363D"/>
                <w:sz w:val="24"/>
                <w:szCs w:val="24"/>
              </w:rPr>
            </w:pPr>
          </w:p>
        </w:tc>
        <w:tc>
          <w:tcPr>
            <w:tcW w:w="2126" w:type="dxa"/>
            <w:noWrap w:val="0"/>
            <w:vAlign w:val="center"/>
          </w:tcPr>
          <w:p>
            <w:pPr>
              <w:jc w:val="center"/>
              <w:rPr>
                <w:rFonts w:hint="eastAsia" w:ascii="仿宋" w:hAnsi="仿宋" w:eastAsia="仿宋" w:cs="仿宋"/>
                <w:color w:val="36363D"/>
                <w:sz w:val="24"/>
                <w:szCs w:val="24"/>
              </w:rPr>
            </w:pPr>
          </w:p>
        </w:tc>
      </w:tr>
    </w:tbl>
    <w:p>
      <w:pPr>
        <w:spacing w:before="240" w:beforeLines="100" w:after="120" w:afterLines="50"/>
        <w:ind w:firstLine="170"/>
        <w:rPr>
          <w:rFonts w:hint="eastAsia" w:ascii="仿宋" w:hAnsi="仿宋" w:eastAsia="仿宋" w:cs="仿宋"/>
          <w:color w:val="36363D"/>
          <w:spacing w:val="4"/>
          <w:sz w:val="24"/>
          <w:szCs w:val="24"/>
        </w:rPr>
      </w:pPr>
    </w:p>
    <w:p>
      <w:pPr>
        <w:pStyle w:val="4"/>
        <w:spacing w:line="360" w:lineRule="auto"/>
        <w:rPr>
          <w:rFonts w:hint="eastAsia" w:ascii="仿宋" w:hAnsi="仿宋" w:eastAsia="仿宋" w:cs="仿宋"/>
          <w:spacing w:val="4"/>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spacing w:line="360" w:lineRule="auto"/>
        <w:ind w:firstLine="2640" w:firstLineChars="1100"/>
        <w:rPr>
          <w:rFonts w:hint="eastAsia" w:ascii="仿宋" w:hAnsi="仿宋" w:eastAsia="仿宋" w:cs="仿宋"/>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pStyle w:val="3"/>
        <w:spacing w:line="360" w:lineRule="auto"/>
        <w:rPr>
          <w:rFonts w:hint="eastAsia" w:ascii="仿宋" w:hAnsi="仿宋" w:eastAsia="仿宋" w:cs="仿宋"/>
          <w:b w:val="0"/>
          <w:bCs/>
          <w:sz w:val="24"/>
          <w:szCs w:val="24"/>
        </w:rPr>
      </w:pPr>
      <w:r>
        <w:rPr>
          <w:rFonts w:hint="eastAsia" w:ascii="仿宋" w:hAnsi="仿宋" w:eastAsia="仿宋" w:cs="仿宋"/>
          <w:b w:val="0"/>
          <w:sz w:val="24"/>
          <w:szCs w:val="24"/>
        </w:rPr>
        <w:br w:type="page"/>
      </w:r>
      <w:bookmarkStart w:id="14" w:name="_Toc17566"/>
      <w:bookmarkStart w:id="15" w:name="_Toc6434"/>
      <w:bookmarkStart w:id="16" w:name="_Toc6368"/>
      <w:bookmarkStart w:id="17" w:name="_Toc22082"/>
      <w:bookmarkStart w:id="18" w:name="_Toc9580"/>
      <w:bookmarkStart w:id="19" w:name="_Toc15608"/>
      <w:bookmarkStart w:id="20" w:name="_Toc23489"/>
      <w:bookmarkStart w:id="21" w:name="_Toc2824"/>
      <w:bookmarkStart w:id="22" w:name="_Toc22377"/>
      <w:bookmarkStart w:id="23" w:name="_Toc16649"/>
      <w:bookmarkStart w:id="24" w:name="_Toc31770"/>
      <w:bookmarkStart w:id="25" w:name="_Toc13120"/>
      <w:bookmarkStart w:id="26" w:name="_Toc9854"/>
      <w:bookmarkStart w:id="27" w:name="_Toc815"/>
      <w:r>
        <w:rPr>
          <w:rFonts w:hint="eastAsia" w:ascii="仿宋" w:hAnsi="仿宋" w:eastAsia="仿宋" w:cs="仿宋"/>
          <w:b w:val="0"/>
          <w:bCs/>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kern w:val="1"/>
          <w:sz w:val="24"/>
          <w:szCs w:val="24"/>
          <w:lang w:eastAsia="zh-CN"/>
        </w:rPr>
        <w:t>、</w:t>
      </w:r>
      <w:r>
        <w:rPr>
          <w:rFonts w:hint="eastAsia" w:ascii="仿宋" w:hAnsi="仿宋" w:eastAsia="仿宋" w:cs="仿宋"/>
          <w:b w:val="0"/>
          <w:bCs/>
          <w:sz w:val="24"/>
          <w:szCs w:val="24"/>
        </w:rPr>
        <w:t>具有依法缴纳税收和社会保障资金的良好记录（提供开标前12个月内任一月份的社保和缴纳税收的证明，依法不需要缴纳社会保障资金、免税或无须缴纳税款的供应商，应提供相关证明文件)；</w:t>
      </w:r>
    </w:p>
    <w:p>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1、供应商须依法缴纳社会保障资金，须提供开标前12个月内任一月份的社会保障资金缴纳记录复印件并加盖供应商单位公章，新开户的供应商提供社保开户证明，自行编写无效。</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eastAsia="仿宋" w:cs="仿宋"/>
          <w:sz w:val="24"/>
          <w:szCs w:val="24"/>
        </w:rPr>
        <w:t>。</w:t>
      </w:r>
      <w:bookmarkEnd w:id="28"/>
      <w:bookmarkEnd w:id="29"/>
    </w:p>
    <w:p>
      <w:pPr>
        <w:rPr>
          <w:rFonts w:hint="eastAsia" w:ascii="仿宋" w:hAnsi="仿宋" w:eastAsia="仿宋" w:cs="仿宋"/>
          <w:sz w:val="24"/>
          <w:szCs w:val="24"/>
        </w:rPr>
      </w:pPr>
    </w:p>
    <w:p>
      <w:pPr>
        <w:spacing w:line="360" w:lineRule="auto"/>
        <w:ind w:firstLine="420" w:firstLineChars="200"/>
        <w:jc w:val="center"/>
        <w:rPr>
          <w:rFonts w:hint="eastAsia" w:ascii="仿宋" w:hAnsi="仿宋" w:eastAsia="仿宋" w:cs="仿宋"/>
          <w:sz w:val="24"/>
          <w:szCs w:val="24"/>
        </w:rPr>
      </w:pPr>
      <w:r>
        <w:rPr>
          <w:rFonts w:hint="eastAsia" w:ascii="仿宋" w:hAnsi="仿宋" w:eastAsia="仿宋" w:cs="仿宋"/>
        </w:rPr>
        <w:br w:type="page"/>
      </w:r>
      <w:r>
        <w:rPr>
          <w:rFonts w:hint="eastAsia" w:ascii="仿宋" w:hAnsi="仿宋" w:eastAsia="仿宋" w:cs="仿宋"/>
          <w:sz w:val="24"/>
          <w:szCs w:val="24"/>
        </w:rPr>
        <w:t>依法缴纳税收记录证明文件</w:t>
      </w:r>
    </w:p>
    <w:p>
      <w:pPr>
        <w:spacing w:line="360" w:lineRule="auto"/>
        <w:ind w:firstLine="480" w:firstLineChars="200"/>
        <w:jc w:val="center"/>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1、供应商须提供开标前12个月内任一月份的依法缴纳税收记录（依法免税或无须缴纳税款的供应商，应提供相关证明文件)。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rPr>
          <w:rFonts w:hint="eastAsia" w:ascii="仿宋" w:hAnsi="仿宋" w:eastAsia="仿宋" w:cs="仿宋"/>
        </w:rPr>
      </w:pPr>
    </w:p>
    <w:p>
      <w:pPr>
        <w:spacing w:line="360" w:lineRule="auto"/>
        <w:outlineLvl w:val="2"/>
        <w:rPr>
          <w:rFonts w:hint="eastAsia" w:ascii="仿宋" w:hAnsi="仿宋" w:eastAsia="仿宋" w:cs="仿宋"/>
          <w:b/>
          <w:bCs/>
          <w:sz w:val="24"/>
          <w:szCs w:val="24"/>
        </w:rPr>
      </w:pPr>
      <w:r>
        <w:rPr>
          <w:rFonts w:hint="eastAsia" w:ascii="仿宋" w:hAnsi="仿宋" w:eastAsia="仿宋" w:cs="仿宋"/>
        </w:rPr>
        <w:br w:type="page"/>
      </w:r>
      <w:bookmarkStart w:id="30" w:name="_Toc28034"/>
      <w:bookmarkStart w:id="31" w:name="_Toc28669"/>
      <w:bookmarkStart w:id="32" w:name="_Toc4842"/>
      <w:bookmarkStart w:id="33" w:name="_Toc13583"/>
      <w:bookmarkStart w:id="34" w:name="_Toc2140"/>
      <w:bookmarkStart w:id="35" w:name="_Toc15791"/>
      <w:bookmarkStart w:id="36" w:name="_Toc30844"/>
      <w:bookmarkStart w:id="37" w:name="_Toc29806"/>
      <w:bookmarkStart w:id="38" w:name="_Toc19143"/>
      <w:bookmarkStart w:id="39" w:name="_Toc7403"/>
      <w:bookmarkStart w:id="40" w:name="_Toc20233"/>
      <w:bookmarkStart w:id="41" w:name="_Toc26845"/>
      <w:bookmarkStart w:id="42" w:name="_Toc17072"/>
      <w:bookmarkStart w:id="43" w:name="_Toc14483"/>
      <w:r>
        <w:rPr>
          <w:rFonts w:hint="eastAsia" w:ascii="仿宋" w:hAnsi="仿宋" w:eastAsia="仿宋" w:cs="仿宋"/>
          <w:b/>
          <w:bCs/>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r>
        <w:rPr>
          <w:rFonts w:hint="eastAsia" w:ascii="仿宋" w:hAnsi="仿宋" w:eastAsia="仿宋" w:cs="仿宋"/>
          <w:b/>
          <w:bCs/>
          <w:sz w:val="24"/>
          <w:szCs w:val="24"/>
        </w:rPr>
        <w:t>参加政府采购活动前三年内，在经营活动中没有重大违法记录</w:t>
      </w:r>
      <w:bookmarkEnd w:id="42"/>
      <w:bookmarkEnd w:id="43"/>
    </w:p>
    <w:p>
      <w:pPr>
        <w:spacing w:line="360" w:lineRule="auto"/>
        <w:outlineLvl w:val="2"/>
        <w:rPr>
          <w:rFonts w:hint="eastAsia" w:ascii="仿宋" w:hAnsi="仿宋" w:eastAsia="仿宋" w:cs="仿宋"/>
          <w:b/>
          <w:bCs/>
          <w:sz w:val="24"/>
          <w:szCs w:val="24"/>
        </w:rPr>
      </w:pPr>
    </w:p>
    <w:p>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rPr>
        <w:t>西安市自然资源和规划局长安分局土地储备中心</w:t>
      </w:r>
      <w:bookmarkStart w:id="44" w:name="_GoBack"/>
      <w:bookmarkEnd w:id="44"/>
      <w:r>
        <w:rPr>
          <w:rFonts w:hint="eastAsia" w:ascii="仿宋" w:hAnsi="仿宋" w:eastAsia="仿宋" w:cs="仿宋"/>
          <w:szCs w:val="24"/>
          <w:u w:val="single"/>
          <w:shd w:val="clear" w:color="auto" w:fill="FFFFFF"/>
        </w:rPr>
        <w:t>：</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6"/>
        <w:wordWrap w:val="0"/>
        <w:spacing w:before="0" w:beforeAutospacing="0" w:after="0" w:afterAutospacing="0" w:line="360" w:lineRule="auto"/>
        <w:jc w:val="both"/>
        <w:rPr>
          <w:rFonts w:hint="eastAsia" w:ascii="仿宋" w:hAnsi="仿宋" w:eastAsia="仿宋" w:cs="仿宋"/>
          <w:shd w:val="clear" w:color="auto" w:fill="FFFFFF"/>
        </w:rPr>
      </w:pPr>
    </w:p>
    <w:p>
      <w:pPr>
        <w:pStyle w:val="6"/>
        <w:wordWrap w:val="0"/>
        <w:spacing w:before="0" w:beforeAutospacing="0" w:after="0" w:afterAutospacing="0" w:line="360" w:lineRule="auto"/>
        <w:jc w:val="both"/>
        <w:rPr>
          <w:rFonts w:hint="eastAsia" w:ascii="仿宋" w:hAnsi="仿宋" w:eastAsia="仿宋" w:cs="仿宋"/>
          <w:shd w:val="clear" w:color="auto" w:fill="FFFFFF"/>
        </w:rPr>
      </w:pP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ascii="仿宋" w:hAnsi="仿宋" w:eastAsia="仿宋" w:cs="仿宋"/>
          <w:i w:val="0"/>
          <w:iCs w:val="0"/>
          <w:color w:val="auto"/>
          <w:sz w:val="24"/>
          <w:szCs w:val="24"/>
          <w:highlight w:val="none"/>
          <w:u w:val="single"/>
        </w:rPr>
      </w:pPr>
      <w:r>
        <w:rPr>
          <w:rFonts w:hint="eastAsia" w:ascii="仿宋" w:hAnsi="仿宋" w:eastAsia="仿宋" w:cs="仿宋"/>
          <w:i w:val="0"/>
          <w:iCs w:val="0"/>
          <w:color w:val="auto"/>
          <w:sz w:val="24"/>
          <w:szCs w:val="24"/>
          <w:highlight w:val="none"/>
        </w:rPr>
        <w:t>法定代表人或被授权代表</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签字</w:t>
      </w:r>
      <w:r>
        <w:rPr>
          <w:rFonts w:hint="eastAsia" w:ascii="仿宋" w:hAnsi="仿宋" w:eastAsia="仿宋" w:cs="仿宋"/>
          <w:i w:val="0"/>
          <w:iCs w:val="0"/>
          <w:color w:val="auto"/>
          <w:sz w:val="24"/>
          <w:highlight w:val="none"/>
          <w:lang w:eastAsia="zh-CN"/>
        </w:rPr>
        <w:t>或</w:t>
      </w:r>
      <w:r>
        <w:rPr>
          <w:rFonts w:hint="eastAsia" w:ascii="仿宋" w:hAnsi="仿宋" w:eastAsia="仿宋" w:cs="仿宋"/>
          <w:i w:val="0"/>
          <w:iCs w:val="0"/>
          <w:color w:val="auto"/>
          <w:sz w:val="24"/>
          <w:highlight w:val="none"/>
        </w:rPr>
        <w:t>盖章</w:t>
      </w:r>
      <w:r>
        <w:rPr>
          <w:rFonts w:hint="eastAsia" w:ascii="仿宋" w:hAnsi="仿宋" w:eastAsia="仿宋" w:cs="仿宋"/>
          <w:i w:val="0"/>
          <w:iCs w:val="0"/>
          <w:color w:val="auto"/>
          <w:sz w:val="24"/>
          <w:highlight w:val="none"/>
          <w:lang w:eastAsia="zh-CN"/>
        </w:rPr>
        <w:t>）</w:t>
      </w:r>
      <w:r>
        <w:rPr>
          <w:rFonts w:hint="eastAsia" w:ascii="仿宋" w:hAnsi="仿宋" w:eastAsia="仿宋" w:cs="仿宋"/>
          <w:i w:val="0"/>
          <w:iCs w:val="0"/>
          <w:color w:val="auto"/>
          <w:sz w:val="24"/>
          <w:szCs w:val="24"/>
          <w:highlight w:val="none"/>
        </w:rPr>
        <w:t>：</w:t>
      </w:r>
      <w:r>
        <w:rPr>
          <w:rFonts w:hint="eastAsia" w:ascii="仿宋" w:hAnsi="仿宋" w:eastAsia="仿宋" w:cs="仿宋"/>
          <w:i w:val="0"/>
          <w:iCs w:val="0"/>
          <w:color w:val="auto"/>
          <w:sz w:val="24"/>
          <w:szCs w:val="24"/>
          <w:highlight w:val="none"/>
          <w:u w:val="single"/>
        </w:rPr>
        <w:t xml:space="preserve">       </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i w:val="0"/>
          <w:iCs w:val="0"/>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2400" w:firstLineChars="1000"/>
        <w:textAlignment w:val="auto"/>
        <w:outlineLvl w:val="9"/>
        <w:rPr>
          <w:rFonts w:hint="eastAsia"/>
          <w:highlight w:val="none"/>
        </w:rPr>
      </w:pPr>
      <w:r>
        <w:rPr>
          <w:rFonts w:hint="eastAsia" w:ascii="仿宋" w:hAnsi="仿宋" w:eastAsia="仿宋" w:cs="仿宋"/>
          <w:i w:val="0"/>
          <w:iCs w:val="0"/>
          <w:color w:val="auto"/>
          <w:sz w:val="24"/>
          <w:highlight w:val="none"/>
        </w:rPr>
        <w:t>投标人名称：</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（公章）</w:t>
      </w:r>
    </w:p>
    <w:p>
      <w:pPr>
        <w:pStyle w:val="6"/>
        <w:wordWrap w:val="0"/>
        <w:spacing w:before="0" w:beforeAutospacing="0" w:after="0" w:afterAutospacing="0" w:line="360" w:lineRule="auto"/>
        <w:ind w:firstLine="2640" w:firstLineChars="1100"/>
        <w:jc w:val="both"/>
        <w:rPr>
          <w:rFonts w:hint="eastAsia" w:ascii="仿宋" w:hAnsi="仿宋" w:eastAsia="仿宋" w:cs="仿宋"/>
          <w:shd w:val="clear" w:color="auto" w:fill="FFFFFF"/>
        </w:rPr>
      </w:pPr>
      <w:r>
        <w:rPr>
          <w:rFonts w:hint="eastAsia" w:ascii="仿宋" w:hAnsi="仿宋" w:eastAsia="仿宋" w:cs="仿宋"/>
          <w:i w:val="0"/>
          <w:iCs w:val="0"/>
          <w:color w:val="auto"/>
          <w:sz w:val="24"/>
          <w:highlight w:val="none"/>
        </w:rPr>
        <w:t xml:space="preserve">日 </w:t>
      </w:r>
      <w:r>
        <w:rPr>
          <w:rFonts w:hint="eastAsia" w:ascii="仿宋" w:hAnsi="仿宋" w:eastAsia="仿宋" w:cs="仿宋"/>
          <w:i w:val="0"/>
          <w:iCs w:val="0"/>
          <w:color w:val="auto"/>
          <w:sz w:val="24"/>
          <w:highlight w:val="none"/>
          <w:lang w:val="en-US" w:eastAsia="zh-CN"/>
        </w:rPr>
        <w:t xml:space="preserve">  </w:t>
      </w:r>
      <w:r>
        <w:rPr>
          <w:rFonts w:hint="eastAsia" w:ascii="仿宋" w:hAnsi="仿宋" w:eastAsia="仿宋" w:cs="仿宋"/>
          <w:i w:val="0"/>
          <w:iCs w:val="0"/>
          <w:color w:val="auto"/>
          <w:sz w:val="24"/>
          <w:highlight w:val="none"/>
        </w:rPr>
        <w:t xml:space="preserve">   期：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年</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月</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u w:val="single"/>
          <w:lang w:val="en-US" w:eastAsia="zh-CN"/>
        </w:rPr>
        <w:t xml:space="preserve"> </w:t>
      </w:r>
      <w:r>
        <w:rPr>
          <w:rFonts w:hint="eastAsia" w:ascii="仿宋" w:hAnsi="仿宋" w:eastAsia="仿宋" w:cs="仿宋"/>
          <w:i w:val="0"/>
          <w:iCs w:val="0"/>
          <w:color w:val="auto"/>
          <w:sz w:val="24"/>
          <w:highlight w:val="none"/>
          <w:u w:val="single"/>
        </w:rPr>
        <w:t xml:space="preserve">  </w:t>
      </w:r>
      <w:r>
        <w:rPr>
          <w:rFonts w:hint="eastAsia" w:ascii="仿宋" w:hAnsi="仿宋" w:eastAsia="仿宋" w:cs="仿宋"/>
          <w:i w:val="0"/>
          <w:iCs w:val="0"/>
          <w:color w:val="auto"/>
          <w:sz w:val="24"/>
          <w:highlight w:val="none"/>
        </w:rPr>
        <w:t>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0E4A5EB6"/>
    <w:rsid w:val="141D612B"/>
    <w:rsid w:val="33DF2E2D"/>
    <w:rsid w:val="527D713A"/>
    <w:rsid w:val="6C6913D0"/>
    <w:rsid w:val="6CE05687"/>
    <w:rsid w:val="77E1657D"/>
    <w:rsid w:val="794E0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kern w:val="0"/>
      <w:sz w:val="30"/>
      <w:szCs w:val="20"/>
    </w:rPr>
  </w:style>
  <w:style w:type="paragraph" w:styleId="5">
    <w:name w:val="Plain Text"/>
    <w:basedOn w:val="1"/>
    <w:autoRedefine/>
    <w:qFormat/>
    <w:uiPriority w:val="0"/>
    <w:rPr>
      <w:rFonts w:ascii="宋体" w:hAnsi="Courier New"/>
      <w:kern w:val="0"/>
      <w:sz w:val="20"/>
      <w:szCs w:val="20"/>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1261</Words>
  <Characters>1293</Characters>
  <Lines>0</Lines>
  <Paragraphs>0</Paragraphs>
  <TotalTime>0</TotalTime>
  <ScaleCrop>false</ScaleCrop>
  <LinksUpToDate>false</LinksUpToDate>
  <CharactersWithSpaces>1421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2024-04-07T07:28:10Z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C314A136393441938A0170620CAB30B7_12</vt:lpwstr>
  </property>
</Properties>
</file>