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2024年“八个新突破”项目集中观摩服务采购</w:t>
      </w:r>
    </w:p>
    <w:p>
      <w:pPr>
        <w:pStyle w:val="null3"/>
        <w:jc w:val="center"/>
        <w:outlineLvl w:val="2"/>
      </w:pPr>
      <w:r>
        <w:rPr>
          <w:b/>
          <w:sz w:val="28"/>
        </w:rPr>
        <w:t>采购项目编号：</w:t>
      </w:r>
      <w:r>
        <w:rPr>
          <w:b/>
          <w:sz w:val="28"/>
        </w:rPr>
        <w:t>SZT2024-SN-QC-ZC-FW-0341</w:t>
      </w:r>
      <w:r>
        <w:br/>
      </w:r>
      <w:r>
        <w:br/>
      </w:r>
      <w:r>
        <w:br/>
      </w:r>
    </w:p>
    <w:p>
      <w:pPr>
        <w:pStyle w:val="null3"/>
        <w:jc w:val="center"/>
        <w:outlineLvl w:val="2"/>
      </w:pPr>
      <w:r>
        <w:rPr>
          <w:b/>
          <w:sz w:val="28"/>
        </w:rPr>
        <w:t>西安市未央区发展和改革委员会</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2024年04月19日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西安市未央区发展和改革委员会</w:t>
      </w:r>
      <w:r>
        <w:rPr/>
        <w:t>委托，拟对</w:t>
      </w:r>
      <w:r>
        <w:rPr/>
        <w:t>2024年“八个新突破”项目集中观摩服务采购</w:t>
      </w:r>
      <w:r>
        <w:rPr/>
        <w:t>采用竞争性磋商采购方式进行采购，兹邀请供应商参加本项目的竞争性磋商。</w:t>
      </w:r>
    </w:p>
    <w:p>
      <w:pPr>
        <w:pStyle w:val="null3"/>
        <w:outlineLvl w:val="2"/>
      </w:pPr>
      <w:r>
        <w:rPr>
          <w:b/>
          <w:sz w:val="28"/>
        </w:rPr>
        <w:t>一、项目编号：</w:t>
      </w:r>
      <w:r>
        <w:rPr>
          <w:b/>
          <w:sz w:val="28"/>
        </w:rPr>
        <w:t>SZT2024-SN-QC-ZC-FW-0341</w:t>
      </w:r>
    </w:p>
    <w:p>
      <w:pPr>
        <w:pStyle w:val="null3"/>
        <w:outlineLvl w:val="2"/>
      </w:pPr>
      <w:r>
        <w:rPr>
          <w:b/>
          <w:sz w:val="28"/>
        </w:rPr>
        <w:t>二、项目名称：</w:t>
      </w:r>
      <w:r>
        <w:rPr>
          <w:b/>
          <w:sz w:val="28"/>
        </w:rPr>
        <w:t>2024年“八个新突破”项目集中观摩服务采购</w:t>
      </w:r>
    </w:p>
    <w:p>
      <w:pPr>
        <w:pStyle w:val="null3"/>
        <w:outlineLvl w:val="2"/>
      </w:pPr>
      <w:r>
        <w:rPr>
          <w:b/>
          <w:sz w:val="28"/>
        </w:rPr>
        <w:t>三、磋商项目简介</w:t>
      </w:r>
    </w:p>
    <w:p>
      <w:pPr>
        <w:pStyle w:val="null3"/>
        <w:ind w:firstLine="480"/>
      </w:pPr>
      <w:r>
        <w:rPr/>
        <w:t>为全面贯彻落实市委、市政府关于2024年全市“八个新突破”工作部署，抓好“深化高质量项目建设推进年”活动，抓实抓细2024年重点项目推进和观摩测评工作，切实发挥重点项目对区域经济社会发展的引领和带动作用，根据《2024年全市“八个新突破”抓落实方案》，结合我区实际，制定该落实方案。</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采购包1（集中观摩服务）：属于专门面向中小企业采购。</w:t>
      </w:r>
    </w:p>
    <w:p>
      <w:pPr>
        <w:pStyle w:val="null3"/>
        <w:ind w:firstLine="480"/>
      </w:pPr>
      <w:r>
        <w:rPr/>
        <w:t>（三）本项目的特定资格要求：</w:t>
      </w:r>
    </w:p>
    <w:p>
      <w:pPr>
        <w:pStyle w:val="null3"/>
      </w:pPr>
      <w:r>
        <w:rPr/>
        <w:t>采购包1：</w:t>
      </w:r>
    </w:p>
    <w:p>
      <w:pPr>
        <w:pStyle w:val="null3"/>
      </w:pPr>
      <w:r>
        <w:rPr/>
        <w:t>1、法人身份证明或被授权人身份证：法定代表人直接参加的，须出示身份证；法定代表人授权他人参加的，须提供法定代表人授权委托书、被授权人身份证。供应商需在项目电子化交易系统中按要求上传相应证明文件并进行电子签章。</w:t>
      </w:r>
    </w:p>
    <w:p>
      <w:pPr>
        <w:pStyle w:val="null3"/>
      </w:pPr>
      <w:r>
        <w:rPr/>
        <w:t>2、本项目专门面向中小企业采购：本项目专门面向中小企业采购，仅限符合《政府采购促进中小企业发展办法》（财库〔2020〕46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p>
      <w:pPr>
        <w:pStyle w:val="null3"/>
      </w:pPr>
      <w:r>
        <w:rPr/>
        <w:t>3、本项目不接受联合体磋商：本项目不接受联合体磋商。供应商需在项目电子化交易系统中按要求上传相应证明文件并进行电子签章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西安市未央区发展和改革委员会</w:t>
      </w:r>
    </w:p>
    <w:p>
      <w:pPr>
        <w:pStyle w:val="null3"/>
      </w:pPr>
      <w:r>
        <w:rPr/>
        <w:t xml:space="preserve"> 地址： </w:t>
      </w:r>
      <w:r>
        <w:rPr/>
        <w:t>未央路未央大厦B座12层</w:t>
      </w:r>
    </w:p>
    <w:p>
      <w:pPr>
        <w:pStyle w:val="null3"/>
      </w:pPr>
      <w:r>
        <w:rPr/>
        <w:t xml:space="preserve"> 邮编： </w:t>
      </w:r>
      <w:r>
        <w:rPr/>
        <w:t>无</w:t>
      </w:r>
    </w:p>
    <w:p>
      <w:pPr>
        <w:pStyle w:val="null3"/>
      </w:pPr>
      <w:r>
        <w:rPr/>
        <w:t xml:space="preserve"> 联系人： </w:t>
      </w:r>
      <w:r>
        <w:rPr/>
        <w:t>西安市未央区发展和改革委员会经办</w:t>
      </w:r>
    </w:p>
    <w:p>
      <w:pPr>
        <w:pStyle w:val="null3"/>
      </w:pPr>
      <w:r>
        <w:rPr/>
        <w:t xml:space="preserve"> 联系电话： </w:t>
      </w:r>
      <w:r>
        <w:rPr/>
        <w:t>029-81611796</w:t>
      </w:r>
    </w:p>
    <w:p>
      <w:pPr>
        <w:pStyle w:val="null3"/>
        <w:outlineLvl w:val="3"/>
      </w:pPr>
      <w:r>
        <w:rPr>
          <w:b/>
          <w:sz w:val="24"/>
        </w:rPr>
        <w:t>代理机构：</w:t>
      </w:r>
      <w:r>
        <w:rPr>
          <w:b/>
          <w:sz w:val="24"/>
        </w:rPr>
        <w:t>陕西中技招标有限公司</w:t>
      </w:r>
    </w:p>
    <w:p>
      <w:pPr>
        <w:pStyle w:val="null3"/>
      </w:pPr>
      <w:r>
        <w:rPr/>
        <w:t xml:space="preserve"> 地址： </w:t>
      </w:r>
      <w:r>
        <w:rPr/>
        <w:t>高新区高新四路高科广场A座1001室</w:t>
      </w:r>
    </w:p>
    <w:p>
      <w:pPr>
        <w:pStyle w:val="null3"/>
      </w:pPr>
      <w:r>
        <w:rPr/>
        <w:t xml:space="preserve"> 邮编： </w:t>
      </w:r>
      <w:r>
        <w:rPr/>
        <w:t>710075</w:t>
      </w:r>
    </w:p>
    <w:p>
      <w:pPr>
        <w:pStyle w:val="null3"/>
      </w:pPr>
      <w:r>
        <w:rPr/>
        <w:t xml:space="preserve"> 联系人： </w:t>
      </w:r>
      <w:r>
        <w:rPr/>
        <w:t>杨磊 胡婷 史晓霞</w:t>
      </w:r>
    </w:p>
    <w:p>
      <w:pPr>
        <w:pStyle w:val="null3"/>
      </w:pPr>
      <w:r>
        <w:rPr/>
        <w:t xml:space="preserve"> 联系电话： </w:t>
      </w:r>
      <w:r>
        <w:rPr/>
        <w:t>029-88364979-877</w:t>
      </w:r>
    </w:p>
    <w:p>
      <w:pPr>
        <w:pStyle w:val="null3"/>
        <w:outlineLvl w:val="3"/>
      </w:pPr>
      <w:r>
        <w:rPr>
          <w:b/>
          <w:sz w:val="24"/>
        </w:rPr>
        <w:t>采购监督机构：</w:t>
      </w:r>
      <w:r>
        <w:rPr>
          <w:b/>
          <w:sz w:val="24"/>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招标代理服务费收取参照国家计委颁布的《招标代理服务收费管理暂行办法》（计价格[2002]1980号）和（发改办价格[2003]857号）收取招标代理服务费。此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西安市未央区发展和改革委员会</w:t>
      </w:r>
      <w:r>
        <w:rPr/>
        <w:t>和</w:t>
      </w:r>
      <w:r>
        <w:rPr/>
        <w:t>陕西中技招标有限公司</w:t>
      </w:r>
      <w:r>
        <w:rPr/>
        <w:t>享有。对磋商文件中供应商参加本次政府采购活动应当具备的条件，磋商项目技术、服务、商务及其他要求，评审细则及标准由</w:t>
      </w:r>
      <w:r>
        <w:rPr/>
        <w:t>西安市未央区发展和改革委员会</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西安市未央区发展和改革委员会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1.合同；2.国内相应的标准、规范； 3.磋商文件以及成交供应商的响应文件。</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答复主体：采购单位</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集中观摩服务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集中观摩</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次</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标的名称：集中观摩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仿宋" w:hAnsi="仿宋" w:cs="仿宋" w:eastAsia="仿宋"/>
                <w:sz w:val="24"/>
              </w:rPr>
              <w:t>西安市未央区</w:t>
            </w:r>
            <w:r>
              <w:rPr>
                <w:rFonts w:ascii="仿宋" w:hAnsi="仿宋" w:cs="仿宋" w:eastAsia="仿宋"/>
                <w:sz w:val="24"/>
              </w:rPr>
              <w:t>202</w:t>
            </w:r>
            <w:r>
              <w:rPr>
                <w:rFonts w:ascii="仿宋" w:hAnsi="仿宋" w:cs="仿宋" w:eastAsia="仿宋"/>
                <w:sz w:val="24"/>
              </w:rPr>
              <w:t>4</w:t>
            </w:r>
            <w:r>
              <w:rPr>
                <w:rFonts w:ascii="仿宋" w:hAnsi="仿宋" w:cs="仿宋" w:eastAsia="仿宋"/>
                <w:sz w:val="24"/>
              </w:rPr>
              <w:t>年全市</w:t>
            </w:r>
            <w:r>
              <w:rPr>
                <w:rFonts w:ascii="仿宋" w:hAnsi="仿宋" w:cs="仿宋" w:eastAsia="仿宋"/>
                <w:sz w:val="24"/>
              </w:rPr>
              <w:t>“八个新突破”项目集中观摩落实方案</w:t>
            </w:r>
          </w:p>
          <w:p>
            <w:pPr>
              <w:pStyle w:val="null3"/>
              <w:jc w:val="both"/>
            </w:pPr>
            <w:r>
              <w:rPr>
                <w:rFonts w:ascii="仿宋" w:hAnsi="仿宋" w:cs="仿宋" w:eastAsia="仿宋"/>
                <w:sz w:val="24"/>
              </w:rPr>
              <w:t>为全面贯彻落实市委、市政府关于</w:t>
            </w:r>
            <w:r>
              <w:rPr>
                <w:rFonts w:ascii="仿宋" w:hAnsi="仿宋" w:cs="仿宋" w:eastAsia="仿宋"/>
                <w:sz w:val="24"/>
              </w:rPr>
              <w:t>2024年全市“八个新突破”工作部署，抓好“深化高质量项目建设推进年”活动，抓实抓细202</w:t>
            </w:r>
            <w:r>
              <w:rPr>
                <w:rFonts w:ascii="仿宋" w:hAnsi="仿宋" w:cs="仿宋" w:eastAsia="仿宋"/>
                <w:sz w:val="24"/>
              </w:rPr>
              <w:t>4</w:t>
            </w:r>
            <w:r>
              <w:rPr>
                <w:rFonts w:ascii="仿宋" w:hAnsi="仿宋" w:cs="仿宋" w:eastAsia="仿宋"/>
                <w:sz w:val="24"/>
              </w:rPr>
              <w:t>年重点项目推进和观摩测评工作，切实发挥重点项目对区域经济社会发展的引领和带动作用，根据《</w:t>
            </w:r>
            <w:r>
              <w:rPr>
                <w:rFonts w:ascii="仿宋" w:hAnsi="仿宋" w:cs="仿宋" w:eastAsia="仿宋"/>
                <w:sz w:val="24"/>
              </w:rPr>
              <w:t>2024年全市“八个新突破”抓落实方案》，结合我区实际，制定该落实方案。</w:t>
            </w:r>
          </w:p>
          <w:p>
            <w:pPr>
              <w:pStyle w:val="null3"/>
              <w:ind w:firstLine="480"/>
              <w:jc w:val="both"/>
            </w:pPr>
            <w:r>
              <w:rPr>
                <w:rFonts w:ascii="仿宋" w:hAnsi="仿宋" w:cs="仿宋" w:eastAsia="仿宋"/>
                <w:sz w:val="24"/>
              </w:rPr>
              <w:t>一、项目观摩安排</w:t>
            </w:r>
          </w:p>
          <w:p>
            <w:pPr>
              <w:pStyle w:val="null3"/>
              <w:ind w:firstLine="480"/>
              <w:jc w:val="both"/>
            </w:pPr>
            <w:r>
              <w:rPr>
                <w:rFonts w:ascii="仿宋" w:hAnsi="仿宋" w:cs="仿宋" w:eastAsia="仿宋"/>
                <w:sz w:val="24"/>
              </w:rPr>
              <w:t>（一）观摩范围</w:t>
            </w:r>
          </w:p>
          <w:p>
            <w:pPr>
              <w:pStyle w:val="null3"/>
              <w:ind w:firstLine="480"/>
              <w:jc w:val="both"/>
            </w:pPr>
            <w:r>
              <w:rPr>
                <w:rFonts w:ascii="仿宋" w:hAnsi="仿宋" w:cs="仿宋" w:eastAsia="仿宋"/>
                <w:sz w:val="24"/>
              </w:rPr>
              <w:t>重点项目观摩原则上实行全覆盖。凡纳入省级、市级重点建设项目计划名单的续建项目、新开工项目、前期项目，以及符合条件的区级重点项目均列入观摩范围。根据情况采取实地</w:t>
            </w:r>
            <w:r>
              <w:rPr>
                <w:rFonts w:ascii="仿宋" w:hAnsi="仿宋" w:cs="仿宋" w:eastAsia="仿宋"/>
                <w:sz w:val="24"/>
              </w:rPr>
              <w:t>+</w:t>
            </w:r>
            <w:r>
              <w:rPr>
                <w:rFonts w:ascii="仿宋" w:hAnsi="仿宋" w:cs="仿宋" w:eastAsia="仿宋"/>
                <w:sz w:val="24"/>
              </w:rPr>
              <w:t>视频方式进行观摩。</w:t>
            </w:r>
          </w:p>
          <w:p>
            <w:pPr>
              <w:pStyle w:val="null3"/>
              <w:ind w:firstLine="480"/>
              <w:jc w:val="both"/>
            </w:pPr>
            <w:r>
              <w:rPr>
                <w:rFonts w:ascii="仿宋" w:hAnsi="仿宋" w:cs="仿宋" w:eastAsia="仿宋"/>
                <w:sz w:val="24"/>
              </w:rPr>
              <w:t>（二）观摩项目安排</w:t>
            </w:r>
          </w:p>
          <w:p>
            <w:pPr>
              <w:pStyle w:val="null3"/>
              <w:ind w:firstLine="480"/>
              <w:jc w:val="both"/>
            </w:pPr>
            <w:r>
              <w:rPr>
                <w:rFonts w:ascii="仿宋" w:hAnsi="仿宋" w:cs="仿宋" w:eastAsia="仿宋"/>
                <w:sz w:val="24"/>
              </w:rPr>
              <w:t>组织</w:t>
            </w:r>
            <w:r>
              <w:rPr>
                <w:rFonts w:ascii="仿宋" w:hAnsi="仿宋" w:cs="仿宋" w:eastAsia="仿宋"/>
                <w:sz w:val="24"/>
              </w:rPr>
              <w:t>“八个新突破”项目集中观摩，检验工作成效。（</w:t>
            </w:r>
            <w:r>
              <w:rPr>
                <w:rFonts w:ascii="仿宋" w:hAnsi="仿宋" w:cs="仿宋" w:eastAsia="仿宋"/>
                <w:sz w:val="24"/>
              </w:rPr>
              <w:t>本年度共</w:t>
            </w:r>
            <w:r>
              <w:rPr>
                <w:rFonts w:ascii="仿宋" w:hAnsi="仿宋" w:cs="仿宋" w:eastAsia="仿宋"/>
                <w:sz w:val="24"/>
              </w:rPr>
              <w:t>3次观摩</w:t>
            </w:r>
            <w:r>
              <w:rPr>
                <w:rFonts w:ascii="仿宋" w:hAnsi="仿宋" w:cs="仿宋" w:eastAsia="仿宋"/>
                <w:sz w:val="24"/>
              </w:rPr>
              <w:t>）</w:t>
            </w:r>
          </w:p>
          <w:p>
            <w:pPr>
              <w:pStyle w:val="null3"/>
              <w:ind w:firstLine="480"/>
              <w:jc w:val="both"/>
            </w:pPr>
            <w:r>
              <w:rPr>
                <w:rFonts w:ascii="仿宋" w:hAnsi="仿宋" w:cs="仿宋" w:eastAsia="仿宋"/>
                <w:sz w:val="24"/>
              </w:rPr>
              <w:t>二、观摩实施计划</w:t>
            </w:r>
          </w:p>
          <w:p>
            <w:pPr>
              <w:pStyle w:val="null3"/>
              <w:ind w:firstLine="480"/>
              <w:jc w:val="both"/>
            </w:pPr>
            <w:r>
              <w:rPr>
                <w:rFonts w:ascii="仿宋" w:hAnsi="仿宋" w:cs="仿宋" w:eastAsia="仿宋"/>
                <w:sz w:val="24"/>
              </w:rPr>
              <w:t>1、对接项目责任单位与建设单位，起草项目介绍文稿，更新核实相关数据，搜集筛选、无人机拍摄图片素材</w:t>
            </w:r>
            <w:r>
              <w:rPr>
                <w:rFonts w:ascii="仿宋" w:hAnsi="仿宋" w:cs="仿宋" w:eastAsia="仿宋"/>
                <w:sz w:val="24"/>
              </w:rPr>
              <w:t>（</w:t>
            </w:r>
            <w:r>
              <w:rPr>
                <w:rFonts w:ascii="仿宋" w:hAnsi="仿宋" w:cs="仿宋" w:eastAsia="仿宋"/>
                <w:sz w:val="24"/>
              </w:rPr>
              <w:t>7个日历日）</w:t>
            </w:r>
            <w:r>
              <w:rPr>
                <w:rFonts w:ascii="仿宋" w:hAnsi="仿宋" w:cs="仿宋" w:eastAsia="仿宋"/>
                <w:sz w:val="24"/>
              </w:rPr>
              <w:t>；</w:t>
            </w:r>
          </w:p>
          <w:p>
            <w:pPr>
              <w:pStyle w:val="null3"/>
              <w:ind w:firstLine="480"/>
              <w:jc w:val="both"/>
            </w:pPr>
            <w:r>
              <w:rPr>
                <w:rFonts w:ascii="仿宋" w:hAnsi="仿宋" w:cs="仿宋" w:eastAsia="仿宋"/>
                <w:sz w:val="24"/>
              </w:rPr>
              <w:t>2</w:t>
            </w:r>
            <w:r>
              <w:rPr>
                <w:rFonts w:ascii="仿宋" w:hAnsi="仿宋" w:cs="仿宋" w:eastAsia="仿宋"/>
                <w:sz w:val="24"/>
              </w:rPr>
              <w:t>、设计制作展板并印制小样，修改展板并相应编写项目串词</w:t>
            </w:r>
            <w:r>
              <w:rPr>
                <w:rFonts w:ascii="仿宋" w:hAnsi="仿宋" w:cs="仿宋" w:eastAsia="仿宋"/>
                <w:sz w:val="24"/>
              </w:rPr>
              <w:t>（</w:t>
            </w:r>
            <w:r>
              <w:rPr>
                <w:rFonts w:ascii="仿宋" w:hAnsi="仿宋" w:cs="仿宋" w:eastAsia="仿宋"/>
                <w:sz w:val="24"/>
              </w:rPr>
              <w:t>2</w:t>
            </w:r>
            <w:r>
              <w:rPr>
                <w:rFonts w:ascii="仿宋" w:hAnsi="仿宋" w:cs="仿宋" w:eastAsia="仿宋"/>
                <w:sz w:val="24"/>
              </w:rPr>
              <w:t>0个日历日）</w:t>
            </w:r>
            <w:r>
              <w:rPr>
                <w:rFonts w:ascii="仿宋" w:hAnsi="仿宋" w:cs="仿宋" w:eastAsia="仿宋"/>
                <w:sz w:val="24"/>
              </w:rPr>
              <w:t>；</w:t>
            </w:r>
          </w:p>
          <w:p>
            <w:pPr>
              <w:pStyle w:val="null3"/>
              <w:ind w:firstLine="480"/>
              <w:jc w:val="both"/>
            </w:pPr>
            <w:r>
              <w:rPr>
                <w:rFonts w:ascii="仿宋" w:hAnsi="仿宋" w:cs="仿宋" w:eastAsia="仿宋"/>
                <w:sz w:val="24"/>
              </w:rPr>
              <w:t>3</w:t>
            </w:r>
            <w:r>
              <w:rPr>
                <w:rFonts w:ascii="仿宋" w:hAnsi="仿宋" w:cs="仿宋" w:eastAsia="仿宋"/>
                <w:sz w:val="24"/>
              </w:rPr>
              <w:t>、规划观摩点内外部路线</w:t>
            </w:r>
            <w:r>
              <w:rPr>
                <w:rFonts w:ascii="仿宋" w:hAnsi="仿宋" w:cs="仿宋" w:eastAsia="仿宋"/>
                <w:sz w:val="24"/>
              </w:rPr>
              <w:t>（</w:t>
            </w:r>
            <w:r>
              <w:rPr>
                <w:rFonts w:ascii="仿宋" w:hAnsi="仿宋" w:cs="仿宋" w:eastAsia="仿宋"/>
                <w:sz w:val="24"/>
              </w:rPr>
              <w:t>2个日历日）</w:t>
            </w:r>
            <w:r>
              <w:rPr>
                <w:rFonts w:ascii="仿宋" w:hAnsi="仿宋" w:cs="仿宋" w:eastAsia="仿宋"/>
                <w:sz w:val="24"/>
              </w:rPr>
              <w:t>；</w:t>
            </w:r>
          </w:p>
          <w:p>
            <w:pPr>
              <w:pStyle w:val="null3"/>
              <w:ind w:firstLine="480"/>
              <w:jc w:val="both"/>
            </w:pPr>
            <w:r>
              <w:rPr>
                <w:rFonts w:ascii="仿宋" w:hAnsi="仿宋" w:cs="仿宋" w:eastAsia="仿宋"/>
                <w:sz w:val="24"/>
              </w:rPr>
              <w:t>4</w:t>
            </w:r>
            <w:r>
              <w:rPr>
                <w:rFonts w:ascii="仿宋" w:hAnsi="仿宋" w:cs="仿宋" w:eastAsia="仿宋"/>
                <w:sz w:val="24"/>
              </w:rPr>
              <w:t>、观摩现场布置，包括桁架、音响、其他活动物料等</w:t>
            </w:r>
            <w:r>
              <w:rPr>
                <w:rFonts w:ascii="仿宋" w:hAnsi="仿宋" w:cs="仿宋" w:eastAsia="仿宋"/>
                <w:sz w:val="24"/>
              </w:rPr>
              <w:t>（</w:t>
            </w:r>
            <w:r>
              <w:rPr>
                <w:rFonts w:ascii="仿宋" w:hAnsi="仿宋" w:cs="仿宋" w:eastAsia="仿宋"/>
                <w:sz w:val="24"/>
              </w:rPr>
              <w:t>3个日历日）</w:t>
            </w:r>
            <w:r>
              <w:rPr>
                <w:rFonts w:ascii="仿宋" w:hAnsi="仿宋" w:cs="仿宋" w:eastAsia="仿宋"/>
                <w:sz w:val="24"/>
              </w:rPr>
              <w:t>；</w:t>
            </w:r>
          </w:p>
          <w:p>
            <w:pPr>
              <w:pStyle w:val="null3"/>
              <w:ind w:firstLine="480"/>
              <w:jc w:val="both"/>
            </w:pPr>
            <w:r>
              <w:rPr>
                <w:rFonts w:ascii="仿宋" w:hAnsi="仿宋" w:cs="仿宋" w:eastAsia="仿宋"/>
                <w:sz w:val="24"/>
              </w:rPr>
              <w:t>5、做好观摩活动现场服务工作</w:t>
            </w:r>
            <w:r>
              <w:rPr>
                <w:rFonts w:ascii="仿宋" w:hAnsi="仿宋" w:cs="仿宋" w:eastAsia="仿宋"/>
                <w:sz w:val="24"/>
              </w:rPr>
              <w:t>（</w:t>
            </w:r>
            <w:r>
              <w:rPr>
                <w:rFonts w:ascii="仿宋" w:hAnsi="仿宋" w:cs="仿宋" w:eastAsia="仿宋"/>
                <w:sz w:val="24"/>
              </w:rPr>
              <w:t>1个日历日）</w:t>
            </w:r>
            <w:r>
              <w:rPr>
                <w:rFonts w:ascii="仿宋" w:hAnsi="仿宋" w:cs="仿宋" w:eastAsia="仿宋"/>
                <w:sz w:val="24"/>
              </w:rPr>
              <w:t>；</w:t>
            </w:r>
          </w:p>
          <w:p>
            <w:pPr>
              <w:pStyle w:val="null3"/>
              <w:ind w:firstLine="480"/>
              <w:jc w:val="both"/>
            </w:pPr>
            <w:r>
              <w:rPr>
                <w:rFonts w:ascii="仿宋" w:hAnsi="仿宋" w:cs="仿宋" w:eastAsia="仿宋"/>
                <w:sz w:val="24"/>
              </w:rPr>
              <w:t>6</w:t>
            </w:r>
            <w:r>
              <w:rPr>
                <w:rFonts w:ascii="仿宋" w:hAnsi="仿宋" w:cs="仿宋" w:eastAsia="仿宋"/>
                <w:sz w:val="24"/>
              </w:rPr>
              <w:t>、必要时配合媒体，进行视频观摩的拍摄工作。</w:t>
            </w:r>
          </w:p>
          <w:p>
            <w:pPr>
              <w:pStyle w:val="null3"/>
              <w:ind w:firstLine="480"/>
              <w:jc w:val="both"/>
            </w:pPr>
            <w:r>
              <w:rPr>
                <w:rFonts w:ascii="仿宋" w:hAnsi="仿宋" w:cs="仿宋" w:eastAsia="仿宋"/>
                <w:sz w:val="24"/>
              </w:rPr>
              <w:t>三、每次观摩需准备物品明细</w:t>
            </w:r>
          </w:p>
          <w:tbl>
            <w:tblPr>
              <w:tblBorders>
                <w:top w:val="none" w:color="000000" w:sz="4"/>
                <w:left w:val="none" w:color="000000" w:sz="4"/>
                <w:bottom w:val="none" w:color="000000" w:sz="4"/>
                <w:right w:val="none" w:color="000000" w:sz="4"/>
                <w:insideH w:val="none"/>
                <w:insideV w:val="none"/>
              </w:tblBorders>
            </w:tblPr>
            <w:tblGrid>
              <w:gridCol w:w="375"/>
              <w:gridCol w:w="1348"/>
              <w:gridCol w:w="2095"/>
            </w:tblGrid>
            <w:tr>
              <w:tc>
                <w:tcPr>
                  <w:tcW w:type="dxa" w:w="37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b/>
                      <w:sz w:val="24"/>
                    </w:rPr>
                    <w:t>序号</w:t>
                  </w:r>
                </w:p>
              </w:tc>
              <w:tc>
                <w:tcPr>
                  <w:tcW w:type="dxa" w:w="13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b/>
                      <w:sz w:val="24"/>
                    </w:rPr>
                    <w:t>品名</w:t>
                  </w:r>
                </w:p>
              </w:tc>
              <w:tc>
                <w:tcPr>
                  <w:tcW w:type="dxa" w:w="209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b/>
                      <w:sz w:val="24"/>
                    </w:rPr>
                    <w:t>主要参数</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1</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设计费</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3*12米,每版出小样</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无人机拍摄</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照片素材采集</w:t>
                  </w:r>
                  <w:r>
                    <w:rPr>
                      <w:rFonts w:ascii="仿宋" w:hAnsi="仿宋" w:cs="仿宋" w:eastAsia="仿宋"/>
                      <w:sz w:val="24"/>
                    </w:rPr>
                    <w:t>+视频</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3</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展板制作</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背黑刀刮布</w:t>
                  </w:r>
                  <w:r>
                    <w:rPr>
                      <w:rFonts w:ascii="仿宋" w:hAnsi="仿宋" w:cs="仿宋" w:eastAsia="仿宋"/>
                      <w:sz w:val="24"/>
                    </w:rPr>
                    <w:t>uv印刷</w:t>
                  </w:r>
                </w:p>
                <w:p>
                  <w:pPr>
                    <w:pStyle w:val="null3"/>
                    <w:jc w:val="center"/>
                  </w:pPr>
                  <w:r>
                    <w:rPr>
                      <w:rFonts w:ascii="仿宋" w:hAnsi="仿宋" w:cs="仿宋" w:eastAsia="仿宋"/>
                      <w:sz w:val="24"/>
                    </w:rPr>
                    <w:t>包含面板</w:t>
                  </w:r>
                  <w:r>
                    <w:rPr>
                      <w:rFonts w:ascii="仿宋" w:hAnsi="仿宋" w:cs="仿宋" w:eastAsia="仿宋"/>
                      <w:sz w:val="24"/>
                    </w:rPr>
                    <w:t>、包围、</w:t>
                  </w:r>
                  <w:r>
                    <w:rPr>
                      <w:rFonts w:ascii="仿宋" w:hAnsi="仿宋" w:cs="仿宋" w:eastAsia="仿宋"/>
                      <w:sz w:val="24"/>
                    </w:rPr>
                    <w:t>底座支架</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音响设备</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4+2+2，含手持话筒</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5</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生态</w:t>
                  </w:r>
                  <w:r>
                    <w:rPr>
                      <w:rFonts w:ascii="仿宋" w:hAnsi="仿宋" w:cs="仿宋" w:eastAsia="仿宋"/>
                      <w:sz w:val="24"/>
                    </w:rPr>
                    <w:t>卫生间</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2</w:t>
                  </w:r>
                  <w:r>
                    <w:rPr>
                      <w:rFonts w:ascii="仿宋" w:hAnsi="仿宋" w:cs="仿宋" w:eastAsia="仿宋"/>
                      <w:sz w:val="24"/>
                    </w:rPr>
                    <w:t>套</w:t>
                  </w:r>
                  <w:r>
                    <w:rPr>
                      <w:rFonts w:ascii="仿宋" w:hAnsi="仿宋" w:cs="仿宋" w:eastAsia="仿宋"/>
                      <w:sz w:val="24"/>
                    </w:rPr>
                    <w:t>/天</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6</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其他活动物料</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 w:hAnsi="仿宋" w:cs="仿宋" w:eastAsia="仿宋"/>
                      <w:sz w:val="24"/>
                    </w:rPr>
                    <w:t>宣传板、展架、条幅、地标设计制作</w:t>
                  </w:r>
                  <w:r>
                    <w:rPr>
                      <w:rFonts w:ascii="仿宋" w:hAnsi="仿宋" w:cs="仿宋" w:eastAsia="仿宋"/>
                      <w:sz w:val="24"/>
                    </w:rPr>
                    <w:t>；</w:t>
                  </w:r>
                  <w:r>
                    <w:rPr>
                      <w:rFonts w:ascii="仿宋" w:hAnsi="仿宋" w:cs="仿宋" w:eastAsia="仿宋"/>
                      <w:sz w:val="24"/>
                    </w:rPr>
                    <w:t>活动现场补给物资等</w:t>
                  </w:r>
                </w:p>
              </w:tc>
            </w:tr>
            <w:tr>
              <w:tc>
                <w:tcPr>
                  <w:tcW w:type="dxa" w:w="37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7</w:t>
                  </w:r>
                </w:p>
              </w:tc>
              <w:tc>
                <w:tcPr>
                  <w:tcW w:type="dxa" w:w="13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交通运输、人工费用</w:t>
                  </w:r>
                </w:p>
              </w:tc>
              <w:tc>
                <w:tcPr>
                  <w:tcW w:type="dxa" w:w="209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 w:hAnsi="仿宋" w:cs="仿宋" w:eastAsia="仿宋"/>
                      <w:sz w:val="24"/>
                    </w:rPr>
                    <w:t>含夜间加班</w:t>
                  </w:r>
                </w:p>
              </w:tc>
            </w:tr>
          </w:tbl>
          <w:p/>
        </w:tc>
      </w:tr>
    </w:tbl>
    <w:p>
      <w:pPr>
        <w:pStyle w:val="null3"/>
        <w:outlineLvl w:val="2"/>
      </w:pPr>
      <w:r>
        <w:rPr>
          <w:b/>
          <w:sz w:val="28"/>
        </w:rPr>
        <w:t>3.2.3人员配置要求</w:t>
      </w:r>
    </w:p>
    <w:p>
      <w:pPr>
        <w:pStyle w:val="null3"/>
      </w:pPr>
      <w:r>
        <w:rPr/>
        <w:t>采购包1：</w:t>
      </w:r>
    </w:p>
    <w:p>
      <w:pPr>
        <w:pStyle w:val="null3"/>
      </w:pPr>
      <w:r>
        <w:rPr/>
        <w:t>详见服务要求。</w:t>
      </w:r>
    </w:p>
    <w:p>
      <w:pPr>
        <w:pStyle w:val="null3"/>
        <w:outlineLvl w:val="2"/>
      </w:pPr>
      <w:r>
        <w:rPr>
          <w:b/>
          <w:sz w:val="28"/>
        </w:rPr>
        <w:t>3.2.4设施设备要求</w:t>
      </w:r>
    </w:p>
    <w:p>
      <w:pPr>
        <w:pStyle w:val="null3"/>
      </w:pPr>
      <w:r>
        <w:rPr/>
        <w:t>采购包1：</w:t>
      </w:r>
    </w:p>
    <w:p>
      <w:pPr>
        <w:pStyle w:val="null3"/>
      </w:pPr>
      <w:r>
        <w:rPr/>
        <w:t>详见服务要求。</w:t>
      </w:r>
    </w:p>
    <w:p>
      <w:pPr>
        <w:pStyle w:val="null3"/>
        <w:outlineLvl w:val="2"/>
      </w:pPr>
      <w:r>
        <w:rPr>
          <w:b/>
          <w:sz w:val="28"/>
        </w:rPr>
        <w:t>3.2.5其他要求</w:t>
      </w:r>
    </w:p>
    <w:p>
      <w:pPr>
        <w:pStyle w:val="null3"/>
      </w:pPr>
      <w:r>
        <w:rPr/>
        <w:t>采购包1：</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签订合同之日起至2024年12月31日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详见合同文本</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第一次活动结束后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第二次活动结束后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第三次活动结束后</w:t>
      </w:r>
      <w:r>
        <w:rPr/>
        <w:t xml:space="preserve"> ，达到付款条件起 </w:t>
      </w:r>
      <w:r>
        <w:rPr/>
        <w:t>15</w:t>
      </w:r>
      <w:r>
        <w:rPr/>
        <w:t xml:space="preserve"> 日内，支付合同总金额的 </w:t>
      </w:r>
      <w:r>
        <w:rPr/>
        <w:t>40.00</w:t>
      </w:r>
      <w:r>
        <w:rPr/>
        <w:t>%。</w:t>
      </w:r>
    </w:p>
    <w:p>
      <w:pPr>
        <w:pStyle w:val="null3"/>
        <w:outlineLvl w:val="3"/>
      </w:pPr>
      <w:r>
        <w:rPr>
          <w:b/>
          <w:sz w:val="24"/>
        </w:rPr>
        <w:t>3.3.6违约责任及解决争议的方法</w:t>
      </w:r>
    </w:p>
    <w:p>
      <w:pPr>
        <w:pStyle w:val="null3"/>
      </w:pPr>
      <w:r>
        <w:rPr/>
        <w:t>采购包1：</w:t>
      </w:r>
    </w:p>
    <w:p>
      <w:pPr>
        <w:pStyle w:val="null3"/>
      </w:pPr>
      <w:r>
        <w:rPr/>
        <w:t>合同的履行、违约责任和解决争议的方法等适用《中华人民共和国民法典》。具体详见合同文本。</w:t>
      </w:r>
    </w:p>
    <w:p>
      <w:pPr>
        <w:pStyle w:val="null3"/>
        <w:outlineLvl w:val="2"/>
      </w:pPr>
      <w:r>
        <w:rPr>
          <w:b/>
          <w:sz w:val="28"/>
        </w:rPr>
        <w:t>3.4其他要求</w:t>
      </w:r>
    </w:p>
    <w:p>
      <w:pPr>
        <w:pStyle w:val="null3"/>
      </w:pPr>
      <w:r>
        <w:rPr/>
        <w:t>为顺利推进政府采购电子化交易平台试点应用工作，供应商需要在线提交所有通过电子化交易平台实施的政府采购项目的 响应文件，同时，线下提交响应文件正本 壹 份、副本 壹份，纸质文件须密封提交。线上文件与纸质文件不一致时，以线上文件为准。（备注：供应商需在中小微声明函中，标明所属行业为租赁和商务服务业）</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2.具有良好的商业信誉和健全的财务会计制度（提供2022 或2023年度财务审计报告或开标前6个月内银行资信证明或财政部门认可的政府采购专业担保机构出具的投标担保函）；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具有良好的商业信誉和健全的财务会计制度（提供2022 或2023年度财务审计报告或开标前6个月内银行资信证明或财政部门认可的政府采购专业担保机构出具的投标担保函）供应商需在项目电子化交易系统中按要求上传相应证明文件并进行电子签章。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拒绝商业贿赂承诺书 其他证明文件 供应商诚信承诺书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资格证明文件 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法人身份证明或被授权人身份证</w:t>
            </w:r>
          </w:p>
        </w:tc>
        <w:tc>
          <w:tcPr>
            <w:tcW w:type="dxa" w:w="3322"/>
          </w:tcPr>
          <w:p>
            <w:pPr>
              <w:pStyle w:val="null3"/>
            </w:pPr>
            <w:r>
              <w:rPr/>
              <w:t>法定代表人直接参加的，须出示身份证；法定代表人授权他人参加的，须提供法定代表人授权委托书、被授权人身份证。供应商需在项目电子化交易系统中按要求上传相应证明文件并进行电子签章。</w:t>
            </w:r>
          </w:p>
        </w:tc>
        <w:tc>
          <w:tcPr>
            <w:tcW w:type="dxa" w:w="1661"/>
          </w:tcPr>
          <w:p>
            <w:pPr>
              <w:pStyle w:val="null3"/>
            </w:pPr>
            <w:r>
              <w:rPr/>
              <w:t>响应文件封面 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号）条件的中小企业参与，供应商应填写中小企业声明函并对真实性负责。供应商需在项目电子化交易系统中按要求上传相应证明文件并进行电子签章</w:t>
            </w:r>
          </w:p>
        </w:tc>
        <w:tc>
          <w:tcPr>
            <w:tcW w:type="dxa" w:w="1661"/>
          </w:tcPr>
          <w:p>
            <w:pPr>
              <w:pStyle w:val="null3"/>
            </w:pPr>
            <w:r>
              <w:rPr/>
              <w:t>资格证明文件 中小企业声明函</w:t>
            </w:r>
          </w:p>
        </w:tc>
      </w:tr>
      <w:tr>
        <w:tc>
          <w:tcPr>
            <w:tcW w:type="dxa" w:w="831"/>
          </w:tcPr>
          <w:p>
            <w:pPr>
              <w:pStyle w:val="null3"/>
            </w:pPr>
            <w:r>
              <w:rPr/>
              <w:t>3</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响应文件封面 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 xml:space="preserve"> 服务期限</w:t>
            </w:r>
          </w:p>
        </w:tc>
        <w:tc>
          <w:tcPr>
            <w:tcW w:type="dxa" w:w="3322"/>
          </w:tcPr>
          <w:p>
            <w:pPr>
              <w:pStyle w:val="null3"/>
            </w:pPr>
            <w:r>
              <w:rPr/>
              <w:t>服务期限是否符合磋商文件要求</w:t>
            </w:r>
          </w:p>
        </w:tc>
        <w:tc>
          <w:tcPr>
            <w:tcW w:type="dxa" w:w="1661"/>
          </w:tcPr>
          <w:p>
            <w:pPr>
              <w:pStyle w:val="null3"/>
            </w:pPr>
            <w:r>
              <w:rPr/>
              <w:t>商务及服务要求偏离表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商务及服务要求偏离表</w:t>
            </w:r>
          </w:p>
        </w:tc>
      </w:tr>
      <w:tr>
        <w:tc>
          <w:tcPr>
            <w:tcW w:type="dxa" w:w="831"/>
          </w:tcPr>
          <w:p>
            <w:pPr>
              <w:pStyle w:val="null3"/>
            </w:pPr>
            <w:r>
              <w:rPr/>
              <w:t>4</w:t>
            </w:r>
          </w:p>
        </w:tc>
        <w:tc>
          <w:tcPr>
            <w:tcW w:type="dxa" w:w="2492"/>
          </w:tcPr>
          <w:p>
            <w:pPr>
              <w:pStyle w:val="null3"/>
            </w:pPr>
            <w:r>
              <w:rPr/>
              <w:t xml:space="preserve"> 响应文件有效期</w:t>
            </w:r>
          </w:p>
        </w:tc>
        <w:tc>
          <w:tcPr>
            <w:tcW w:type="dxa" w:w="3322"/>
          </w:tcPr>
          <w:p>
            <w:pPr>
              <w:pStyle w:val="null3"/>
            </w:pPr>
            <w:r>
              <w:rPr/>
              <w:t>响应文件有效期是否符合磋商文件要求</w:t>
            </w:r>
          </w:p>
        </w:tc>
        <w:tc>
          <w:tcPr>
            <w:tcW w:type="dxa" w:w="1661"/>
          </w:tcPr>
          <w:p>
            <w:pPr>
              <w:pStyle w:val="null3"/>
            </w:pPr>
            <w:r>
              <w:rPr/>
              <w:t>商务及服务要求偏离表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商务及服务要求偏离表 标的清单</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针对本次采购内容具有完整性的策划服务方案，包括但不限于采购需求理解、 活动设计思路、服务整体流程、服务承诺等内容。 方案合理、完善、详尽，完全满足项目的要求且可行性强，得10 分 方案基本合理满足项目要求且有一定可行性，得 7 分； 方案基本合理满足项目的要求但可行性较差，得 4 分； 方案简单笼统，针对性及可行性均较差，得 1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会场搭建方案</w:t>
            </w:r>
          </w:p>
        </w:tc>
        <w:tc>
          <w:tcPr>
            <w:tcW w:type="dxa" w:w="2492"/>
          </w:tcPr>
          <w:p>
            <w:pPr>
              <w:pStyle w:val="null3"/>
            </w:pPr>
            <w:r>
              <w:rPr/>
              <w:t>针对本次采购内容具有明确的会场搭建方案，包括但不限于：主会场场地面积 设置主背景板、回头标、回头标大屏、项目展板、签到处、移动卫生间、道旗、 场外引导指示牌等设施。 方案合理、完善、详尽，完全满足项目要求且可行性强，得 10 分； 方案基本合理满足项 目要求且有一定可行性，得 7 分； 方案基本合理满足项目要求但可行性较差，得 4 分； 方案简单笼统，针对性及可行性均较差，得 1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配套设施</w:t>
            </w:r>
          </w:p>
        </w:tc>
        <w:tc>
          <w:tcPr>
            <w:tcW w:type="dxa" w:w="2492"/>
          </w:tcPr>
          <w:p>
            <w:pPr>
              <w:pStyle w:val="null3"/>
            </w:pPr>
            <w:r>
              <w:rPr/>
              <w:t>针对本次采购内容具有完善的配套设施，包括但不限于：会议主视觉设计、会 议延展物料设计、活动场地设备租赁、搭建、使用、印刷各类印刷品、现场摄像等。 配套设施合理、完善、详尽，完全满足项目要求且可行性强，得 10 分； 配套设施基本合理满足项目要求 且有一定可行性，得 7 分； 设施配套基 本合理满足项目要求但可行性较差，得 4 分； 设施配套简单笼统，针对性及可行性均较差，得 1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安全保障方案</w:t>
            </w:r>
          </w:p>
        </w:tc>
        <w:tc>
          <w:tcPr>
            <w:tcW w:type="dxa" w:w="2492"/>
          </w:tcPr>
          <w:p>
            <w:pPr>
              <w:pStyle w:val="null3"/>
            </w:pPr>
            <w:r>
              <w:rPr/>
              <w:t>针对本次采购内容具有明确的安全保障方案，包括但不限于：有专门的安全保 障措施、安检设备、安保人员和大型活动安全控制体系。 方案合理、完善、详尽，完全满足项目要求且可行性强，得 10 分； 方案基本合理满足项目要求且有一定可行性，得 7 分； 方案基本合理满足项目要求但可行性较差， 得 4 分； 方案简单笼统， 针对性及可行性均较差，得 1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后勤保障方案</w:t>
            </w:r>
          </w:p>
        </w:tc>
        <w:tc>
          <w:tcPr>
            <w:tcW w:type="dxa" w:w="2492"/>
          </w:tcPr>
          <w:p>
            <w:pPr>
              <w:pStyle w:val="null3"/>
            </w:pPr>
            <w:r>
              <w:rPr/>
              <w:t>针对本次采购内容具有明确的后勤保障方案，包括但不限于医疗车、急救医疗 用品、急救药品、临时急救病房联络、通信车、通信设备、通信急救设备、通信 保障人员等方面。 方案合理、完善、详尽，完全满足项目要求且可行性强，得 10 分 方案基本合理满足项目要求且有一定可行性，得 7 分 其中：方案简单笼统，针对性及可行性均较差，得 4 分； 方案基本合理满足项目要求但可行性较差，得 1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应急预案措施</w:t>
            </w:r>
          </w:p>
        </w:tc>
        <w:tc>
          <w:tcPr>
            <w:tcW w:type="dxa" w:w="2492"/>
          </w:tcPr>
          <w:p>
            <w:pPr>
              <w:pStyle w:val="null3"/>
            </w:pPr>
            <w:r>
              <w:rPr/>
              <w:t>提供针对本项目突发事件、活动时间临时变更的应急预案措施； 应急预案及保证措施全面，高效性、可行性、针对性强，得 10 分 突发应急预案及保证 措施较全面，高效性、可行性、针对性较强，得 7 分； 突发应急预案及保证措 施全面性一般，高效性、可行性、针对性一般,得4分； 突发应急预案及 保证措施简单笼统，针对性及可行性均较差，得 1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项目配备人员</w:t>
            </w:r>
          </w:p>
        </w:tc>
        <w:tc>
          <w:tcPr>
            <w:tcW w:type="dxa" w:w="2492"/>
          </w:tcPr>
          <w:p>
            <w:pPr>
              <w:pStyle w:val="null3"/>
            </w:pPr>
            <w:r>
              <w:rPr/>
              <w:t>针对本项目设立专一工作小组，团队人员专业结构合理，包括但不限于专业的视 频编辑、播音、导演、音响、舞美等。专业人员具备专业技术能力及相关领域工 作经验。 人员配备合理、数量充足，专业性强，经验丰富，能针对性满足项目需求，得 10 分; 人员配备基本合理，具有一定经 验，基本满足项目需求，得 7 分； 人员配备数量较少且员工经验缺乏，得 3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合理化建议</w:t>
            </w:r>
          </w:p>
        </w:tc>
        <w:tc>
          <w:tcPr>
            <w:tcW w:type="dxa" w:w="2492"/>
          </w:tcPr>
          <w:p>
            <w:pPr>
              <w:pStyle w:val="null3"/>
            </w:pPr>
            <w:r>
              <w:rPr/>
              <w:t>根据对本项目理解程度，对项目的关键点、难点提出的合理化建议，可行性科学 性情况进行赋分。 合理化建议明确，可行性、科学性强，计 10 分。 合理化建 议一般，可行性、科学性一般，计 7 分； 合理化建议较差，可行性、科学性较差，计 3 分； 未提供不得分。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类似项目业绩，每个有效业绩得 5 分，满分10 分。 (以合同为准并加盖公章)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1.满足磋商文件实质性要求且最后报价最低的供应商价格为投标基准价，其价格分为满分10分。 2.投标报价得分=（投标基准价/投标报价）×10。本项目为专门面向中小企业采购的项目，不再执行价格评审优惠的扶持政策。</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详见附件：拟投入本项目的人员</w:t>
      </w:r>
    </w:p>
    <w:p>
      <w:pPr>
        <w:pStyle w:val="null3"/>
        <w:ind w:firstLine="960"/>
      </w:pPr>
      <w:r>
        <w:rPr/>
        <w:t>详见附件：商务及服务要求偏离表</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详见附件：2024年全市“八个新突破”项目集中观摩策划实施服务合同.docx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