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高温高压流变仪</w:t>
      </w:r>
    </w:p>
    <w:p>
      <w:pPr>
        <w:pStyle w:val="null3"/>
        <w:jc w:val="center"/>
        <w:outlineLvl w:val="2"/>
      </w:pPr>
      <w:r>
        <w:rPr>
          <w:b/>
          <w:sz w:val="28"/>
        </w:rPr>
        <w:t>采购项目编号：</w:t>
      </w:r>
      <w:r>
        <w:rPr>
          <w:b/>
          <w:sz w:val="28"/>
        </w:rPr>
        <w:t>SZT2024-SN-SC-ZC-HW-0088</w:t>
      </w:r>
      <w:r>
        <w:br/>
      </w:r>
      <w:r>
        <w:br/>
      </w:r>
      <w:r>
        <w:br/>
      </w:r>
    </w:p>
    <w:p>
      <w:pPr>
        <w:pStyle w:val="null3"/>
        <w:jc w:val="center"/>
        <w:outlineLvl w:val="2"/>
      </w:pPr>
      <w:r>
        <w:rPr>
          <w:b/>
          <w:sz w:val="28"/>
        </w:rPr>
        <w:t>陕西科技大学</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2024年04月25日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陕西科技大学</w:t>
      </w:r>
      <w:r>
        <w:rPr/>
        <w:t>委托，拟对</w:t>
      </w:r>
      <w:r>
        <w:rPr/>
        <w:t>高温高压流变仪</w:t>
      </w:r>
      <w:r>
        <w:rPr/>
        <w:t>进行国内公开招标，兹邀请符合本次招标要求的供应商参加投标。</w:t>
      </w:r>
    </w:p>
    <w:p>
      <w:pPr>
        <w:pStyle w:val="null3"/>
        <w:outlineLvl w:val="2"/>
      </w:pPr>
      <w:r>
        <w:rPr>
          <w:b/>
          <w:sz w:val="28"/>
        </w:rPr>
        <w:t>一、采购项目编号：</w:t>
      </w:r>
      <w:r>
        <w:rPr>
          <w:b/>
          <w:sz w:val="28"/>
        </w:rPr>
        <w:t>SZT2024-SN-SC-ZC-HW-0088</w:t>
      </w:r>
    </w:p>
    <w:p>
      <w:pPr>
        <w:pStyle w:val="null3"/>
        <w:outlineLvl w:val="2"/>
      </w:pPr>
      <w:r>
        <w:rPr>
          <w:b/>
          <w:sz w:val="28"/>
        </w:rPr>
        <w:t>二、采购项目名称：</w:t>
      </w:r>
      <w:r>
        <w:rPr>
          <w:b/>
          <w:sz w:val="28"/>
        </w:rPr>
        <w:t>高温高压流变仪</w:t>
      </w:r>
    </w:p>
    <w:p>
      <w:pPr>
        <w:pStyle w:val="null3"/>
        <w:outlineLvl w:val="2"/>
      </w:pPr>
      <w:r>
        <w:rPr>
          <w:b/>
          <w:sz w:val="28"/>
        </w:rPr>
        <w:t>三、招标项目简介</w:t>
      </w:r>
    </w:p>
    <w:p>
      <w:pPr>
        <w:pStyle w:val="null3"/>
        <w:ind w:firstLine="480"/>
      </w:pPr>
      <w:r>
        <w:rPr/>
        <w:t>用于高温压裂液评价，二氧化碳泡沫黏度测试以及增稠剂效果评价,凝胶样品的粘弹性测试。</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1、法定代表人授权书：法定代表人直接参加的，须出示身份证；法定代表人授权他人参加的，须提供法定代表人授权委托书。供应商需在项目电子化交易系统中按要求上传相应证明文件并进行电子签章。</w:t>
      </w:r>
    </w:p>
    <w:p>
      <w:pPr>
        <w:pStyle w:val="null3"/>
      </w:pPr>
      <w:r>
        <w:rPr/>
        <w:t>2、本项目不接受联合体相关要求：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陕西科技大学</w:t>
      </w:r>
    </w:p>
    <w:p>
      <w:pPr>
        <w:pStyle w:val="null3"/>
      </w:pPr>
      <w:r>
        <w:rPr/>
        <w:t xml:space="preserve"> 地址： </w:t>
      </w:r>
      <w:r>
        <w:rPr/>
        <w:t>西安市未央大学园区</w:t>
      </w:r>
    </w:p>
    <w:p>
      <w:pPr>
        <w:pStyle w:val="null3"/>
      </w:pPr>
      <w:r>
        <w:rPr/>
        <w:t xml:space="preserve"> 邮编： </w:t>
      </w:r>
      <w:r>
        <w:rPr/>
        <w:t>710021</w:t>
      </w:r>
    </w:p>
    <w:p>
      <w:pPr>
        <w:pStyle w:val="null3"/>
      </w:pPr>
      <w:r>
        <w:rPr/>
        <w:t xml:space="preserve"> 联系人： </w:t>
      </w:r>
      <w:r>
        <w:rPr/>
        <w:t>陕西科技大学经办</w:t>
      </w:r>
    </w:p>
    <w:p>
      <w:pPr>
        <w:pStyle w:val="null3"/>
      </w:pPr>
      <w:r>
        <w:rPr/>
        <w:t xml:space="preserve"> 联系电话： </w:t>
      </w:r>
      <w:r>
        <w:rPr/>
        <w:t>029-86168376</w:t>
      </w:r>
    </w:p>
    <w:p>
      <w:pPr>
        <w:pStyle w:val="null3"/>
        <w:outlineLvl w:val="2"/>
      </w:pPr>
      <w:r>
        <w:rPr>
          <w:b/>
          <w:sz w:val="28"/>
        </w:rPr>
        <w:t>代理机构：</w:t>
      </w:r>
      <w:r>
        <w:rPr>
          <w:b/>
          <w:sz w:val="28"/>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杨艳、李毓菲、史肖霞</w:t>
      </w:r>
    </w:p>
    <w:p>
      <w:pPr>
        <w:pStyle w:val="null3"/>
      </w:pPr>
      <w:r>
        <w:rPr/>
        <w:t xml:space="preserve"> 联系电话： </w:t>
      </w:r>
      <w:r>
        <w:rPr/>
        <w:t>029-88364979-872</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采购包1保证金金额：26,000.00元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说明：验收合格后，一次性无息支付全部履约保证金。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中标供应商应向采购代理机构交纳招标代理服务费。招标代理服务费的收取参见国家计委颁布的《招标代理服务收费管理暂行办法》（计价格[2002]1980号）和（发改办价格[2003]857号）中货物类收费标准下浮35%收取，在领取成交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陕西中技招标有限公司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依据合同及招标文件有关内容。</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用于高温压裂液评价，二氧化碳泡沫黏度测试以及增稠剂效果评价,凝胶样品的粘弹性测试。</w:t>
      </w:r>
    </w:p>
    <w:p>
      <w:pPr>
        <w:pStyle w:val="null3"/>
        <w:outlineLvl w:val="2"/>
      </w:pPr>
      <w:r>
        <w:rPr>
          <w:b/>
          <w:sz w:val="28"/>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高温高压流变仪</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台套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标的名称：高温高压流变仪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0"/>
              <w:gridCol w:w="258"/>
              <w:gridCol w:w="203"/>
              <w:gridCol w:w="1766"/>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0"/>
                    </w:rPr>
                    <w:t>名称</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0"/>
                    </w:rPr>
                    <w:t>计量单位</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0"/>
                    </w:rPr>
                    <w:t>采购数量</w:t>
                  </w:r>
                </w:p>
              </w:tc>
              <w:tc>
                <w:tcPr>
                  <w:tcW w:type="dxa" w:w="1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0"/>
                    </w:rPr>
                    <w:t>技术参数</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0"/>
                    </w:rPr>
                    <w:t>高温高压流变仪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0"/>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0"/>
                    </w:rPr>
                    <w:t>1</w:t>
                  </w:r>
                </w:p>
              </w:tc>
              <w:tc>
                <w:tcPr>
                  <w:tcW w:type="dxa" w:w="1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0"/>
                    </w:rPr>
                    <w:t>1. 最小扭矩：≤0.01μNm</w:t>
                  </w:r>
                  <w:r>
                    <w:br/>
                  </w:r>
                  <w:r>
                    <w:rPr>
                      <w:rFonts w:ascii="仿宋" w:hAnsi="仿宋" w:cs="仿宋" w:eastAsia="仿宋"/>
                      <w:color w:val="000000"/>
                      <w:sz w:val="20"/>
                    </w:rPr>
                    <w:t>2. 最大扭矩：≥200mN.m</w:t>
                  </w:r>
                  <w:r>
                    <w:br/>
                  </w:r>
                  <w:r>
                    <w:rPr>
                      <w:rFonts w:ascii="仿宋" w:hAnsi="仿宋" w:cs="仿宋" w:eastAsia="仿宋"/>
                      <w:color w:val="000000"/>
                      <w:sz w:val="20"/>
                    </w:rPr>
                    <w:t>3. 扭矩分辨率：≤0.1nNm</w:t>
                  </w:r>
                  <w:r>
                    <w:br/>
                  </w:r>
                  <w:r>
                    <w:rPr>
                      <w:rFonts w:ascii="仿宋" w:hAnsi="仿宋" w:cs="仿宋" w:eastAsia="仿宋"/>
                      <w:color w:val="000000"/>
                      <w:sz w:val="20"/>
                    </w:rPr>
                    <w:t>4. ▲马达惯量 ：≤12μNms（需在样本明确标示具体数值）</w:t>
                  </w:r>
                  <w:r>
                    <w:br/>
                  </w:r>
                  <w:r>
                    <w:rPr>
                      <w:rFonts w:ascii="仿宋" w:hAnsi="仿宋" w:cs="仿宋" w:eastAsia="仿宋"/>
                      <w:color w:val="000000"/>
                      <w:sz w:val="20"/>
                    </w:rPr>
                    <w:t>5. 角位移分辨率：≤15nrad</w:t>
                  </w:r>
                  <w:r>
                    <w:br/>
                  </w:r>
                  <w:r>
                    <w:rPr>
                      <w:rFonts w:ascii="仿宋" w:hAnsi="仿宋" w:cs="仿宋" w:eastAsia="仿宋"/>
                      <w:color w:val="000000"/>
                      <w:sz w:val="20"/>
                    </w:rPr>
                    <w:t>6. 振荡频率：10-4Hz~100Hz</w:t>
                  </w:r>
                  <w:r>
                    <w:br/>
                  </w:r>
                  <w:r>
                    <w:rPr>
                      <w:rFonts w:ascii="仿宋" w:hAnsi="仿宋" w:cs="仿宋" w:eastAsia="仿宋"/>
                      <w:color w:val="000000"/>
                      <w:sz w:val="20"/>
                    </w:rPr>
                    <w:t xml:space="preserve">7. 最大法向力： 50N </w:t>
                  </w:r>
                  <w:r>
                    <w:br/>
                  </w:r>
                  <w:r>
                    <w:rPr>
                      <w:rFonts w:ascii="仿宋" w:hAnsi="仿宋" w:cs="仿宋" w:eastAsia="仿宋"/>
                      <w:color w:val="000000"/>
                      <w:sz w:val="20"/>
                    </w:rPr>
                    <w:t xml:space="preserve">8. ▲电加热同心圆筒温度范围：室温-300℃ </w:t>
                  </w:r>
                  <w:r>
                    <w:br/>
                  </w:r>
                  <w:r>
                    <w:rPr>
                      <w:rFonts w:ascii="仿宋" w:hAnsi="仿宋" w:cs="仿宋" w:eastAsia="仿宋"/>
                      <w:color w:val="000000"/>
                      <w:sz w:val="20"/>
                    </w:rPr>
                    <w:t>9. 高温高压密闭单元：</w:t>
                  </w:r>
                  <w:r>
                    <w:br/>
                  </w:r>
                  <w:r>
                    <w:rPr>
                      <w:rFonts w:ascii="仿宋" w:hAnsi="仿宋" w:cs="仿宋" w:eastAsia="仿宋"/>
                      <w:color w:val="000000"/>
                      <w:sz w:val="20"/>
                    </w:rPr>
                    <w:t>▲最高压力：≥35Mpa，最高温度300℃；</w:t>
                  </w:r>
                  <w:r>
                    <w:br/>
                  </w:r>
                  <w:r>
                    <w:rPr>
                      <w:rFonts w:ascii="仿宋" w:hAnsi="仿宋" w:cs="仿宋" w:eastAsia="仿宋"/>
                      <w:color w:val="000000"/>
                      <w:sz w:val="20"/>
                    </w:rPr>
                    <w:t>▲样品杯容积≥120ml, 测试样品体积≥40ml；</w:t>
                  </w:r>
                  <w:r>
                    <w:br/>
                  </w:r>
                  <w:r>
                    <w:rPr>
                      <w:rFonts w:ascii="仿宋" w:hAnsi="仿宋" w:cs="仿宋" w:eastAsia="仿宋"/>
                      <w:color w:val="000000"/>
                      <w:sz w:val="20"/>
                    </w:rPr>
                    <w:t>样品黏度测试范围：170s-1条件下，10~10000mPa.s；最大测试黏度10000 mPa.s；</w:t>
                  </w:r>
                  <w:r>
                    <w:br/>
                  </w:r>
                  <w:r>
                    <w:rPr>
                      <w:rFonts w:ascii="仿宋" w:hAnsi="仿宋" w:cs="仿宋" w:eastAsia="仿宋"/>
                      <w:color w:val="000000"/>
                      <w:sz w:val="20"/>
                    </w:rPr>
                    <w:t xml:space="preserve">   </w:t>
                  </w:r>
                  <w:r>
                    <w:rPr>
                      <w:rFonts w:ascii="仿宋" w:hAnsi="仿宋" w:cs="仿宋" w:eastAsia="仿宋"/>
                      <w:color w:val="000000"/>
                      <w:sz w:val="20"/>
                    </w:rPr>
                    <w:t>配置中低黏度转子，双壁同心圆筒转子各一套；</w:t>
                  </w:r>
                  <w:r>
                    <w:br/>
                  </w:r>
                  <w:r>
                    <w:rPr>
                      <w:rFonts w:ascii="仿宋" w:hAnsi="仿宋" w:cs="仿宋" w:eastAsia="仿宋"/>
                      <w:color w:val="000000"/>
                      <w:sz w:val="20"/>
                    </w:rPr>
                    <w:t>▲蓝宝石轴承设计，可以精确校准加载样品的摩擦力；</w:t>
                  </w:r>
                  <w:r>
                    <w:br/>
                  </w:r>
                  <w:r>
                    <w:rPr>
                      <w:rFonts w:ascii="仿宋" w:hAnsi="仿宋" w:cs="仿宋" w:eastAsia="仿宋"/>
                      <w:color w:val="000000"/>
                      <w:sz w:val="20"/>
                    </w:rPr>
                    <w:t>可以采用注气加压及注液加压方式；</w:t>
                  </w:r>
                  <w:r>
                    <w:br/>
                  </w:r>
                  <w:r>
                    <w:rPr>
                      <w:rFonts w:ascii="仿宋" w:hAnsi="仿宋" w:cs="仿宋" w:eastAsia="仿宋"/>
                      <w:color w:val="000000"/>
                      <w:sz w:val="20"/>
                    </w:rPr>
                    <w:t>▲须配置相应的安全阀、压力表，加载及卸载样品管线分开设计，保证安全，防止样品污染（加入增稠剂的二氧化碳返流会导致测试的样品与原样品产生偏差，且易污染后续样品）；</w:t>
                  </w:r>
                  <w:r>
                    <w:br/>
                  </w:r>
                  <w:r>
                    <w:rPr>
                      <w:rFonts w:ascii="仿宋" w:hAnsi="仿宋" w:cs="仿宋" w:eastAsia="仿宋"/>
                      <w:color w:val="000000"/>
                      <w:sz w:val="20"/>
                    </w:rPr>
                    <w:t>10. 提供一套标准黏度油(10mPa.s/20mPa.s/100mPa.s/1000mPa.s)进行黏度校正，黏度测试准确性：±2 %；</w:t>
                  </w:r>
                  <w:r>
                    <w:br/>
                  </w:r>
                  <w:r>
                    <w:rPr>
                      <w:rFonts w:ascii="仿宋" w:hAnsi="仿宋" w:cs="仿宋" w:eastAsia="仿宋"/>
                      <w:color w:val="000000"/>
                      <w:sz w:val="20"/>
                    </w:rPr>
                    <w:t>备注：不含电脑，水浴，空压机</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180日历日</w:t>
      </w:r>
    </w:p>
    <w:p>
      <w:pPr>
        <w:pStyle w:val="null3"/>
        <w:outlineLvl w:val="3"/>
      </w:pPr>
      <w:r>
        <w:rPr>
          <w:b/>
          <w:sz w:val="24"/>
        </w:rPr>
        <w:t>3.4.2交货地点</w:t>
      </w:r>
    </w:p>
    <w:p>
      <w:pPr>
        <w:pStyle w:val="null3"/>
      </w:pPr>
      <w:r>
        <w:rPr/>
        <w:t>采购包1：</w:t>
      </w:r>
    </w:p>
    <w:p>
      <w:pPr>
        <w:pStyle w:val="null3"/>
      </w:pPr>
      <w:r>
        <w:rPr/>
        <w:t>陕西科技大学(西安校区)</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验收合格后，一次性支付全部货款。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详见招标文件。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质保期不少于1年。其他详见招标文件。</w:t>
      </w:r>
    </w:p>
    <w:p>
      <w:pPr>
        <w:pStyle w:val="null3"/>
        <w:outlineLvl w:val="3"/>
      </w:pPr>
      <w:r>
        <w:rPr>
          <w:b/>
          <w:sz w:val="24"/>
        </w:rPr>
        <w:t>3.4.8违约责任与解决争议的方法</w:t>
      </w:r>
    </w:p>
    <w:p>
      <w:pPr>
        <w:pStyle w:val="null3"/>
      </w:pPr>
      <w:r>
        <w:rPr/>
        <w:t>采购包1：</w:t>
      </w:r>
    </w:p>
    <w:p>
      <w:pPr>
        <w:pStyle w:val="null3"/>
      </w:pPr>
      <w:r>
        <w:rPr/>
        <w:t>详见招标文件。</w:t>
      </w:r>
    </w:p>
    <w:p>
      <w:pPr>
        <w:pStyle w:val="null3"/>
        <w:jc w:val="left"/>
        <w:outlineLvl w:val="2"/>
      </w:pPr>
      <w:r>
        <w:rPr>
          <w:b/>
          <w:sz w:val="28"/>
        </w:rPr>
        <w:t>3.5其他要求</w:t>
      </w:r>
    </w:p>
    <w:p>
      <w:pPr>
        <w:pStyle w:val="null3"/>
      </w:pPr>
      <w:r>
        <w:rPr/>
        <w:t>1.本项目已做过进口产品论证。 2.参照《陕西省中小企业政府采购信用融资办法》（陕财办采〔2018〕23号）、《陕西省财政厅关于加快推进我省中小企业政府采购信用融资工作的通知》（陕财办采〔2020〕15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 3.中标供应商在领取中标通知书时提供3套纸质投标文件（1正2副），纸质版投标文件应与线上电子投标文件保持一致并加盖公章。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合格有效的法人或者其他组织的营业执照等证明文件，自然人的身份证明；供应商是法人或其他组织的应提供营业执照等证明文件，供应商是自然人的应提供有效的自然人身份证明）；2.具有良好的商业信誉和健全的财务会计制度（提供2022或2023年度财务审计报告或开标前近12个月内银行资信证明或财政部门认可的政府采购专业担保机构出具的投标担保函）；3.具有履行合同所必需的设备和专业技术能力（格式详见附件）；4.具有依法缴纳税收和社会保障资金的良好记录（提供投标截止日12个月内已缴纳的至少一个月的纳税证明或完税证明，依法免税的单位应提供相关证明材料；提供投标截止日12个月内已缴存的至少一个月的社会保障资金缴存单据或社保机构开具的社会保险参保缴费情况证明，依法不需要缴纳社会保障资金的单位应提供相关证明材料)；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投标函 一般资格条件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或2023年度财务审计报告或开标前近12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一般资格条件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法定代表人直接参加的，须出示身份证；法定代表人授权他人参加的，须提供法定代表人授权委托书。供应商需在项目电子化交易系统中按要求上传相应证明文件并进行电子签章。</w:t>
            </w:r>
          </w:p>
        </w:tc>
        <w:tc>
          <w:tcPr>
            <w:tcW w:type="dxa" w:w="1661"/>
          </w:tcPr>
          <w:p>
            <w:pPr>
              <w:pStyle w:val="null3"/>
            </w:pPr>
            <w:r>
              <w:rPr/>
              <w:t>特定资格条件</w:t>
            </w:r>
          </w:p>
        </w:tc>
      </w:tr>
      <w:tr>
        <w:tc>
          <w:tcPr>
            <w:tcW w:type="dxa" w:w="831"/>
          </w:tcPr>
          <w:p>
            <w:pPr>
              <w:pStyle w:val="null3"/>
            </w:pPr>
            <w:r>
              <w:rPr/>
              <w:t>2</w:t>
            </w:r>
          </w:p>
        </w:tc>
        <w:tc>
          <w:tcPr>
            <w:tcW w:type="dxa" w:w="2492"/>
          </w:tcPr>
          <w:p>
            <w:pPr>
              <w:pStyle w:val="null3"/>
            </w:pPr>
            <w:r>
              <w:rPr/>
              <w:t>本项目不接受联合体相关要求</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特定资格条件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诚信承诺书 开标一览表 标的清单 投标文件封面</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交货期是否按招标文件要求的各项节点响应。</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质保期是否按照招标文件的相关要求响应</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付款方式是否响应招标文件的要求</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开标一览表 商务偏离表 保证金交纳凭证</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投标报价是否超过采购预算或最高限价</w:t>
            </w:r>
          </w:p>
        </w:tc>
        <w:tc>
          <w:tcPr>
            <w:tcW w:type="dxa" w:w="1661"/>
          </w:tcPr>
          <w:p>
            <w:pPr>
              <w:pStyle w:val="null3"/>
            </w:pPr>
            <w:r>
              <w:rPr/>
              <w:t>开标一览表 分项报价表 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投标产品符合政府采购政策，并提供证明材料。每提供1项得1分，满分2分。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节能环保证明资料</w:t>
            </w:r>
          </w:p>
        </w:tc>
      </w:tr>
      <w:tr>
        <w:tc>
          <w:tcPr>
            <w:tcW w:type="dxa" w:w="831"/>
            <w:vMerge/>
          </w:tcPr>
          <w:p/>
        </w:tc>
        <w:tc>
          <w:tcPr>
            <w:tcW w:type="dxa" w:w="1661"/>
          </w:tcPr>
          <w:p>
            <w:pPr>
              <w:pStyle w:val="null3"/>
            </w:pPr>
            <w:r>
              <w:rPr/>
              <w:t>技术指标</w:t>
            </w:r>
          </w:p>
        </w:tc>
        <w:tc>
          <w:tcPr>
            <w:tcW w:type="dxa" w:w="2492"/>
          </w:tcPr>
          <w:p>
            <w:pPr>
              <w:pStyle w:val="null3"/>
            </w:pPr>
            <w:r>
              <w:rPr/>
              <w:t>投标产品选型合理、成熟稳定且安全可靠。设备符合使用需求，配置完整合理，其型号、技术参数清晰明确，根据投标产品的技术指标和性能对招标文件的响应程度计分。其响应技术指标和性能完全满足招标文件要求计30分； ▲标识参数为重要参数，按要求逐条响应，须提供技术参数证明材料,每个▲项不满足扣3分，扣完本项分值为止。 无标识参数为一般参数，按要求逐条响应，不满足一项扣1分，扣完本项分值为止。 ▲参数必须提供技术参数证明材料，包括官网截图或产品彩页或检测报告或加盖生产厂商公章的技术参数说明。不响应或未提供证明资料不得分。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投标方案</w:t>
            </w:r>
          </w:p>
        </w:tc>
        <w:tc>
          <w:tcPr>
            <w:tcW w:type="dxa" w:w="2492"/>
          </w:tcPr>
          <w:p>
            <w:pPr>
              <w:pStyle w:val="null3"/>
            </w:pPr>
            <w:r>
              <w:rPr/>
              <w:t>投标方案的完善程度及投标设备的实际使用普及程度，配置功能完整程度，运行稳定状况。 1.投标方案描述详细，各部分功能配置完整，满足或优于招标文件要求。能够实现项目建设目标，各个系统配置合理，实用、先进，满足今后扩展性的要求。得6分 2.投标方案描述完整，各部分功能配置基本满足招标文件要求，能够基本实现项目建设目标。得4分 3.投标方案部分描述，功能配置部分满足招标文件要求，能够基本实现项目建设目标。得2分 4.投标方案不能满足建设目标或无方案。得0分。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w:t>
            </w:r>
          </w:p>
          <w:p>
            <w:pPr>
              <w:pStyle w:val="null3"/>
            </w:pPr>
            <w:r>
              <w:rPr/>
              <w:t>规格、技术参数偏离表</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际、国家的标准和有关规定，有完备可靠的质量保证措施，经过有关部门检测。能保证使用单位正常使用和维护。提供详细、具体、丰富的资料证明文件。得6分 2.投标设备货源渠道正常（包括但不限于销售协议、代理协议、原厂授权等），符合国际、国家的标准和有关规定，有质量保证措施，经过有关部门检测。能保证使用单位正常使用和维护。提供部分资料证明文件。得4分 3.投标设备货源渠道正常（包括但不限于销售协议、代理协议、原厂授权等），符合国际、国家的标准和有关规定。能保证使用单位正常使用和维护。提供部分资料证明文件。得2分 4.未提供相关资料证明文件。得0分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w:t>
            </w:r>
          </w:p>
          <w:p>
            <w:pPr>
              <w:pStyle w:val="null3"/>
            </w:pPr>
            <w:r>
              <w:rPr/>
              <w:t>规格、技术参数偏离表</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1.供应商提供详细的技术培训方案，包括现场培训及培训人员的配备等，完全满足招标文件要求并能提供更多的培训内容等。得6分 2.供应商提供具体的技术培训方案，包括现场培训的方案等。得4分 3.供应商提供的技术支持培训方案较简单，基本能够满足用户的需求。得2分 4.供应商未提供相关内容。得0分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w:t>
            </w:r>
          </w:p>
          <w:p>
            <w:pPr>
              <w:pStyle w:val="null3"/>
            </w:pPr>
            <w:r>
              <w:rPr/>
              <w:t>服务承诺</w:t>
            </w:r>
          </w:p>
        </w:tc>
      </w:tr>
      <w:tr>
        <w:tc>
          <w:tcPr>
            <w:tcW w:type="dxa" w:w="831"/>
            <w:vMerge/>
          </w:tcPr>
          <w:p/>
        </w:tc>
        <w:tc>
          <w:tcPr>
            <w:tcW w:type="dxa" w:w="1661"/>
          </w:tcPr>
          <w:p>
            <w:pPr>
              <w:pStyle w:val="null3"/>
            </w:pPr>
            <w:r>
              <w:rPr/>
              <w:t>售后服务</w:t>
            </w:r>
          </w:p>
        </w:tc>
        <w:tc>
          <w:tcPr>
            <w:tcW w:type="dxa" w:w="2492"/>
          </w:tcPr>
          <w:p>
            <w:pPr>
              <w:pStyle w:val="null3"/>
            </w:pPr>
            <w:r>
              <w:rPr/>
              <w:t>1.售后服务条款具体、可行，有详细的售后服务措施承诺；在设备发生故障后的补救措施等方面，有详细的服务承诺和实施方案；明确质保期限和保修方式等有承诺。得6分 2.售后服务条款可行，有完整的售后服务措施承诺；在设备发生故障后的补救措施等方面，有明确的服务承诺和实施方案。得4分 3.售后服务条款可行，有完整的售后服务措施承诺。得2分 4.供应商未提供相关内容。得0分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零配件及耗材承诺</w:t>
            </w:r>
          </w:p>
        </w:tc>
        <w:tc>
          <w:tcPr>
            <w:tcW w:type="dxa" w:w="2492"/>
          </w:tcPr>
          <w:p>
            <w:pPr>
              <w:pStyle w:val="null3"/>
            </w:pPr>
            <w:r>
              <w:rPr/>
              <w:t>1.供应商提供详细具体的零配件及耗材的承诺，投标文件中附有详细配置清单，并有所投设备各种规格的耗材及易损件的单独报价，报价合理。得4分。 2.供应商提供完整的零配件及耗材承诺，有完整的配置清单等，承诺内容较简单。得2分。 3.供应商提供的耗材报价不合理或未提供相关内容。得0分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零配件及耗材简要说明一览表</w:t>
            </w:r>
          </w:p>
        </w:tc>
      </w:tr>
      <w:tr>
        <w:tc>
          <w:tcPr>
            <w:tcW w:type="dxa" w:w="831"/>
            <w:vMerge/>
          </w:tcPr>
          <w:p/>
        </w:tc>
        <w:tc>
          <w:tcPr>
            <w:tcW w:type="dxa" w:w="1661"/>
          </w:tcPr>
          <w:p>
            <w:pPr>
              <w:pStyle w:val="null3"/>
            </w:pPr>
            <w:r>
              <w:rPr/>
              <w:t>业绩</w:t>
            </w:r>
          </w:p>
        </w:tc>
        <w:tc>
          <w:tcPr>
            <w:tcW w:type="dxa" w:w="2492"/>
          </w:tcPr>
          <w:p>
            <w:pPr>
              <w:pStyle w:val="null3"/>
            </w:pPr>
            <w:r>
              <w:rPr/>
              <w:t>提供2021年1月1日以来所投产品业绩，每提供1份合同得2分，最高5分，共10分。（以加盖供应商公章完整合同复印件为准）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详见附件：一般资格条件</w:t>
      </w:r>
    </w:p>
    <w:p>
      <w:pPr>
        <w:pStyle w:val="null3"/>
        <w:ind w:firstLine="960"/>
      </w:pPr>
      <w:r>
        <w:rPr/>
        <w:t>详见附件：特定资格条件</w:t>
      </w:r>
    </w:p>
    <w:p>
      <w:pPr>
        <w:pStyle w:val="null3"/>
        <w:ind w:firstLine="960"/>
      </w:pPr>
      <w:r>
        <w:rPr/>
        <w:t>详见附件：商务偏离表</w:t>
      </w:r>
    </w:p>
    <w:p>
      <w:pPr>
        <w:pStyle w:val="null3"/>
        <w:ind w:firstLine="960"/>
      </w:pPr>
      <w:r>
        <w:rPr/>
        <w:t>详见附件：技术方案</w:t>
      </w:r>
    </w:p>
    <w:p>
      <w:pPr>
        <w:pStyle w:val="null3"/>
        <w:ind w:firstLine="960"/>
      </w:pPr>
      <w:r>
        <w:rPr/>
        <w:t>详见附件：规格、技术参数偏离表</w:t>
      </w:r>
    </w:p>
    <w:p>
      <w:pPr>
        <w:pStyle w:val="null3"/>
        <w:ind w:firstLine="960"/>
      </w:pPr>
      <w:r>
        <w:rPr/>
        <w:t>详见附件：服务承诺</w:t>
      </w:r>
    </w:p>
    <w:p>
      <w:pPr>
        <w:pStyle w:val="null3"/>
        <w:ind w:firstLine="960"/>
      </w:pPr>
      <w:r>
        <w:rPr/>
        <w:t>详见附件：分项报价表</w:t>
      </w:r>
    </w:p>
    <w:p>
      <w:pPr>
        <w:pStyle w:val="null3"/>
        <w:ind w:firstLine="960"/>
      </w:pPr>
      <w:r>
        <w:rPr/>
        <w:t>详见附件：零配件及耗材简要说明一览表</w:t>
      </w:r>
    </w:p>
    <w:p>
      <w:pPr>
        <w:pStyle w:val="null3"/>
        <w:ind w:firstLine="960"/>
      </w:pPr>
      <w:r>
        <w:rPr/>
        <w:t>详见附件：业绩一览表</w:t>
      </w:r>
    </w:p>
    <w:p>
      <w:pPr>
        <w:pStyle w:val="null3"/>
        <w:ind w:firstLine="960"/>
      </w:pPr>
      <w:r>
        <w:rPr/>
        <w:t>详见附件：诚信承诺书</w:t>
      </w:r>
    </w:p>
    <w:p>
      <w:pPr>
        <w:pStyle w:val="null3"/>
        <w:ind w:firstLine="960"/>
      </w:pPr>
      <w:r>
        <w:rPr/>
        <w:t>详见附件：保证金交纳凭证</w:t>
      </w:r>
    </w:p>
    <w:p>
      <w:pPr>
        <w:pStyle w:val="null3"/>
        <w:ind w:firstLine="960"/>
      </w:pPr>
      <w:r>
        <w:rPr/>
        <w:t>详见附件：节能环保证明资料</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