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t>1 具有独立承担民事责任的能力</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如供应商是企业（包括合伙企业），应提供在工商部门注册的有效“企业法人营业执照”或“营业执照”；</w:t>
      </w:r>
    </w:p>
    <w:p>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如供应商是事业单位，应提供有效的“事业单位法人证书”；</w:t>
      </w:r>
    </w:p>
    <w:p>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如供应商是为企业专业服务机构的，应提供执业许可证等证明文件；</w:t>
      </w:r>
    </w:p>
    <w:p>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如供应商是个体工商户，应提供有效的“个体工商户营业执照”；</w:t>
      </w:r>
    </w:p>
    <w:p>
      <w:pPr>
        <w:spacing w:line="360" w:lineRule="auto"/>
        <w:rPr>
          <w:rFonts w:hint="eastAsia" w:ascii="仿宋" w:hAnsi="仿宋" w:eastAsia="仿宋" w:cs="仿宋"/>
          <w:sz w:val="24"/>
          <w:szCs w:val="24"/>
        </w:rPr>
      </w:pPr>
      <w:r>
        <w:rPr>
          <w:rFonts w:hint="eastAsia" w:ascii="仿宋" w:hAnsi="仿宋" w:eastAsia="仿宋" w:cs="仿宋"/>
          <w:sz w:val="24"/>
          <w:szCs w:val="24"/>
        </w:rPr>
        <w:t>如供应商为自然人，应提供有效的自然人身份证明。</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bookmarkStart w:id="0" w:name="_Toc11646"/>
      <w:bookmarkStart w:id="1" w:name="_Toc24599"/>
      <w:bookmarkStart w:id="2" w:name="_Toc24657"/>
    </w:p>
    <w:p>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br w:type="page"/>
      </w:r>
      <w:bookmarkEnd w:id="0"/>
      <w:bookmarkEnd w:id="1"/>
      <w:bookmarkEnd w:id="2"/>
      <w:bookmarkStart w:id="3" w:name="_Toc332805171"/>
      <w:bookmarkStart w:id="4" w:name="_Toc332805616"/>
      <w:bookmarkStart w:id="5" w:name="_Toc12557"/>
      <w:bookmarkStart w:id="6" w:name="_Toc23806"/>
      <w:bookmarkStart w:id="7" w:name="_Toc22815"/>
      <w:bookmarkStart w:id="8" w:name="_Toc24330"/>
      <w:bookmarkStart w:id="9" w:name="_Toc32765"/>
      <w:bookmarkStart w:id="10" w:name="_Toc13703"/>
      <w:bookmarkStart w:id="11" w:name="_Toc14840"/>
      <w:bookmarkStart w:id="12" w:name="_Toc1231"/>
      <w:bookmarkStart w:id="13" w:name="_Toc104282803"/>
      <w:bookmarkStart w:id="14" w:name="_Toc28360"/>
      <w:bookmarkStart w:id="15" w:name="_Toc23973"/>
      <w:bookmarkStart w:id="16" w:name="_Toc24750"/>
      <w:bookmarkStart w:id="17" w:name="_Toc10623"/>
      <w:r>
        <w:rPr>
          <w:rFonts w:hint="eastAsia" w:ascii="仿宋" w:hAnsi="仿宋" w:eastAsia="仿宋" w:cs="仿宋"/>
          <w:b/>
          <w:bCs/>
          <w:sz w:val="24"/>
          <w:szCs w:val="24"/>
        </w:rPr>
        <w:t>2 具有良好的商业信誉和健全的财务会计制</w:t>
      </w:r>
      <w:bookmarkEnd w:id="3"/>
      <w:bookmarkEnd w:id="4"/>
      <w:r>
        <w:rPr>
          <w:rFonts w:hint="eastAsia" w:ascii="仿宋" w:hAnsi="仿宋" w:eastAsia="仿宋" w:cs="仿宋"/>
          <w:b/>
          <w:bCs/>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说明：</w:t>
      </w:r>
    </w:p>
    <w:p>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1、提供2022</w:t>
      </w:r>
      <w:r>
        <w:rPr>
          <w:rFonts w:hint="eastAsia" w:ascii="仿宋" w:hAnsi="仿宋" w:eastAsia="仿宋" w:cs="仿宋"/>
          <w:sz w:val="24"/>
          <w:szCs w:val="24"/>
          <w:lang w:val="en-US" w:eastAsia="zh-CN"/>
        </w:rPr>
        <w:t>或2023</w:t>
      </w:r>
      <w:r>
        <w:rPr>
          <w:rFonts w:hint="eastAsia" w:ascii="仿宋" w:hAnsi="仿宋" w:eastAsia="仿宋" w:cs="仿宋"/>
          <w:sz w:val="24"/>
          <w:szCs w:val="24"/>
        </w:rPr>
        <w:t>年度经审计的财务报告或</w:t>
      </w:r>
      <w:r>
        <w:rPr>
          <w:rFonts w:hint="eastAsia" w:ascii="仿宋" w:hAnsi="仿宋" w:eastAsia="仿宋" w:cs="仿宋"/>
          <w:kern w:val="0"/>
          <w:sz w:val="24"/>
          <w:szCs w:val="24"/>
          <w:lang w:bidi="ar"/>
        </w:rPr>
        <w:t>开标前 12 个月内</w:t>
      </w:r>
      <w:r>
        <w:rPr>
          <w:rFonts w:hint="eastAsia" w:ascii="仿宋" w:hAnsi="仿宋" w:eastAsia="仿宋" w:cs="仿宋"/>
          <w:sz w:val="24"/>
          <w:szCs w:val="24"/>
        </w:rPr>
        <w:t>银行出具的资信证明。</w:t>
      </w:r>
    </w:p>
    <w:p>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pStyle w:val="3"/>
        <w:adjustRightInd w:val="0"/>
        <w:snapToGrid w:val="0"/>
        <w:spacing w:before="0" w:after="0" w:line="360" w:lineRule="auto"/>
        <w:jc w:val="left"/>
        <w:rPr>
          <w:rFonts w:hint="eastAsia" w:ascii="仿宋" w:hAnsi="仿宋" w:eastAsia="仿宋" w:cs="仿宋"/>
          <w:b w:val="0"/>
          <w:bCs w:val="0"/>
          <w:sz w:val="24"/>
          <w:szCs w:val="24"/>
        </w:rPr>
      </w:pPr>
      <w:bookmarkStart w:id="18" w:name="_Toc6372"/>
      <w:bookmarkStart w:id="19" w:name="_Toc18406"/>
      <w:bookmarkStart w:id="20" w:name="_Toc6987"/>
      <w:bookmarkStart w:id="21" w:name="_Toc25792"/>
      <w:bookmarkStart w:id="22" w:name="_Toc16015"/>
      <w:bookmarkStart w:id="23" w:name="_Toc32246"/>
      <w:bookmarkStart w:id="24" w:name="_Toc15137"/>
      <w:bookmarkStart w:id="25" w:name="_Toc23248"/>
      <w:bookmarkStart w:id="26" w:name="_Toc22976"/>
      <w:bookmarkStart w:id="27" w:name="_Toc104282804"/>
      <w:bookmarkStart w:id="28" w:name="_Toc15495"/>
      <w:bookmarkStart w:id="29" w:name="_Toc20696"/>
      <w:bookmarkStart w:id="30" w:name="_Toc27924"/>
      <w:bookmarkStart w:id="31" w:name="_Toc332805172"/>
      <w:bookmarkStart w:id="32" w:name="_Toc332805617"/>
      <w:r>
        <w:rPr>
          <w:rFonts w:hint="eastAsia" w:ascii="仿宋" w:hAnsi="仿宋" w:eastAsia="仿宋" w:cs="仿宋"/>
          <w:sz w:val="24"/>
          <w:szCs w:val="24"/>
        </w:rPr>
        <w:br w:type="page"/>
      </w:r>
      <w:r>
        <w:rPr>
          <w:rFonts w:hint="eastAsia" w:ascii="仿宋" w:hAnsi="仿宋" w:eastAsia="仿宋" w:cs="仿宋"/>
          <w:sz w:val="24"/>
          <w:szCs w:val="24"/>
        </w:rPr>
        <w:t>3 具有履行本合同所必需的专业技术能力的说明及承诺（参考格式）</w:t>
      </w:r>
    </w:p>
    <w:p>
      <w:pPr>
        <w:spacing w:line="360" w:lineRule="auto"/>
        <w:rPr>
          <w:rFonts w:hint="eastAsia" w:ascii="仿宋" w:hAnsi="仿宋" w:eastAsia="仿宋" w:cs="仿宋"/>
          <w:sz w:val="24"/>
          <w:szCs w:val="24"/>
        </w:rPr>
      </w:pPr>
    </w:p>
    <w:p>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eastAsia="zh-CN"/>
        </w:rPr>
        <w:t>陕西科技大学</w:t>
      </w:r>
    </w:p>
    <w:p>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（公司）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日在中华人民共和国境内（详细注册地址）合法注册并经营，公司主营业务为（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（专业能力、数量），本公司郑重承诺，具有履行本合同所必需的设备和专业技术能力。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69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268"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851"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26"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693" w:type="dxa"/>
            <w:noWrap w:val="0"/>
            <w:vAlign w:val="center"/>
          </w:tcPr>
          <w:p>
            <w:pPr>
              <w:spacing w:line="360" w:lineRule="auto"/>
              <w:jc w:val="center"/>
              <w:rPr>
                <w:rFonts w:hint="eastAsia" w:ascii="仿宋" w:hAnsi="仿宋" w:eastAsia="仿宋" w:cs="仿宋"/>
                <w:sz w:val="24"/>
                <w:szCs w:val="24"/>
              </w:rPr>
            </w:pPr>
          </w:p>
        </w:tc>
        <w:tc>
          <w:tcPr>
            <w:tcW w:w="2268" w:type="dxa"/>
            <w:noWrap w:val="0"/>
            <w:vAlign w:val="center"/>
          </w:tcPr>
          <w:p>
            <w:pPr>
              <w:spacing w:line="360" w:lineRule="auto"/>
              <w:jc w:val="center"/>
              <w:rPr>
                <w:rFonts w:hint="eastAsia" w:ascii="仿宋" w:hAnsi="仿宋" w:eastAsia="仿宋" w:cs="仿宋"/>
                <w:sz w:val="24"/>
                <w:szCs w:val="24"/>
              </w:rPr>
            </w:pPr>
          </w:p>
        </w:tc>
        <w:tc>
          <w:tcPr>
            <w:tcW w:w="851" w:type="dxa"/>
            <w:noWrap w:val="0"/>
            <w:vAlign w:val="center"/>
          </w:tcPr>
          <w:p>
            <w:pPr>
              <w:spacing w:line="360" w:lineRule="auto"/>
              <w:jc w:val="center"/>
              <w:rPr>
                <w:rFonts w:hint="eastAsia" w:ascii="仿宋" w:hAnsi="仿宋" w:eastAsia="仿宋" w:cs="仿宋"/>
                <w:sz w:val="24"/>
                <w:szCs w:val="24"/>
              </w:rPr>
            </w:pPr>
          </w:p>
        </w:tc>
        <w:tc>
          <w:tcPr>
            <w:tcW w:w="2126"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693" w:type="dxa"/>
            <w:noWrap w:val="0"/>
            <w:vAlign w:val="center"/>
          </w:tcPr>
          <w:p>
            <w:pPr>
              <w:spacing w:line="360" w:lineRule="auto"/>
              <w:jc w:val="center"/>
              <w:rPr>
                <w:rFonts w:hint="eastAsia" w:ascii="仿宋" w:hAnsi="仿宋" w:eastAsia="仿宋" w:cs="仿宋"/>
                <w:sz w:val="24"/>
                <w:szCs w:val="24"/>
              </w:rPr>
            </w:pPr>
          </w:p>
        </w:tc>
        <w:tc>
          <w:tcPr>
            <w:tcW w:w="2268" w:type="dxa"/>
            <w:noWrap w:val="0"/>
            <w:vAlign w:val="center"/>
          </w:tcPr>
          <w:p>
            <w:pPr>
              <w:spacing w:line="360" w:lineRule="auto"/>
              <w:jc w:val="center"/>
              <w:rPr>
                <w:rFonts w:hint="eastAsia" w:ascii="仿宋" w:hAnsi="仿宋" w:eastAsia="仿宋" w:cs="仿宋"/>
                <w:sz w:val="24"/>
                <w:szCs w:val="24"/>
              </w:rPr>
            </w:pPr>
          </w:p>
        </w:tc>
        <w:tc>
          <w:tcPr>
            <w:tcW w:w="851" w:type="dxa"/>
            <w:noWrap w:val="0"/>
            <w:vAlign w:val="center"/>
          </w:tcPr>
          <w:p>
            <w:pPr>
              <w:spacing w:line="360" w:lineRule="auto"/>
              <w:jc w:val="center"/>
              <w:rPr>
                <w:rFonts w:hint="eastAsia" w:ascii="仿宋" w:hAnsi="仿宋" w:eastAsia="仿宋" w:cs="仿宋"/>
                <w:sz w:val="24"/>
                <w:szCs w:val="24"/>
              </w:rPr>
            </w:pPr>
          </w:p>
        </w:tc>
        <w:tc>
          <w:tcPr>
            <w:tcW w:w="2126"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693" w:type="dxa"/>
            <w:noWrap w:val="0"/>
            <w:vAlign w:val="center"/>
          </w:tcPr>
          <w:p>
            <w:pPr>
              <w:spacing w:line="360" w:lineRule="auto"/>
              <w:jc w:val="center"/>
              <w:rPr>
                <w:rFonts w:hint="eastAsia" w:ascii="仿宋" w:hAnsi="仿宋" w:eastAsia="仿宋" w:cs="仿宋"/>
                <w:sz w:val="24"/>
                <w:szCs w:val="24"/>
              </w:rPr>
            </w:pPr>
          </w:p>
        </w:tc>
        <w:tc>
          <w:tcPr>
            <w:tcW w:w="2268" w:type="dxa"/>
            <w:noWrap w:val="0"/>
            <w:vAlign w:val="center"/>
          </w:tcPr>
          <w:p>
            <w:pPr>
              <w:spacing w:line="360" w:lineRule="auto"/>
              <w:jc w:val="center"/>
              <w:rPr>
                <w:rFonts w:hint="eastAsia" w:ascii="仿宋" w:hAnsi="仿宋" w:eastAsia="仿宋" w:cs="仿宋"/>
                <w:sz w:val="24"/>
                <w:szCs w:val="24"/>
              </w:rPr>
            </w:pPr>
          </w:p>
        </w:tc>
        <w:tc>
          <w:tcPr>
            <w:tcW w:w="851" w:type="dxa"/>
            <w:noWrap w:val="0"/>
            <w:vAlign w:val="center"/>
          </w:tcPr>
          <w:p>
            <w:pPr>
              <w:spacing w:line="360" w:lineRule="auto"/>
              <w:jc w:val="center"/>
              <w:rPr>
                <w:rFonts w:hint="eastAsia" w:ascii="仿宋" w:hAnsi="仿宋" w:eastAsia="仿宋" w:cs="仿宋"/>
                <w:sz w:val="24"/>
                <w:szCs w:val="24"/>
              </w:rPr>
            </w:pPr>
          </w:p>
        </w:tc>
        <w:tc>
          <w:tcPr>
            <w:tcW w:w="2126"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693" w:type="dxa"/>
            <w:noWrap w:val="0"/>
            <w:vAlign w:val="center"/>
          </w:tcPr>
          <w:p>
            <w:pPr>
              <w:spacing w:line="360" w:lineRule="auto"/>
              <w:jc w:val="center"/>
              <w:rPr>
                <w:rFonts w:hint="eastAsia" w:ascii="仿宋" w:hAnsi="仿宋" w:eastAsia="仿宋" w:cs="仿宋"/>
                <w:sz w:val="24"/>
                <w:szCs w:val="24"/>
              </w:rPr>
            </w:pPr>
          </w:p>
        </w:tc>
        <w:tc>
          <w:tcPr>
            <w:tcW w:w="2268" w:type="dxa"/>
            <w:noWrap w:val="0"/>
            <w:vAlign w:val="center"/>
          </w:tcPr>
          <w:p>
            <w:pPr>
              <w:spacing w:line="360" w:lineRule="auto"/>
              <w:jc w:val="center"/>
              <w:rPr>
                <w:rFonts w:hint="eastAsia" w:ascii="仿宋" w:hAnsi="仿宋" w:eastAsia="仿宋" w:cs="仿宋"/>
                <w:sz w:val="24"/>
                <w:szCs w:val="24"/>
              </w:rPr>
            </w:pPr>
          </w:p>
        </w:tc>
        <w:tc>
          <w:tcPr>
            <w:tcW w:w="851" w:type="dxa"/>
            <w:noWrap w:val="0"/>
            <w:vAlign w:val="center"/>
          </w:tcPr>
          <w:p>
            <w:pPr>
              <w:spacing w:line="360" w:lineRule="auto"/>
              <w:jc w:val="center"/>
              <w:rPr>
                <w:rFonts w:hint="eastAsia" w:ascii="仿宋" w:hAnsi="仿宋" w:eastAsia="仿宋" w:cs="仿宋"/>
                <w:sz w:val="24"/>
                <w:szCs w:val="24"/>
              </w:rPr>
            </w:pPr>
          </w:p>
        </w:tc>
        <w:tc>
          <w:tcPr>
            <w:tcW w:w="2126" w:type="dxa"/>
            <w:noWrap w:val="0"/>
            <w:vAlign w:val="center"/>
          </w:tcPr>
          <w:p>
            <w:pPr>
              <w:spacing w:line="360" w:lineRule="auto"/>
              <w:jc w:val="center"/>
              <w:rPr>
                <w:rFonts w:hint="eastAsia" w:ascii="仿宋" w:hAnsi="仿宋" w:eastAsia="仿宋" w:cs="仿宋"/>
                <w:sz w:val="24"/>
                <w:szCs w:val="24"/>
              </w:rPr>
            </w:pPr>
          </w:p>
        </w:tc>
      </w:tr>
    </w:tbl>
    <w:p>
      <w:pPr>
        <w:spacing w:before="240" w:beforeLines="100" w:after="120" w:afterLines="50" w:line="360" w:lineRule="auto"/>
        <w:ind w:firstLine="170"/>
        <w:rPr>
          <w:rFonts w:hint="eastAsia" w:ascii="仿宋" w:hAnsi="仿宋" w:eastAsia="仿宋" w:cs="仿宋"/>
          <w:spacing w:val="4"/>
          <w:sz w:val="24"/>
          <w:szCs w:val="24"/>
        </w:rPr>
      </w:pPr>
    </w:p>
    <w:p>
      <w:pPr>
        <w:pStyle w:val="4"/>
        <w:spacing w:line="360" w:lineRule="auto"/>
        <w:rPr>
          <w:rFonts w:hint="eastAsia" w:ascii="仿宋" w:hAnsi="仿宋" w:eastAsia="仿宋" w:cs="仿宋"/>
          <w:spacing w:val="4"/>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spacing w:line="360" w:lineRule="auto"/>
        <w:rPr>
          <w:rFonts w:hint="eastAsia" w:ascii="仿宋" w:hAnsi="仿宋" w:eastAsia="仿宋" w:cs="仿宋"/>
          <w:sz w:val="24"/>
          <w:szCs w:val="24"/>
        </w:rPr>
      </w:pPr>
    </w:p>
    <w:p>
      <w:pPr>
        <w:pStyle w:val="3"/>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pPr>
        <w:spacing w:line="360" w:lineRule="auto"/>
        <w:jc w:val="center"/>
        <w:rPr>
          <w:rFonts w:hint="eastAsia" w:ascii="仿宋" w:hAnsi="仿宋" w:eastAsia="仿宋" w:cs="仿宋"/>
          <w:sz w:val="24"/>
          <w:szCs w:val="24"/>
        </w:rPr>
      </w:pPr>
    </w:p>
    <w:p>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w:t>
      </w:r>
      <w:bookmarkEnd w:id="31"/>
      <w:bookmarkEnd w:id="32"/>
      <w:r>
        <w:rPr>
          <w:rFonts w:hint="eastAsia" w:ascii="仿宋" w:hAnsi="仿宋" w:eastAsia="仿宋" w:cs="仿宋"/>
          <w:sz w:val="24"/>
          <w:szCs w:val="24"/>
        </w:rPr>
        <w:t>件</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1、供应商须依法缴纳社会保障资金，须提供投标截止时间前12个月内任意1个月的社会保障资金缴纳记录复印件并加盖供应商单位公章，新开户的供应商提供社保开户证明，自行编写无效。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sz w:val="24"/>
          <w:szCs w:val="24"/>
        </w:rPr>
        <w:t>。</w:t>
      </w:r>
      <w:bookmarkEnd w:id="33"/>
      <w:bookmarkEnd w:id="34"/>
      <w:bookmarkStart w:id="35" w:name="_Toc332805173"/>
      <w:bookmarkStart w:id="36" w:name="_Toc332805618"/>
    </w:p>
    <w:p>
      <w:pPr>
        <w:spacing w:line="360" w:lineRule="auto"/>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w:t>
      </w:r>
      <w:bookmarkEnd w:id="35"/>
      <w:bookmarkEnd w:id="36"/>
      <w:r>
        <w:rPr>
          <w:rFonts w:hint="eastAsia" w:ascii="仿宋" w:hAnsi="仿宋" w:eastAsia="仿宋" w:cs="仿宋"/>
          <w:sz w:val="24"/>
          <w:szCs w:val="24"/>
        </w:rPr>
        <w:t>件</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1、供应商须提供投标截止时间前12个月内任意1个月的依法缴纳税收记录。</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pStyle w:val="3"/>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b w:val="0"/>
          <w:sz w:val="24"/>
          <w:szCs w:val="24"/>
        </w:rPr>
        <w:br w:type="page"/>
      </w:r>
      <w:bookmarkStart w:id="37" w:name="_Toc104282805"/>
      <w:bookmarkStart w:id="38" w:name="_Toc16304"/>
      <w:bookmarkStart w:id="39" w:name="_Toc7395"/>
      <w:bookmarkStart w:id="40" w:name="_Toc16190"/>
      <w:bookmarkStart w:id="41" w:name="_Toc30527"/>
      <w:bookmarkStart w:id="42" w:name="_Toc30399"/>
      <w:bookmarkStart w:id="43" w:name="_Toc1570"/>
      <w:bookmarkStart w:id="44" w:name="_Toc25966"/>
      <w:bookmarkStart w:id="45" w:name="_Toc25069"/>
      <w:bookmarkStart w:id="46" w:name="_Toc2054"/>
      <w:bookmarkStart w:id="47" w:name="_Toc13406"/>
      <w:bookmarkStart w:id="48" w:name="_Toc4781"/>
      <w:bookmarkStart w:id="49" w:name="_Toc13585"/>
      <w:bookmarkStart w:id="50" w:name="_GoBack"/>
      <w:bookmarkEnd w:id="50"/>
      <w:r>
        <w:rPr>
          <w:rFonts w:hint="eastAsia" w:ascii="仿宋" w:hAnsi="仿宋" w:eastAsia="仿宋" w:cs="仿宋"/>
          <w:sz w:val="24"/>
          <w:szCs w:val="24"/>
        </w:rPr>
        <w:t>5 参加本次采购活动前三年内，在经营活动中没有重大违法记录的书面声明；</w:t>
      </w:r>
      <w:bookmarkEnd w:id="37"/>
      <w:bookmarkEnd w:id="38"/>
      <w:bookmarkEnd w:id="39"/>
      <w:bookmarkEnd w:id="40"/>
      <w:bookmarkEnd w:id="41"/>
      <w:bookmarkEnd w:id="42"/>
      <w:bookmarkEnd w:id="43"/>
      <w:bookmarkEnd w:id="44"/>
      <w:bookmarkEnd w:id="45"/>
      <w:bookmarkEnd w:id="46"/>
      <w:bookmarkEnd w:id="47"/>
      <w:bookmarkEnd w:id="48"/>
      <w:bookmarkEnd w:id="49"/>
    </w:p>
    <w:p>
      <w:pPr>
        <w:tabs>
          <w:tab w:val="left" w:pos="5580"/>
        </w:tabs>
        <w:spacing w:before="120" w:line="360" w:lineRule="auto"/>
        <w:ind w:firstLine="480" w:firstLineChars="200"/>
        <w:rPr>
          <w:rFonts w:hint="eastAsia" w:ascii="仿宋" w:hAnsi="仿宋" w:eastAsia="仿宋" w:cs="仿宋"/>
          <w:bCs/>
          <w:sz w:val="24"/>
          <w:szCs w:val="24"/>
        </w:rPr>
      </w:pPr>
    </w:p>
    <w:p>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lang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eastAsia="zh-CN"/>
        </w:rPr>
        <w:t>陕西科技大学</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pPr>
        <w:pStyle w:val="6"/>
        <w:wordWrap w:val="0"/>
        <w:spacing w:before="0" w:beforeAutospacing="0" w:after="0" w:afterAutospacing="0" w:line="360" w:lineRule="auto"/>
        <w:jc w:val="both"/>
        <w:rPr>
          <w:rFonts w:hint="eastAsia" w:ascii="仿宋" w:hAnsi="仿宋" w:eastAsia="仿宋" w:cs="仿宋"/>
          <w:sz w:val="24"/>
          <w:szCs w:val="24"/>
        </w:rPr>
      </w:pPr>
      <w:r>
        <w:rPr>
          <w:rFonts w:hint="eastAsia" w:ascii="仿宋" w:hAnsi="仿宋" w:eastAsia="仿宋" w:cs="仿宋"/>
          <w:sz w:val="24"/>
          <w:szCs w:val="24"/>
          <w:shd w:val="clear" w:color="auto" w:fill="FFFFFF"/>
        </w:rPr>
        <w:t> </w:t>
      </w:r>
    </w:p>
    <w:p>
      <w:pPr>
        <w:pStyle w:val="6"/>
        <w:wordWrap w:val="0"/>
        <w:spacing w:before="0" w:beforeAutospacing="0" w:after="0" w:afterAutospacing="0" w:line="360" w:lineRule="auto"/>
        <w:ind w:firstLine="3528"/>
        <w:rPr>
          <w:rFonts w:hint="eastAsia" w:ascii="仿宋" w:hAnsi="仿宋" w:eastAsia="仿宋" w:cs="仿宋"/>
          <w:sz w:val="24"/>
          <w:szCs w:val="24"/>
          <w:shd w:val="clear" w:color="auto" w:fill="FFFFFF"/>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trPr>
          <w:trHeight w:val="813"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sz w:val="24"/>
          <w:szCs w:val="24"/>
        </w:rPr>
      </w:pPr>
    </w:p>
    <w:p>
      <w:pPr>
        <w:spacing w:line="360" w:lineRule="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527D713A"/>
    <w:rsid w:val="794E04E9"/>
    <w:rsid w:val="7B694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qFormat/>
    <w:uiPriority w:val="0"/>
    <w:rPr>
      <w:rFonts w:ascii="宋体" w:hAnsi="宋体"/>
      <w:kern w:val="0"/>
      <w:sz w:val="30"/>
      <w:szCs w:val="20"/>
    </w:rPr>
  </w:style>
  <w:style w:type="paragraph" w:styleId="5">
    <w:name w:val="Plain Text"/>
    <w:basedOn w:val="1"/>
    <w:autoRedefine/>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1261</Words>
  <Characters>1293</Characters>
  <Lines>0</Lines>
  <Paragraphs>0</Paragraphs>
  <TotalTime>0</TotalTime>
  <ScaleCrop>false</ScaleCrop>
  <LinksUpToDate>false</LinksUpToDate>
  <CharactersWithSpaces>1421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2024-02-26T07:52:17Z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C314A136393441938A0170620CAB30B7_12</vt:lpwstr>
  </property>
</Properties>
</file>