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绕城高速公路草滩八路跨线桥两侧广告宣传项目</w:t>
      </w:r>
    </w:p>
    <w:p>
      <w:pPr>
        <w:pStyle w:val="null3"/>
        <w:jc w:val="center"/>
        <w:outlineLvl w:val="5"/>
      </w:pPr>
      <w:r>
        <w:rPr>
          <w:sz w:val="15"/>
          <w:b/>
        </w:rPr>
        <w:t xml:space="preserve">采购项目编号: </w:t>
      </w:r>
      <w:r>
        <w:rPr>
          <w:sz w:val="15"/>
          <w:b/>
        </w:rPr>
        <w:t>SZT2024-SN-QT-FW-0094</w:t>
      </w:r>
      <w:r>
        <w:br/>
      </w:r>
      <w:r>
        <w:br/>
      </w:r>
      <w:r>
        <w:br/>
      </w:r>
    </w:p>
    <w:p>
      <w:pPr>
        <w:pStyle w:val="null3"/>
        <w:jc w:val="center"/>
        <w:outlineLvl w:val="5"/>
      </w:pPr>
      <w:r>
        <w:rPr>
          <w:sz w:val="15"/>
          <w:b/>
        </w:rPr>
        <w:t>西安未央工业园管理委员会</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2024年05月27日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西安未央工业园管理委员会</w:t>
      </w:r>
      <w:r>
        <w:rPr/>
        <w:t>委托，拟对</w:t>
      </w:r>
      <w:r>
        <w:rPr/>
        <w:t>绕城高速公路草滩八路跨线桥两侧广告宣传项目</w:t>
      </w:r>
      <w:r>
        <w:rPr/>
        <w:t>采用单一来源方式进行采购，现邀请贵公司参加该项目的协商。</w:t>
      </w:r>
    </w:p>
    <w:p>
      <w:pPr>
        <w:pStyle w:val="null3"/>
        <w:outlineLvl w:val="2"/>
      </w:pPr>
      <w:r>
        <w:rPr>
          <w:sz w:val="28"/>
          <w:b/>
        </w:rPr>
        <w:t xml:space="preserve"> 一、采购项目编号：</w:t>
      </w:r>
      <w:r>
        <w:rPr>
          <w:sz w:val="28"/>
          <w:b/>
        </w:rPr>
        <w:t>SZT2024-SN-QT-FW-0094</w:t>
      </w:r>
    </w:p>
    <w:p>
      <w:pPr>
        <w:pStyle w:val="null3"/>
        <w:outlineLvl w:val="2"/>
      </w:pPr>
      <w:r>
        <w:rPr>
          <w:sz w:val="28"/>
          <w:b/>
        </w:rPr>
        <w:t xml:space="preserve"> 二、采购项目名称：</w:t>
      </w:r>
      <w:r>
        <w:rPr>
          <w:sz w:val="28"/>
          <w:b/>
        </w:rPr>
        <w:t>绕城高速公路草滩八路跨线桥两侧广告宣传项目</w:t>
      </w:r>
    </w:p>
    <w:p>
      <w:pPr>
        <w:pStyle w:val="null3"/>
        <w:outlineLvl w:val="2"/>
      </w:pPr>
      <w:r>
        <w:rPr>
          <w:sz w:val="28"/>
          <w:b/>
        </w:rPr>
        <w:t>三、协商项目简介：</w:t>
      </w:r>
    </w:p>
    <w:p>
      <w:pPr>
        <w:pStyle w:val="null3"/>
        <w:ind w:firstLine="480"/>
      </w:pPr>
      <w:r>
        <w:rPr/>
        <w:t>为强化未央工业园管委会形象，提高未央工业园管委会的公众认知度；需满足的要求:提高未央工业园管委会的公众认知度，拟租用西安绕城高速汉城服务区东侧双面跨线桥广告（K23+580），该广告资源位处于北绕城高速核心位置，汉城服务区旁，车流量大并且服务区旁车速基本较慢，能达到更久的宣传提示效果，其次该广告牌与未央工业园位置最近，东西两面广告牌均可对未央工业园进行全面展示并起到指示作用。</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采购包1（绕城高速公路草滩八路跨线桥两侧广告宣传项目）：属于专门面向中小企业采购。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西安未央工业园管理委员会</w:t>
      </w:r>
    </w:p>
    <w:p>
      <w:pPr>
        <w:pStyle w:val="null3"/>
      </w:pPr>
      <w:r>
        <w:rPr/>
        <w:t xml:space="preserve"> 地址： </w:t>
      </w:r>
      <w:r>
        <w:rPr/>
        <w:t>凤城一路12号1栋</w:t>
      </w:r>
    </w:p>
    <w:p>
      <w:pPr>
        <w:pStyle w:val="null3"/>
      </w:pPr>
      <w:r>
        <w:rPr/>
        <w:t xml:space="preserve"> 邮编： </w:t>
      </w:r>
      <w:r>
        <w:rPr/>
        <w:t>710000</w:t>
      </w:r>
    </w:p>
    <w:p>
      <w:pPr>
        <w:pStyle w:val="null3"/>
      </w:pPr>
      <w:r>
        <w:rPr/>
        <w:t xml:space="preserve"> 联系人： </w:t>
      </w:r>
      <w:r>
        <w:rPr/>
        <w:t>西安未央工业园管理委员会</w:t>
      </w:r>
    </w:p>
    <w:p>
      <w:pPr>
        <w:pStyle w:val="null3"/>
      </w:pPr>
      <w:r>
        <w:rPr/>
        <w:t xml:space="preserve"> 联系电话： </w:t>
      </w:r>
      <w:r>
        <w:rPr/>
        <w:t>029-86529550</w:t>
      </w:r>
    </w:p>
    <w:p>
      <w:pPr>
        <w:pStyle w:val="null3"/>
        <w:outlineLvl w:val="2"/>
      </w:pPr>
      <w:r>
        <w:rPr>
          <w:sz w:val="28"/>
          <w:b/>
        </w:rPr>
        <w:t xml:space="preserve"> 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710000</w:t>
      </w:r>
    </w:p>
    <w:p>
      <w:pPr>
        <w:pStyle w:val="null3"/>
      </w:pPr>
      <w:r>
        <w:rPr/>
        <w:t xml:space="preserve"> 联系人： </w:t>
      </w:r>
      <w:r>
        <w:rPr/>
        <w:t>连杰、马帅</w:t>
      </w:r>
    </w:p>
    <w:p>
      <w:pPr>
        <w:pStyle w:val="null3"/>
      </w:pPr>
      <w:r>
        <w:rPr/>
        <w:t xml:space="preserve"> 联系电话： </w:t>
      </w:r>
      <w:r>
        <w:rPr/>
        <w:t>029-88364979-849</w:t>
      </w:r>
    </w:p>
    <w:p>
      <w:pPr>
        <w:pStyle w:val="null3"/>
        <w:outlineLvl w:val="2"/>
      </w:pPr>
      <w:r>
        <w:rPr>
          <w:sz w:val="28"/>
          <w:b/>
        </w:rPr>
        <w:t xml:space="preserve"> 采购监督机构：</w:t>
      </w:r>
      <w:r>
        <w:rPr>
          <w:sz w:val="28"/>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采购包1：1,600,000.00元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采购包1：1,600,000.00元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乙方支付招标代理服务费。甲方同意乙方的招标代理服务费参见国家计委颁布的《招标代理服务收费管理暂行办法》（计价格[2002]1980号）和（发改办价格[2011]534号）收费标准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西安未央工业园管理委员会</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西安未央工业园管理委员会</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为强化未央工业园管委会形象，提高未央工业园管委会的公众认知度；需满足的要求:提高未央工业园管委会的公众认知度，拟租用西安绕城高速汉城服务区东侧双面跨线桥广告（K23+580），该广告资源位处于北绕城高速核心位置，汉城服务区旁，车流量大并且服务区旁车速基本较慢，能达到更久的宣传提示效果，其次该广告牌与未央工业园位置最近，东西两面广告牌均可对未央工业园进行全面展示并起到指示作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1,600,000.00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绕城高速公路草滩八路跨线桥两侧广告宣传项目</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标的名称：绕城高速公路草滩八路跨线桥两侧广告宣传项目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仿宋" w:hAnsi="仿宋" w:cs="仿宋" w:eastAsia="仿宋"/>
                <w:sz w:val="24"/>
                <w:b/>
              </w:rPr>
              <w:t>服务要求</w:t>
            </w:r>
            <w:r>
              <w:rPr>
                <w:rFonts w:ascii="仿宋" w:hAnsi="仿宋" w:cs="仿宋" w:eastAsia="仿宋"/>
                <w:sz w:val="24"/>
                <w:b/>
              </w:rPr>
              <w:t>:</w:t>
            </w:r>
          </w:p>
          <w:p>
            <w:pPr>
              <w:pStyle w:val="null3"/>
              <w:ind w:firstLine="480"/>
              <w:jc w:val="both"/>
            </w:pPr>
            <w:r>
              <w:rPr>
                <w:rFonts w:ascii="仿宋" w:hAnsi="仿宋" w:cs="仿宋" w:eastAsia="仿宋"/>
                <w:sz w:val="24"/>
              </w:rPr>
              <w:t>（</w:t>
            </w:r>
            <w:r>
              <w:rPr>
                <w:rFonts w:ascii="仿宋" w:hAnsi="仿宋" w:cs="仿宋" w:eastAsia="仿宋"/>
                <w:sz w:val="24"/>
              </w:rPr>
              <w:t>1）广告牌画面制作(含设计)及安装和更换画面服务以采购人向供应商通知为依据（包括但不限于微信、邮箱、QQ、通知函等），5个工作日内供应商根据采购人通知开展具体制作安装，10个工作日内将上刊完成情况反馈采购人进行验收确认。</w:t>
            </w:r>
          </w:p>
          <w:p>
            <w:pPr>
              <w:pStyle w:val="null3"/>
              <w:jc w:val="both"/>
            </w:pPr>
            <w:r>
              <w:rPr>
                <w:rFonts w:ascii="仿宋" w:hAnsi="仿宋" w:cs="仿宋" w:eastAsia="仿宋"/>
                <w:sz w:val="24"/>
              </w:rPr>
              <w:t>（</w:t>
            </w:r>
            <w:r>
              <w:rPr>
                <w:rFonts w:ascii="仿宋" w:hAnsi="仿宋" w:cs="仿宋" w:eastAsia="仿宋"/>
                <w:sz w:val="24"/>
              </w:rPr>
              <w:t>2）巡查服务:服务期内每月不少于一次巡查服务，保证广告牌安全、稳固、设施完好，画面无污染、无色块。</w:t>
            </w:r>
          </w:p>
        </w:tc>
      </w:tr>
      <w:tr>
        <w:tc>
          <w:tcPr>
            <w:tcW w:type="dxa" w:w="2769"/>
          </w:tcPr>
          <w:p/>
        </w:tc>
        <w:tc>
          <w:tcPr>
            <w:tcW w:type="dxa" w:w="2769"/>
          </w:tcPr>
          <w:p>
            <w:pPr>
              <w:pStyle w:val="null3"/>
            </w:pPr>
            <w:r>
              <w:rPr/>
              <w:t>2</w:t>
            </w:r>
          </w:p>
        </w:tc>
        <w:tc>
          <w:tcPr>
            <w:tcW w:type="dxa" w:w="2769"/>
          </w:tcPr>
          <w:p>
            <w:pPr>
              <w:pStyle w:val="null3"/>
              <w:ind w:firstLine="482"/>
              <w:jc w:val="both"/>
            </w:pPr>
            <w:r>
              <w:rPr>
                <w:rFonts w:ascii="仿宋" w:hAnsi="仿宋" w:cs="仿宋" w:eastAsia="仿宋"/>
                <w:sz w:val="24"/>
                <w:b/>
              </w:rPr>
              <w:t>户外广告画面制作要求：</w:t>
            </w:r>
          </w:p>
          <w:p>
            <w:pPr>
              <w:pStyle w:val="null3"/>
              <w:ind w:firstLine="480"/>
              <w:jc w:val="both"/>
            </w:pPr>
            <w:r>
              <w:rPr>
                <w:rFonts w:ascii="仿宋" w:hAnsi="仿宋" w:cs="仿宋" w:eastAsia="仿宋"/>
                <w:sz w:val="24"/>
              </w:rPr>
              <w:t>（</w:t>
            </w:r>
            <w:r>
              <w:rPr>
                <w:rFonts w:ascii="仿宋" w:hAnsi="仿宋" w:cs="仿宋" w:eastAsia="仿宋"/>
                <w:sz w:val="24"/>
              </w:rPr>
              <w:t>1）广告画面材质：喷绘布</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2）规格尺寸：42.3M×4M×2</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）广告画面制作工艺：</w:t>
            </w:r>
            <w:r>
              <w:rPr>
                <w:rFonts w:ascii="仿宋" w:hAnsi="仿宋" w:cs="仿宋" w:eastAsia="仿宋"/>
                <w:sz w:val="24"/>
              </w:rPr>
              <w:t>550高精度喷绘</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）色彩要求：广告画面须色彩鲜艳明亮，画面无污染、无色块</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）广告画面制作要求：大图制作之前，须先制作三色小样，根据采购人确认的小样制作大图发布上刊。</w:t>
            </w:r>
          </w:p>
        </w:tc>
      </w:tr>
    </w:tbl>
    <w:p>
      <w:pPr>
        <w:pStyle w:val="null3"/>
        <w:outlineLvl w:val="3"/>
      </w:pPr>
      <w:r>
        <w:rPr>
          <w:sz w:val="24"/>
          <w:b/>
        </w:rPr>
        <w:t>3.2.3人员配置要求</w:t>
      </w:r>
    </w:p>
    <w:p>
      <w:pPr>
        <w:pStyle w:val="null3"/>
      </w:pPr>
      <w:r>
        <w:rPr/>
        <w:t>采购包1：</w:t>
      </w:r>
    </w:p>
    <w:p>
      <w:pPr>
        <w:pStyle w:val="null3"/>
      </w:pPr>
      <w:r>
        <w:rPr/>
        <w:t>详见采购内容及需求。</w:t>
      </w:r>
    </w:p>
    <w:p>
      <w:pPr>
        <w:pStyle w:val="null3"/>
        <w:outlineLvl w:val="3"/>
      </w:pPr>
      <w:r>
        <w:rPr>
          <w:sz w:val="24"/>
          <w:b/>
        </w:rPr>
        <w:t>3.2.4设施设备要求</w:t>
      </w:r>
    </w:p>
    <w:p>
      <w:pPr>
        <w:pStyle w:val="null3"/>
      </w:pPr>
      <w:r>
        <w:rPr/>
        <w:t>采购包1：</w:t>
      </w:r>
    </w:p>
    <w:p>
      <w:pPr>
        <w:pStyle w:val="null3"/>
      </w:pPr>
      <w:r>
        <w:rPr/>
        <w:t>详见采购内容及需求。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12个月</w:t>
      </w:r>
    </w:p>
    <w:p>
      <w:pPr>
        <w:pStyle w:val="null3"/>
        <w:outlineLvl w:val="3"/>
      </w:pPr>
      <w:r>
        <w:rPr>
          <w:sz w:val="24"/>
          <w:b/>
        </w:rPr>
        <w:t>3.3.2服务地点</w:t>
      </w:r>
    </w:p>
    <w:p>
      <w:pPr>
        <w:pStyle w:val="null3"/>
      </w:pPr>
      <w:r>
        <w:rPr/>
        <w:t>采购包1：</w:t>
      </w:r>
    </w:p>
    <w:p>
      <w:pPr>
        <w:pStyle w:val="null3"/>
      </w:pPr>
      <w:r>
        <w:rPr/>
        <w:t>西安绕城高速汉城服务区东侧双面跨线桥广告（K23+580）</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画面上刊后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上刊后六个月内</w:t>
      </w:r>
      <w:r>
        <w:rPr/>
        <w:t xml:space="preserve"> ，达到付款条件起 </w:t>
      </w:r>
      <w:r>
        <w:rPr/>
        <w:t>30</w:t>
      </w:r>
      <w:r>
        <w:rPr/>
        <w:t xml:space="preserve"> 日内，支付合同总金额的 </w:t>
      </w:r>
      <w:r>
        <w:rPr/>
        <w:t>40.00</w:t>
      </w:r>
      <w:r>
        <w:rPr/>
        <w:t>%。</w:t>
      </w:r>
    </w:p>
    <w:p>
      <w:pPr>
        <w:pStyle w:val="null3"/>
        <w:outlineLvl w:val="3"/>
      </w:pPr>
      <w:r>
        <w:rPr>
          <w:sz w:val="24"/>
          <w:b/>
        </w:rPr>
        <w:t>3.3.5.验收标准和方法</w:t>
      </w:r>
    </w:p>
    <w:p>
      <w:pPr>
        <w:pStyle w:val="null3"/>
      </w:pPr>
      <w:r>
        <w:rPr/>
        <w:t>采购包1：</w:t>
      </w:r>
    </w:p>
    <w:p>
      <w:pPr>
        <w:pStyle w:val="null3"/>
      </w:pPr>
      <w:r>
        <w:rPr/>
        <w:t>广告牌画面制作(含设计)及安装和更换画面服务以采购人向供应商通知为依据（包括但不限于微信、邮箱、QQ、通知函等），5个工作日内供应商根据采购人通知开展具体制作安装，10个工作日内将上刊完成情况反馈采购人进行验收确认。</w:t>
      </w:r>
    </w:p>
    <w:p>
      <w:pPr>
        <w:pStyle w:val="null3"/>
        <w:outlineLvl w:val="3"/>
      </w:pPr>
      <w:r>
        <w:rPr>
          <w:sz w:val="24"/>
          <w:b/>
        </w:rPr>
        <w:t>3.3.6违约责任及解决争议的方法</w:t>
      </w:r>
    </w:p>
    <w:p>
      <w:pPr>
        <w:pStyle w:val="null3"/>
      </w:pPr>
      <w:r>
        <w:rPr/>
        <w:t>采购包1：</w:t>
      </w:r>
    </w:p>
    <w:p>
      <w:pPr>
        <w:pStyle w:val="null3"/>
      </w:pPr>
      <w:r>
        <w:rPr/>
        <w:t>按合同约定处理。</w:t>
      </w:r>
    </w:p>
    <w:p>
      <w:pPr>
        <w:pStyle w:val="null3"/>
        <w:outlineLvl w:val="2"/>
      </w:pPr>
      <w:r>
        <w:rPr>
          <w:sz w:val="28"/>
          <w:b/>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参与的供应商（联合体）提供的服务全部由符 合政策要求的中小企业提供。</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谈判报价表和分项报价表 标的清单 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是否符合谈判文件要求。</w:t>
            </w:r>
          </w:p>
        </w:tc>
        <w:tc>
          <w:tcPr>
            <w:tcW w:type="dxa" w:w="1661"/>
          </w:tcPr>
          <w:p>
            <w:pPr>
              <w:pStyle w:val="null3"/>
            </w:pPr>
            <w:r>
              <w:rPr/>
              <w:t>谈判报价表和分项报价表 商务偏离表和技术偏离表</w:t>
            </w:r>
          </w:p>
        </w:tc>
      </w:tr>
      <w:tr>
        <w:tc>
          <w:tcPr>
            <w:tcW w:type="dxa" w:w="831"/>
          </w:tcPr>
          <w:p>
            <w:pPr>
              <w:pStyle w:val="null3"/>
            </w:pPr>
            <w:r>
              <w:rPr/>
              <w:t>4</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是否符合谈判文件要求。</w:t>
            </w:r>
          </w:p>
        </w:tc>
        <w:tc>
          <w:tcPr>
            <w:tcW w:type="dxa" w:w="1661"/>
          </w:tcPr>
          <w:p>
            <w:pPr>
              <w:pStyle w:val="null3"/>
            </w:pPr>
            <w:r>
              <w:rPr/>
              <w:t>谈判报价表和分项报价表 商务偏离表和技术偏离表</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是否符合谈判文件要求。</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技术响应性审查</w:t>
            </w:r>
          </w:p>
        </w:tc>
        <w:tc>
          <w:tcPr>
            <w:tcW w:type="dxa" w:w="3322"/>
          </w:tcPr>
          <w:p>
            <w:pPr>
              <w:pStyle w:val="null3"/>
            </w:pPr>
            <w:r>
              <w:rPr/>
              <w:t>响应内容满足谈判文件要求，无重大偏离:服务 内容明确，满足采购人使用需求</w:t>
            </w:r>
          </w:p>
        </w:tc>
        <w:tc>
          <w:tcPr>
            <w:tcW w:type="dxa" w:w="1661"/>
          </w:tcPr>
          <w:p>
            <w:pPr>
              <w:pStyle w:val="null3"/>
            </w:pPr>
            <w:r>
              <w:rPr/>
              <w:t>服务方案 商务偏离表和技术偏离表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详见附件：资格响应表</w:t>
      </w:r>
    </w:p>
    <w:p>
      <w:pPr>
        <w:pStyle w:val="null3"/>
        <w:ind w:firstLine="960"/>
      </w:pPr>
      <w:r>
        <w:rPr/>
        <w:t>详见附件：谈判报价表和分项报价表</w:t>
      </w:r>
    </w:p>
    <w:p>
      <w:pPr>
        <w:pStyle w:val="null3"/>
        <w:ind w:firstLine="960"/>
      </w:pPr>
      <w:r>
        <w:rPr/>
        <w:t>详见附件：商务偏离表和技术偏离表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