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长安区杨庄街道凤翔沟滑坡治理工程</w:t>
      </w:r>
    </w:p>
    <w:p>
      <w:pPr>
        <w:pStyle w:val="null3"/>
        <w:jc w:val="center"/>
        <w:outlineLvl w:val="2"/>
      </w:pPr>
      <w:r>
        <w:rPr>
          <w:sz w:val="28"/>
          <w:b/>
        </w:rPr>
        <w:t>采购项目编号：</w:t>
      </w:r>
      <w:r>
        <w:rPr>
          <w:sz w:val="28"/>
          <w:b/>
        </w:rPr>
        <w:t>SZT2024-SN-QC-ZC-GC-0390</w:t>
      </w:r>
      <w:r>
        <w:br/>
      </w:r>
      <w:r>
        <w:br/>
      </w:r>
      <w:r>
        <w:br/>
      </w:r>
    </w:p>
    <w:p>
      <w:pPr>
        <w:pStyle w:val="null3"/>
        <w:jc w:val="center"/>
        <w:outlineLvl w:val="2"/>
      </w:pPr>
      <w:r>
        <w:rPr>
          <w:sz w:val="28"/>
          <w:b/>
        </w:rPr>
        <w:t>西安市自然资源和规划局长安分局矿产资源管理站</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长安区杨庄街道凤翔沟滑坡治理工程</w:t>
      </w:r>
      <w:r>
        <w:rPr/>
        <w:t>采用竞争性磋商采购方式进行采购，兹邀请供应商参加本项目的竞争性磋商。</w:t>
      </w:r>
    </w:p>
    <w:p>
      <w:pPr>
        <w:pStyle w:val="null3"/>
        <w:outlineLvl w:val="2"/>
      </w:pPr>
      <w:r>
        <w:rPr>
          <w:sz w:val="28"/>
          <w:b/>
        </w:rPr>
        <w:t>一、采购项目编号：</w:t>
      </w:r>
      <w:r>
        <w:rPr>
          <w:sz w:val="28"/>
          <w:b/>
        </w:rPr>
        <w:t>SZT2024-SN-QC-ZC-GC-0390</w:t>
      </w:r>
    </w:p>
    <w:p>
      <w:pPr>
        <w:pStyle w:val="null3"/>
        <w:outlineLvl w:val="2"/>
      </w:pPr>
      <w:r>
        <w:rPr>
          <w:sz w:val="28"/>
          <w:b/>
        </w:rPr>
        <w:t>二、采购项目名称：</w:t>
      </w:r>
      <w:r>
        <w:rPr>
          <w:sz w:val="28"/>
          <w:b/>
        </w:rPr>
        <w:t>长安区杨庄街道凤翔沟滑坡治理工程</w:t>
      </w:r>
    </w:p>
    <w:p>
      <w:pPr>
        <w:pStyle w:val="null3"/>
        <w:outlineLvl w:val="2"/>
      </w:pPr>
      <w:r>
        <w:rPr>
          <w:sz w:val="28"/>
          <w:b/>
        </w:rPr>
        <w:t>三、磋商项目简介</w:t>
      </w:r>
    </w:p>
    <w:p>
      <w:pPr>
        <w:pStyle w:val="null3"/>
        <w:ind w:firstLine="480"/>
      </w:pPr>
      <w:r>
        <w:rPr/>
        <w:t>长安区杨庄街道凤翔沟滑坡治理工程位于长安区杨庄街道办石翔村十组旧村委会北侧斜坡中下部，滑坡长110m，宽50m，为小型浅层黄土滑坡。本项目建设内容主要包括:挡土墙工程、坡面整形、截排水及地表变形修复等工程项目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2、地质灾害防治单位资质施工资质要求：供应商须具备地质灾害防治单位资质施工甲级资质，并具备安全生产许可证。供应商需在项目电子化交易系统中按要求上传相应证明文件并进行电子签章。</w:t>
      </w:r>
    </w:p>
    <w:p>
      <w:pPr>
        <w:pStyle w:val="null3"/>
      </w:pPr>
      <w:r>
        <w:rPr/>
        <w:t>3、项目负责人要求：项目负责人须具备一级水利水电工程专业或建筑工程专业注册建造师证书和项目经理安全生产考核合格证，且无在建工程（承诺书）。供应商需在项目电子化交易系统中按要求上传相应证明文件并进行电子签章。</w:t>
      </w:r>
    </w:p>
    <w:p>
      <w:pPr>
        <w:pStyle w:val="null3"/>
      </w:pPr>
      <w:r>
        <w:rPr/>
        <w:t>4、联合体相关要求：本项目不接受联合体磋商。供应商需在项目电子化交易系统中按要求上传相应证明文件并进行电子签章。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张辉</w:t>
      </w:r>
    </w:p>
    <w:p>
      <w:pPr>
        <w:pStyle w:val="null3"/>
      </w:pPr>
      <w:r>
        <w:rPr/>
        <w:t xml:space="preserve"> 联系电话： </w:t>
      </w:r>
      <w:r>
        <w:rPr/>
        <w:t>029-85295468</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西安市高新区高新四路1号高科广场A1001室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[2011]534号）中收费标准，按照中标金额差额定率累进法计算。此招标代理服务费应计入投标中，但不单列项。 开户名称：陕西中技招标有限公司 开户行名称：招商银行西安分行营业部 账 号：129916812810001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3,760,000.00</w:t>
      </w:r>
    </w:p>
    <w:p>
      <w:pPr>
        <w:pStyle w:val="null3"/>
      </w:pPr>
      <w:r>
        <w:rPr/>
        <w:t>采购包最高限价（元）: 2,989,926.92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凤翔沟滑坡治理工程</w:t>
            </w:r>
          </w:p>
        </w:tc>
        <w:tc>
          <w:tcPr>
            <w:tcW w:type="dxa" w:w="1384"/>
          </w:tcPr>
          <w:p>
            <w:pPr>
              <w:pStyle w:val="null3"/>
              <w:jc w:val="right"/>
            </w:pPr>
            <w:r>
              <w:rPr/>
              <w:t>1.00</w:t>
            </w:r>
          </w:p>
        </w:tc>
        <w:tc>
          <w:tcPr>
            <w:tcW w:type="dxa" w:w="1384"/>
          </w:tcPr>
          <w:p>
            <w:pPr>
              <w:pStyle w:val="null3"/>
              <w:jc w:val="right"/>
            </w:pPr>
            <w:r>
              <w:rPr/>
              <w:t>3,760,000.00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标的名称：凤翔沟滑坡治理工程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仿宋" w:hAnsi="仿宋" w:cs="仿宋" w:eastAsia="仿宋"/>
                <w:sz w:val="32"/>
                <w:b/>
              </w:rPr>
              <w:t>工程量清单</w:t>
            </w:r>
            <w:r>
              <w:rPr>
                <w:rFonts w:ascii="仿宋" w:hAnsi="仿宋" w:cs="仿宋" w:eastAsia="仿宋"/>
                <w:sz w:val="32"/>
                <w:b/>
              </w:rPr>
              <w:t>编制说明</w:t>
            </w:r>
          </w:p>
          <w:p>
            <w:pPr>
              <w:pStyle w:val="null3"/>
              <w:jc w:val="both"/>
            </w:pPr>
            <w:r>
              <w:rPr>
                <w:rFonts w:ascii="仿宋" w:hAnsi="仿宋" w:cs="仿宋" w:eastAsia="仿宋"/>
                <w:sz w:val="24"/>
                <w:b/>
              </w:rPr>
              <w:t>1、</w:t>
            </w:r>
            <w:r>
              <w:rPr>
                <w:rFonts w:ascii="仿宋" w:hAnsi="仿宋" w:cs="仿宋" w:eastAsia="仿宋"/>
                <w:sz w:val="24"/>
                <w:b/>
              </w:rPr>
              <w:t>工程概况</w:t>
            </w:r>
          </w:p>
          <w:p>
            <w:pPr>
              <w:pStyle w:val="null3"/>
              <w:ind w:firstLine="480"/>
              <w:jc w:val="both"/>
            </w:pPr>
            <w:r>
              <w:rPr>
                <w:rFonts w:ascii="仿宋" w:hAnsi="仿宋" w:cs="仿宋" w:eastAsia="仿宋"/>
                <w:sz w:val="24"/>
                <w:color w:val="000000"/>
              </w:rPr>
              <w:t>长安区杨庄街道凤翔沟滑坡治理工程位于长安区杨庄街道办石翔村十组旧村委会北侧斜坡中下部，滑坡长</w:t>
            </w:r>
            <w:r>
              <w:rPr>
                <w:rFonts w:ascii="仿宋" w:hAnsi="仿宋" w:cs="仿宋" w:eastAsia="仿宋"/>
                <w:sz w:val="24"/>
                <w:color w:val="000000"/>
              </w:rPr>
              <w:t>110m，宽50m，为小型浅层黄土滑坡。本</w:t>
            </w:r>
            <w:r>
              <w:rPr>
                <w:rFonts w:ascii="仿宋" w:hAnsi="仿宋" w:cs="仿宋" w:eastAsia="仿宋"/>
                <w:sz w:val="24"/>
              </w:rPr>
              <w:t>项目建设内容主要包括</w:t>
            </w:r>
            <w:r>
              <w:rPr>
                <w:rFonts w:ascii="仿宋" w:hAnsi="仿宋" w:cs="仿宋" w:eastAsia="仿宋"/>
                <w:sz w:val="24"/>
              </w:rPr>
              <w:t>:挡土墙工程、坡面整形、截排水及地表变形修复等工程项目内容。</w:t>
            </w:r>
          </w:p>
          <w:p>
            <w:pPr>
              <w:pStyle w:val="null3"/>
              <w:jc w:val="both"/>
            </w:pPr>
            <w:r>
              <w:rPr>
                <w:rFonts w:ascii="仿宋" w:hAnsi="仿宋" w:cs="仿宋" w:eastAsia="仿宋"/>
                <w:sz w:val="24"/>
                <w:b/>
              </w:rPr>
              <w:t>2、</w:t>
            </w:r>
            <w:r>
              <w:rPr>
                <w:rFonts w:ascii="仿宋" w:hAnsi="仿宋" w:cs="仿宋" w:eastAsia="仿宋"/>
                <w:sz w:val="24"/>
                <w:b/>
              </w:rPr>
              <w:t>编制依据</w:t>
            </w:r>
          </w:p>
          <w:p>
            <w:pPr>
              <w:pStyle w:val="null3"/>
              <w:ind w:firstLine="24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color w:val="000000"/>
              </w:rPr>
              <w:t>执行陕发改项目</w:t>
            </w:r>
            <w:r>
              <w:rPr>
                <w:rFonts w:ascii="仿宋" w:hAnsi="仿宋" w:cs="仿宋" w:eastAsia="仿宋"/>
                <w:sz w:val="24"/>
                <w:color w:val="000000"/>
              </w:rPr>
              <w:t>[2017]1606 号关于《陕西省水利工程设计预算编制规定》、《陕西省水利建筑工程预算定额》及《水利部办公厅关于调整水利工程计价依据增值税计算标准的通知》（办财务函[2019]448 号）编制；</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color w:val="000000"/>
              </w:rPr>
              <w:t>长安区杨庄街道凤翔沟滑坡治理工程相关图纸及图纸答疑；</w:t>
            </w:r>
          </w:p>
          <w:p>
            <w:pPr>
              <w:pStyle w:val="null3"/>
              <w:jc w:val="left"/>
            </w:pPr>
            <w:r>
              <w:rPr>
                <w:rFonts w:ascii="仿宋" w:hAnsi="仿宋" w:cs="仿宋" w:eastAsia="仿宋"/>
                <w:sz w:val="24"/>
                <w:b/>
              </w:rPr>
              <w:t>3、</w:t>
            </w:r>
            <w:r>
              <w:rPr>
                <w:rFonts w:ascii="仿宋" w:hAnsi="仿宋" w:cs="仿宋" w:eastAsia="仿宋"/>
                <w:sz w:val="24"/>
                <w:b/>
              </w:rPr>
              <w:t>取费标准及计算方法</w:t>
            </w:r>
          </w:p>
          <w:p>
            <w:pPr>
              <w:pStyle w:val="null3"/>
              <w:ind w:firstLine="240"/>
              <w:jc w:val="both"/>
            </w:pPr>
            <w:r>
              <w:rPr>
                <w:rFonts w:ascii="仿宋" w:hAnsi="仿宋" w:cs="仿宋" w:eastAsia="仿宋"/>
                <w:sz w:val="24"/>
              </w:rPr>
              <w:t>（</w:t>
            </w:r>
            <w:r>
              <w:rPr>
                <w:rFonts w:ascii="仿宋" w:hAnsi="仿宋" w:cs="仿宋" w:eastAsia="仿宋"/>
                <w:sz w:val="24"/>
              </w:rPr>
              <w:t xml:space="preserve">1）其他直接费均以基本直接费为取费基础，取 </w:t>
            </w:r>
            <w:r>
              <w:rPr>
                <w:rFonts w:ascii="仿宋" w:hAnsi="仿宋" w:cs="仿宋" w:eastAsia="仿宋"/>
                <w:sz w:val="24"/>
              </w:rPr>
              <w:t>4.5</w:t>
            </w:r>
            <w:r>
              <w:rPr>
                <w:rFonts w:ascii="仿宋" w:hAnsi="仿宋" w:cs="仿宋" w:eastAsia="仿宋"/>
                <w:sz w:val="24"/>
              </w:rPr>
              <w:t>％；</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）间接费：均以直接费为取费基础，土方工程取</w:t>
            </w:r>
            <w:r>
              <w:rPr>
                <w:rFonts w:ascii="仿宋" w:hAnsi="仿宋" w:cs="仿宋" w:eastAsia="仿宋"/>
                <w:sz w:val="24"/>
              </w:rPr>
              <w:t>4</w:t>
            </w:r>
            <w:r>
              <w:rPr>
                <w:rFonts w:ascii="仿宋" w:hAnsi="仿宋" w:cs="仿宋" w:eastAsia="仿宋"/>
                <w:sz w:val="24"/>
              </w:rPr>
              <w:t>％，石方工程、</w:t>
            </w:r>
            <w:r>
              <w:rPr>
                <w:rFonts w:ascii="仿宋" w:hAnsi="仿宋" w:cs="仿宋" w:eastAsia="仿宋"/>
                <w:sz w:val="24"/>
              </w:rPr>
              <w:t>混凝土制作、疏浚工程、其他</w:t>
            </w:r>
            <w:r>
              <w:rPr>
                <w:rFonts w:ascii="仿宋" w:hAnsi="仿宋" w:cs="仿宋" w:eastAsia="仿宋"/>
                <w:sz w:val="24"/>
              </w:rPr>
              <w:t>取</w:t>
            </w:r>
            <w:r>
              <w:rPr>
                <w:rFonts w:ascii="仿宋" w:hAnsi="仿宋" w:cs="仿宋" w:eastAsia="仿宋"/>
                <w:sz w:val="24"/>
              </w:rPr>
              <w:t>6%，</w:t>
            </w:r>
            <w:r>
              <w:rPr>
                <w:rFonts w:ascii="仿宋" w:hAnsi="仿宋" w:cs="仿宋" w:eastAsia="仿宋"/>
                <w:sz w:val="24"/>
              </w:rPr>
              <w:t>模板工程、钢筋制作安装工程取</w:t>
            </w:r>
            <w:r>
              <w:rPr>
                <w:rFonts w:ascii="仿宋" w:hAnsi="仿宋" w:cs="仿宋" w:eastAsia="仿宋"/>
                <w:sz w:val="24"/>
              </w:rPr>
              <w:t>5</w:t>
            </w:r>
            <w:r>
              <w:rPr>
                <w:rFonts w:ascii="仿宋" w:hAnsi="仿宋" w:cs="仿宋" w:eastAsia="仿宋"/>
                <w:sz w:val="24"/>
              </w:rPr>
              <w:t>%，钻孔灌浆及锚固工程</w:t>
            </w:r>
            <w:r>
              <w:rPr>
                <w:rFonts w:ascii="仿宋" w:hAnsi="仿宋" w:cs="仿宋" w:eastAsia="仿宋"/>
                <w:sz w:val="24"/>
              </w:rPr>
              <w:t>取</w:t>
            </w:r>
            <w:r>
              <w:rPr>
                <w:rFonts w:ascii="仿宋" w:hAnsi="仿宋" w:cs="仿宋" w:eastAsia="仿宋"/>
                <w:sz w:val="24"/>
              </w:rPr>
              <w:t>9%，</w:t>
            </w:r>
            <w:r>
              <w:rPr>
                <w:rFonts w:ascii="仿宋" w:hAnsi="仿宋" w:cs="仿宋" w:eastAsia="仿宋"/>
                <w:sz w:val="24"/>
              </w:rPr>
              <w:t>设备安装工程取</w:t>
            </w:r>
            <w:r>
              <w:rPr>
                <w:rFonts w:ascii="仿宋" w:hAnsi="仿宋" w:cs="仿宋" w:eastAsia="仿宋"/>
                <w:sz w:val="24"/>
              </w:rPr>
              <w:t>60</w:t>
            </w:r>
            <w:r>
              <w:rPr>
                <w:rFonts w:ascii="仿宋" w:hAnsi="仿宋" w:cs="仿宋" w:eastAsia="仿宋"/>
                <w:sz w:val="24"/>
              </w:rPr>
              <w:t>％；</w:t>
            </w:r>
          </w:p>
          <w:p>
            <w:pPr>
              <w:pStyle w:val="null3"/>
              <w:ind w:firstLine="240"/>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）利润取直接费与间接费之和的</w:t>
            </w:r>
            <w:r>
              <w:rPr>
                <w:rFonts w:ascii="仿宋" w:hAnsi="仿宋" w:cs="仿宋" w:eastAsia="仿宋"/>
                <w:sz w:val="24"/>
              </w:rPr>
              <w:t>5</w:t>
            </w:r>
            <w:r>
              <w:rPr>
                <w:rFonts w:ascii="仿宋" w:hAnsi="仿宋" w:cs="仿宋" w:eastAsia="仿宋"/>
                <w:sz w:val="24"/>
              </w:rPr>
              <w:t>％；</w:t>
            </w:r>
          </w:p>
          <w:p>
            <w:pPr>
              <w:pStyle w:val="null3"/>
              <w:ind w:firstLine="240"/>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）税金取增值税销项税率</w:t>
            </w:r>
            <w:r>
              <w:rPr>
                <w:rFonts w:ascii="仿宋" w:hAnsi="仿宋" w:cs="仿宋" w:eastAsia="仿宋"/>
                <w:sz w:val="24"/>
              </w:rPr>
              <w:t>9％。</w:t>
            </w:r>
          </w:p>
          <w:p>
            <w:pPr>
              <w:pStyle w:val="null3"/>
              <w:jc w:val="left"/>
            </w:pPr>
            <w:r>
              <w:rPr>
                <w:rFonts w:ascii="仿宋" w:hAnsi="仿宋" w:cs="仿宋" w:eastAsia="仿宋"/>
                <w:sz w:val="24"/>
                <w:b/>
              </w:rPr>
              <w:t>4、特殊说明</w:t>
            </w:r>
          </w:p>
          <w:p>
            <w:pPr>
              <w:pStyle w:val="null3"/>
              <w:ind w:firstLine="24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临时工程费取建筑工程费的</w:t>
            </w:r>
            <w:r>
              <w:rPr>
                <w:rFonts w:ascii="仿宋" w:hAnsi="仿宋" w:cs="仿宋" w:eastAsia="仿宋"/>
                <w:sz w:val="24"/>
              </w:rPr>
              <w:t>3%；</w:t>
            </w:r>
          </w:p>
          <w:p>
            <w:pPr>
              <w:pStyle w:val="null3"/>
              <w:ind w:firstLine="24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工程量清单编制采用陕西省易投造价软件。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按照国家及行业相关标准执行。</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2、具有良好的商业信誉和健全的财务会计制度（提供2022年度或2023年度财务审计报告或银行资信证明或财政部门认可的政府采购专业担保机构出具的投标担保函）；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 供应商需在项目电子化交易系统中按要求上传相应证明文件并进行电子签章。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或2023年度财务审计报告或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地质灾害防治单位资质施工资质要求</w:t>
            </w:r>
          </w:p>
        </w:tc>
        <w:tc>
          <w:tcPr>
            <w:tcW w:type="dxa" w:w="3322"/>
          </w:tcPr>
          <w:p>
            <w:pPr>
              <w:pStyle w:val="null3"/>
            </w:pPr>
            <w:r>
              <w:rPr/>
              <w:t>供应商须具备地质灾害防治单位资质施工甲级资质，并具备安全生产许可证。供应商需在项目电子化交易系统中按要求上传相应证明文件并进行电子签章。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项目负责人须具备一级水利水电工程专业或建筑工程专业注册建造师证书和项目经理安全生产考核合格证，且无在建工程（承诺书）。供应商需在项目电子化交易系统中按要求上传相应证明文件并进行电子签章。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供应商为本项目提供的资格证明文件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计划工期是否响应</w:t>
            </w:r>
          </w:p>
        </w:tc>
        <w:tc>
          <w:tcPr>
            <w:tcW w:type="dxa" w:w="3322"/>
          </w:tcPr>
          <w:p>
            <w:pPr>
              <w:pStyle w:val="null3"/>
            </w:pPr>
            <w:r>
              <w:rPr/>
              <w:t>计划工期是否按磋商文件要求响应</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工程质量是否合格</w:t>
            </w:r>
          </w:p>
        </w:tc>
        <w:tc>
          <w:tcPr>
            <w:tcW w:type="dxa" w:w="3322"/>
          </w:tcPr>
          <w:p>
            <w:pPr>
              <w:pStyle w:val="null3"/>
            </w:pPr>
            <w:r>
              <w:rPr/>
              <w:t>工程质量是否承诺合格</w:t>
            </w:r>
          </w:p>
        </w:tc>
        <w:tc>
          <w:tcPr>
            <w:tcW w:type="dxa" w:w="1661"/>
          </w:tcPr>
          <w:p>
            <w:pPr>
              <w:pStyle w:val="null3"/>
            </w:pPr>
            <w:r>
              <w:rPr/>
              <w:t>商务偏离表 磋商报价表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商务偏离表 磋商报价表</w:t>
            </w:r>
          </w:p>
        </w:tc>
      </w:tr>
      <w:tr>
        <w:tc>
          <w:tcPr>
            <w:tcW w:type="dxa" w:w="831"/>
          </w:tcPr>
          <w:p>
            <w:pPr>
              <w:pStyle w:val="null3"/>
            </w:pPr>
            <w:r>
              <w:rPr/>
              <w:t>6</w:t>
            </w:r>
          </w:p>
        </w:tc>
        <w:tc>
          <w:tcPr>
            <w:tcW w:type="dxa" w:w="2492"/>
          </w:tcPr>
          <w:p>
            <w:pPr>
              <w:pStyle w:val="null3"/>
            </w:pPr>
            <w:r>
              <w:rPr/>
              <w:t>质保期是否响应</w:t>
            </w:r>
          </w:p>
        </w:tc>
        <w:tc>
          <w:tcPr>
            <w:tcW w:type="dxa" w:w="3322"/>
          </w:tcPr>
          <w:p>
            <w:pPr>
              <w:pStyle w:val="null3"/>
            </w:pPr>
            <w:r>
              <w:rPr/>
              <w:t>质保期是否响应磋商文件要求</w:t>
            </w:r>
          </w:p>
        </w:tc>
        <w:tc>
          <w:tcPr>
            <w:tcW w:type="dxa" w:w="1661"/>
          </w:tcPr>
          <w:p>
            <w:pPr>
              <w:pStyle w:val="null3"/>
            </w:pPr>
            <w:r>
              <w:rPr/>
              <w:t>商务偏离表 磋商报价表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详细评审 确保工程质量的技术组织措施</w:t>
            </w:r>
          </w:p>
        </w:tc>
        <w:tc>
          <w:tcPr>
            <w:tcW w:type="dxa" w:w="2492"/>
          </w:tcPr>
          <w:p>
            <w:pPr>
              <w:pStyle w:val="null3"/>
            </w:pPr>
            <w:r>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有现场文明施工计划和环境保护措施，且各项措施周全、具体、有效。在1.0～6.0分之间赋分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确保工期的技术组织措施</w:t>
            </w:r>
          </w:p>
        </w:tc>
        <w:tc>
          <w:tcPr>
            <w:tcW w:type="dxa" w:w="2492"/>
          </w:tcPr>
          <w:p>
            <w:pPr>
              <w:pStyle w:val="null3"/>
            </w:pPr>
            <w:r>
              <w:rPr/>
              <w:t>有保证工期的技术措施、组织措施及施工进度安排。措施是否完备齐全、先进、合理、切实可行。在1.0～6.0分之间赋分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施工方案</w:t>
            </w:r>
          </w:p>
        </w:tc>
        <w:tc>
          <w:tcPr>
            <w:tcW w:type="dxa" w:w="2492"/>
          </w:tcPr>
          <w:p>
            <w:pPr>
              <w:pStyle w:val="null3"/>
            </w:pPr>
            <w:r>
              <w:rPr/>
              <w:t>有完善、针对性强、切实可行的实施方案。在1.0～6.0分之间赋分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项目组织机构及项目经理部组成人员</w:t>
            </w:r>
          </w:p>
        </w:tc>
        <w:tc>
          <w:tcPr>
            <w:tcW w:type="dxa" w:w="2492"/>
          </w:tcPr>
          <w:p>
            <w:pPr>
              <w:pStyle w:val="null3"/>
            </w:pPr>
            <w:r>
              <w:rPr/>
              <w:t>人员齐备、专业配套、相关岗位证书齐全。在1.0～6.0分之间赋分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拟投入项目负责人及主要人员简历表</w:t>
            </w:r>
          </w:p>
          <w:p>
            <w:pPr>
              <w:pStyle w:val="null3"/>
            </w:pPr>
            <w:r>
              <w:rPr/>
              <w:t>拟派项目组人员名单</w:t>
            </w:r>
          </w:p>
        </w:tc>
      </w:tr>
      <w:tr>
        <w:tc>
          <w:tcPr>
            <w:tcW w:type="dxa" w:w="831"/>
            <w:vMerge/>
          </w:tcPr>
          <w:p/>
        </w:tc>
        <w:tc>
          <w:tcPr>
            <w:tcW w:type="dxa" w:w="1661"/>
          </w:tcPr>
          <w:p>
            <w:pPr>
              <w:pStyle w:val="null3"/>
            </w:pPr>
            <w:r>
              <w:rPr/>
              <w:t>施工机械配备</w:t>
            </w:r>
          </w:p>
        </w:tc>
        <w:tc>
          <w:tcPr>
            <w:tcW w:type="dxa" w:w="2492"/>
          </w:tcPr>
          <w:p>
            <w:pPr>
              <w:pStyle w:val="null3"/>
            </w:pPr>
            <w:r>
              <w:rPr/>
              <w:t>投入的施工机械、设备、机具有详细计划周密，设备数量、选型配置、进场数量、时间安排合理满足施工需求。在1.0～6.0分之间赋分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承诺书</w:t>
            </w:r>
          </w:p>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施工进度表或施工网络图，安排科学合理符合本项目施工实际要求。在1.0～6.0分之间赋分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劳动力安排合理妥当，时间安排合理满足施工需求。在1.0～6.0分之间赋分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拟投入项目负责人及主要人员简历表</w:t>
            </w:r>
          </w:p>
          <w:p>
            <w:pPr>
              <w:pStyle w:val="null3"/>
            </w:pPr>
            <w:r>
              <w:rPr/>
              <w:t>拟派项目组人员名单</w:t>
            </w:r>
          </w:p>
          <w:p>
            <w:pPr>
              <w:pStyle w:val="null3"/>
            </w:pPr>
            <w:r>
              <w:rPr/>
              <w:t>施工组织设计</w:t>
            </w:r>
          </w:p>
        </w:tc>
      </w:tr>
      <w:tr>
        <w:tc>
          <w:tcPr>
            <w:tcW w:type="dxa" w:w="831"/>
            <w:vMerge/>
          </w:tcPr>
          <w:p/>
        </w:tc>
        <w:tc>
          <w:tcPr>
            <w:tcW w:type="dxa" w:w="1661"/>
          </w:tcPr>
          <w:p>
            <w:pPr>
              <w:pStyle w:val="null3"/>
            </w:pPr>
            <w:r>
              <w:rPr/>
              <w:t>新技术、新产品、新工艺、新材料应用及施工现场扬尘预防措施</w:t>
            </w:r>
          </w:p>
        </w:tc>
        <w:tc>
          <w:tcPr>
            <w:tcW w:type="dxa" w:w="2492"/>
          </w:tcPr>
          <w:p>
            <w:pPr>
              <w:pStyle w:val="null3"/>
            </w:pPr>
            <w:r>
              <w:rPr/>
              <w:t>施工单位应用的技术、产品、工艺、材料等先进科学，并有合理的施工现场扬尘预防措施。在1.0～6.0分之间赋分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2021年1月1日至今相关项目的业绩，提供合同复印件并加盖公章，每个业绩得2分，共10分，未提供的不得分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满足磋商文件要求且最后的磋商报价最低的投标价为评审基准价，其价格分为满分。 磋商报价得分=（评审基准价/磋商报价）×价格权值×100。符合招标文件规定的小微企业、监狱企业等优惠条件的投标人，价格给予3%的扣除，用扣除后的价格参与评审。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预算书</w:t>
            </w:r>
          </w:p>
          <w:p>
            <w:pPr>
              <w:pStyle w:val="null3"/>
            </w:pPr>
            <w:r>
              <w:rPr/>
              <w:t>报价函</w:t>
            </w:r>
          </w:p>
          <w:p>
            <w:pPr>
              <w:pStyle w:val="null3"/>
            </w:pPr>
            <w:r>
              <w:rPr/>
              <w:t>标的清单</w:t>
            </w:r>
          </w:p>
          <w:p>
            <w:pPr>
              <w:pStyle w:val="null3"/>
            </w:pPr>
            <w:r>
              <w:rPr/>
              <w:t>已标价工程量清单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预算书 标的清单 磋商报价表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详见附件：承诺书</w:t>
      </w:r>
    </w:p>
    <w:p>
      <w:pPr>
        <w:pStyle w:val="null3"/>
        <w:ind w:firstLine="960"/>
      </w:pPr>
      <w:r>
        <w:rPr/>
        <w:t>详见附件：磋商报价表</w:t>
      </w:r>
    </w:p>
    <w:p>
      <w:pPr>
        <w:pStyle w:val="null3"/>
        <w:ind w:firstLine="960"/>
      </w:pPr>
      <w:r>
        <w:rPr/>
        <w:t>详见附件：供应商为本项目提供的资格证明文件</w:t>
      </w:r>
    </w:p>
    <w:p>
      <w:pPr>
        <w:pStyle w:val="null3"/>
        <w:ind w:firstLine="960"/>
      </w:pPr>
      <w:r>
        <w:rPr/>
        <w:t>详见附件：拟派项目组人员名单</w:t>
      </w:r>
    </w:p>
    <w:p>
      <w:pPr>
        <w:pStyle w:val="null3"/>
        <w:ind w:firstLine="960"/>
      </w:pPr>
      <w:r>
        <w:rPr/>
        <w:t>详见附件：拟投入项目负责人及主要人员简历表</w:t>
      </w:r>
    </w:p>
    <w:p>
      <w:pPr>
        <w:pStyle w:val="null3"/>
        <w:ind w:firstLine="960"/>
      </w:pPr>
      <w:r>
        <w:rPr/>
        <w:t>详见附件：商务偏离表</w:t>
      </w:r>
    </w:p>
    <w:p>
      <w:pPr>
        <w:pStyle w:val="null3"/>
        <w:ind w:firstLine="960"/>
      </w:pPr>
      <w:r>
        <w:rPr/>
        <w:t>详见附件：施工组织设计</w:t>
      </w:r>
    </w:p>
    <w:p>
      <w:pPr>
        <w:pStyle w:val="null3"/>
        <w:ind w:firstLine="960"/>
      </w:pPr>
      <w:r>
        <w:rPr/>
        <w:t>详见附件：业绩表</w:t>
      </w:r>
    </w:p>
    <w:p>
      <w:pPr>
        <w:pStyle w:val="null3"/>
        <w:ind w:firstLine="960"/>
      </w:pPr>
      <w:r>
        <w:rPr/>
        <w:t>详见附件：预算书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