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2024年规划技术审查服务项目</w:t>
      </w:r>
    </w:p>
    <w:p>
      <w:pPr>
        <w:pStyle w:val="null3"/>
        <w:jc w:val="center"/>
        <w:outlineLvl w:val="2"/>
      </w:pPr>
      <w:r>
        <w:rPr>
          <w:sz w:val="28"/>
          <w:b/>
        </w:rPr>
        <w:t>采购项目编号：</w:t>
      </w:r>
      <w:r>
        <w:rPr>
          <w:sz w:val="28"/>
          <w:b/>
        </w:rPr>
        <w:t>SZT2024-SN-QC-ZC-FW-0508.</w:t>
      </w:r>
      <w:r>
        <w:br/>
      </w:r>
      <w:r>
        <w:br/>
      </w:r>
      <w:r>
        <w:br/>
      </w:r>
    </w:p>
    <w:p>
      <w:pPr>
        <w:pStyle w:val="null3"/>
        <w:jc w:val="center"/>
        <w:outlineLvl w:val="2"/>
      </w:pPr>
      <w:r>
        <w:rPr>
          <w:sz w:val="28"/>
          <w:b/>
        </w:rPr>
        <w:t>西安阎良国家航空高技术产业基地管理委员会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2024年05月31日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西安阎良国家航空高技术产业基地管理委员会</w:t>
      </w:r>
      <w:r>
        <w:rPr/>
        <w:t>委托，拟对</w:t>
      </w:r>
      <w:r>
        <w:rPr/>
        <w:t>2024年规划技术审查服务项目</w:t>
      </w:r>
      <w:r>
        <w:rPr/>
        <w:t>采用竞争性磋商采购方式进行采购，兹邀请供应商参加本项目的竞争性磋商。</w:t>
      </w:r>
    </w:p>
    <w:p>
      <w:pPr>
        <w:pStyle w:val="null3"/>
        <w:outlineLvl w:val="2"/>
      </w:pPr>
      <w:r>
        <w:rPr>
          <w:sz w:val="28"/>
          <w:b/>
        </w:rPr>
        <w:t>一、项目编号：</w:t>
      </w:r>
      <w:r>
        <w:rPr>
          <w:sz w:val="28"/>
          <w:b/>
        </w:rPr>
        <w:t>SZT2024-SN-QC-ZC-FW-0508.</w:t>
      </w:r>
    </w:p>
    <w:p>
      <w:pPr>
        <w:pStyle w:val="null3"/>
        <w:outlineLvl w:val="2"/>
      </w:pPr>
      <w:r>
        <w:rPr>
          <w:sz w:val="28"/>
          <w:b/>
        </w:rPr>
        <w:t>二、项目名称：</w:t>
      </w:r>
      <w:r>
        <w:rPr>
          <w:sz w:val="28"/>
          <w:b/>
        </w:rPr>
        <w:t>2024年规划技术审查服务项目</w:t>
      </w:r>
    </w:p>
    <w:p>
      <w:pPr>
        <w:pStyle w:val="null3"/>
        <w:outlineLvl w:val="2"/>
      </w:pPr>
      <w:r>
        <w:rPr>
          <w:sz w:val="28"/>
          <w:b/>
        </w:rPr>
        <w:t>三、磋商项目简介</w:t>
      </w:r>
    </w:p>
    <w:p>
      <w:pPr>
        <w:pStyle w:val="null3"/>
        <w:ind w:firstLine="480"/>
      </w:pPr>
      <w:r>
        <w:rPr/>
        <w:t>总平面方案技术审查，规划方案审查。</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1、须具有中华人民共和国住房和城乡建设部颁发的城乡规划编制乙级及以上资质：须具有中华人民共和国住房和城乡建设部颁发的城乡规划编制乙级及以上资质</w:t>
      </w:r>
    </w:p>
    <w:p>
      <w:pPr>
        <w:pStyle w:val="null3"/>
      </w:pPr>
      <w:r>
        <w:rPr/>
        <w:t>采购包2：</w:t>
      </w:r>
    </w:p>
    <w:p>
      <w:pPr>
        <w:pStyle w:val="null3"/>
      </w:pPr>
      <w:r>
        <w:rPr/>
        <w:t>1、须具有中华人民共和国住房和城乡建设部颁发的城乡规划编制乙级及以上资质：须具有中华人民共和国住房和城乡建设部颁发的城乡规划编制乙级及以上资质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西安阎良国家航空高技术产业基地管理委员会</w:t>
      </w:r>
    </w:p>
    <w:p>
      <w:pPr>
        <w:pStyle w:val="null3"/>
      </w:pPr>
      <w:r>
        <w:rPr/>
        <w:t xml:space="preserve"> 地址： </w:t>
      </w:r>
      <w:r>
        <w:rPr/>
        <w:t>西安市阎良区蓝天路88号</w:t>
      </w:r>
    </w:p>
    <w:p>
      <w:pPr>
        <w:pStyle w:val="null3"/>
      </w:pPr>
      <w:r>
        <w:rPr/>
        <w:t xml:space="preserve"> 邮编： </w:t>
      </w:r>
      <w:r>
        <w:rPr/>
        <w:t>/</w:t>
      </w:r>
    </w:p>
    <w:p>
      <w:pPr>
        <w:pStyle w:val="null3"/>
      </w:pPr>
      <w:r>
        <w:rPr/>
        <w:t xml:space="preserve"> 联系人： </w:t>
      </w:r>
      <w:r>
        <w:rPr/>
        <w:t>赵薇</w:t>
      </w:r>
    </w:p>
    <w:p>
      <w:pPr>
        <w:pStyle w:val="null3"/>
      </w:pPr>
      <w:r>
        <w:rPr/>
        <w:t xml:space="preserve"> 联系电话： </w:t>
      </w:r>
      <w:r>
        <w:rPr/>
        <w:t>029-88364979-805</w:t>
      </w:r>
    </w:p>
    <w:p>
      <w:pPr>
        <w:pStyle w:val="null3"/>
        <w:outlineLvl w:val="3"/>
      </w:pPr>
      <w:r>
        <w:rPr>
          <w:sz w:val="24"/>
          <w:b/>
        </w:rPr>
        <w:t>代理机构：</w:t>
      </w:r>
      <w:r>
        <w:rPr>
          <w:sz w:val="24"/>
          <w:b/>
        </w:rPr>
        <w:t>陕西中技招标有限公司</w:t>
      </w:r>
    </w:p>
    <w:p>
      <w:pPr>
        <w:pStyle w:val="null3"/>
      </w:pPr>
      <w:r>
        <w:rPr/>
        <w:t xml:space="preserve"> 地址： </w:t>
      </w:r>
      <w:r>
        <w:rPr/>
        <w:t>西安莲湖区高新四路1号高科广场A座1001室</w:t>
      </w:r>
    </w:p>
    <w:p>
      <w:pPr>
        <w:pStyle w:val="null3"/>
      </w:pPr>
      <w:r>
        <w:rPr/>
        <w:t xml:space="preserve"> 邮编： </w:t>
      </w:r>
      <w:r>
        <w:rPr/>
        <w:t>710075</w:t>
      </w:r>
    </w:p>
    <w:p>
      <w:pPr>
        <w:pStyle w:val="null3"/>
      </w:pPr>
      <w:r>
        <w:rPr/>
        <w:t xml:space="preserve"> 联系人： </w:t>
      </w:r>
      <w:r>
        <w:rPr/>
        <w:t>金晓萌、赵静</w:t>
      </w:r>
    </w:p>
    <w:p>
      <w:pPr>
        <w:pStyle w:val="null3"/>
      </w:pPr>
      <w:r>
        <w:rPr/>
        <w:t xml:space="preserve"> 联系电话： </w:t>
      </w:r>
      <w:r>
        <w:rPr/>
        <w:t>029-88364979-805</w:t>
      </w:r>
    </w:p>
    <w:p>
      <w:pPr>
        <w:pStyle w:val="null3"/>
        <w:outlineLvl w:val="3"/>
      </w:pPr>
      <w:r>
        <w:rPr>
          <w:sz w:val="24"/>
          <w:b/>
        </w:rPr>
        <w:t>采购监督机构：</w:t>
      </w:r>
      <w:r>
        <w:rPr>
          <w:sz w:val="24"/>
          <w:b/>
        </w:rPr>
        <w:t>西安阎良国家航空高新技术产业基地管理委员会政府采购管理股</w:t>
      </w:r>
    </w:p>
    <w:p>
      <w:pPr>
        <w:pStyle w:val="null3"/>
        <w:ind w:firstLine="480"/>
      </w:pPr>
      <w:r>
        <w:rPr/>
        <w:t>联系人：</w:t>
      </w:r>
      <w:r>
        <w:rPr/>
        <w:t>周洋</w:t>
      </w:r>
    </w:p>
    <w:p>
      <w:pPr>
        <w:pStyle w:val="null3"/>
        <w:ind w:firstLine="480"/>
      </w:pPr>
      <w:r>
        <w:rPr/>
        <w:t>联系电话：</w:t>
      </w:r>
      <w:r>
        <w:rPr/>
        <w:t>86851971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代理服务费收费标准：每包招标代理服务费的收取以中标金额按照国家发展计划委员会计价格[2002]1980号文件规定的服务标准收取。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西安阎良国家航空高技术产业基地管理委员会</w:t>
      </w:r>
      <w:r>
        <w:rPr/>
        <w:t>和</w:t>
      </w:r>
      <w:r>
        <w:rPr/>
        <w:t>陕西中技招标有限公司</w:t>
      </w:r>
      <w:r>
        <w:rPr/>
        <w:t>享有。对磋商文件中供应商参加本次政府采购活动应当具备的条件，磋商项目技术、服务、商务及其他要求，评审细则及标准由</w:t>
      </w:r>
      <w:r>
        <w:rPr/>
        <w:t>西安阎良国家航空高技术产业基地管理委员会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西安阎良国家航空高技术产业基地管理委员会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w:t>
      </w:r>
    </w:p>
    <w:p>
      <w:pPr>
        <w:pStyle w:val="null3"/>
      </w:pPr>
      <w:r>
        <w:rPr/>
        <w:t>采购包2：</w:t>
      </w:r>
    </w:p>
    <w:p>
      <w:pPr>
        <w:pStyle w:val="null3"/>
      </w:pPr>
      <w:r>
        <w:rPr/>
        <w:t>符合国家相关质量标准或行业标准。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地址：西安莲湖区高新四路 1 号高科广场 A 座 1001 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建设工程规划审批是城市规划实施的核心工作，具有公共政策性强和专业技术性强的特点，实行技术审查和行政审批分离，开展方案技术审查及智能审查，有利于规范工程建设项目审批工作，进一步提高行政审批效能，优化营商环境。国土空间规划成果技术审查是规划审批程序中的重要环节，国土空间规划编制、修改在提请审批前应履行相应的技术审查和行政审查程序，技术审查由组织编制机构委托与规划编制单位无利害关系的第三方技术审查机构对国土空间规划草案进行独立技术审查。 根据《国务院关于加快推进政务服务标准化规范化便利化的指导意见》、《转发市资源规划局关于进一步规范资源规划“一书三证”管理实施办法的通知》（市政办发〔2020〕13号）、《“一书三证”管理实施细则》、《西安市自然资源和规划局关于建设工程设计方案审查相关事项的指导意见》、《西安市国土空间规划编制管理及审批办法（试行）》（市政办发[2023]14号），拟在西安市航空基地范围内采购建设工程设计方案技术审查、第三方智能审查服务及实施详细规划成果技术审查第三方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总平面方案技术审查</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规划方案审查</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标的名称：总平面方案技术审查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sz w:val="24"/>
                <w:color w:val="000000"/>
              </w:rPr>
              <w:t>材料初审：</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1）材料接收：根据审查资料清单，核查报建材料是否准确及完整，反馈材料初审问题;</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2）初步审查：准备审查表格，初步判断用地类型及所处区域，对项目涉及建筑性质、高度、出入口等问题一并反馈。</w:t>
            </w:r>
          </w:p>
          <w:p>
            <w:pPr>
              <w:pStyle w:val="null3"/>
            </w:pPr>
            <w:r>
              <w:rPr>
                <w:rFonts w:ascii="仿宋_gb2312" w:hAnsi="仿宋_gb2312" w:cs="仿宋_gb2312" w:eastAsia="仿宋_gb2312"/>
                <w:sz w:val="24"/>
                <w:color w:val="000000"/>
              </w:rPr>
              <w:t>总图审查：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1）总图审查：基于规划条件书，结合市标、建筑防火等涉及相关规范标准，审核总图方案的各类指标，判断各项技术经济指标的合规性；</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2）问题沟通：针对审查过程中的不合规问题，汇总讨论事项及技术问题，与分局及报建单位进行沟通对接；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3）报告编制：根据审查报告要求，编制审查报告。</w:t>
            </w:r>
          </w:p>
          <w:p>
            <w:pPr>
              <w:pStyle w:val="null3"/>
            </w:pPr>
            <w:r>
              <w:rPr>
                <w:rFonts w:ascii="仿宋_gb2312" w:hAnsi="仿宋_gb2312" w:cs="仿宋_gb2312" w:eastAsia="仿宋_gb2312"/>
                <w:sz w:val="24"/>
                <w:color w:val="000000"/>
              </w:rPr>
              <w:t>成果提交：</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1）通过分局审核通过，按要求提交审查报告成果；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2）编制审查台账，按期汇交分局。</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标的名称：规划方案审查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_gb2312" w:hAnsi="仿宋_gb2312" w:cs="仿宋_gb2312" w:eastAsia="仿宋_gb2312"/>
                <w:sz w:val="24"/>
                <w:color w:val="000000"/>
              </w:rPr>
              <w:t>（一）实施详细规划成果技术审查</w:t>
            </w:r>
          </w:p>
          <w:p>
            <w:pPr>
              <w:pStyle w:val="null3"/>
            </w:pPr>
            <w:r>
              <w:rPr>
                <w:rFonts w:ascii="仿宋_gb2312" w:hAnsi="仿宋_gb2312" w:cs="仿宋_gb2312" w:eastAsia="仿宋_gb2312"/>
                <w:sz w:val="24"/>
                <w:color w:val="000000"/>
              </w:rPr>
              <w:t>按照国家、地方行业技术标准及管理规定，对规划成果开展技术审查并出具技术审查报告。审查内容包括成果完整性审查、规范性审查、技术标准符合性审查、合理性审查。</w:t>
            </w:r>
          </w:p>
          <w:p>
            <w:pPr>
              <w:pStyle w:val="null3"/>
            </w:pPr>
            <w:r>
              <w:rPr>
                <w:rFonts w:ascii="仿宋_gb2312" w:hAnsi="仿宋_gb2312" w:cs="仿宋_gb2312" w:eastAsia="仿宋_gb2312"/>
                <w:sz w:val="24"/>
                <w:color w:val="000000"/>
              </w:rPr>
              <w:t>1、完整性审查。主要审查规划成果构成是否完整。</w:t>
            </w:r>
          </w:p>
          <w:p>
            <w:pPr>
              <w:pStyle w:val="null3"/>
            </w:pPr>
            <w:r>
              <w:rPr>
                <w:rFonts w:ascii="仿宋_gb2312" w:hAnsi="仿宋_gb2312" w:cs="仿宋_gb2312" w:eastAsia="仿宋_gb2312"/>
                <w:sz w:val="24"/>
                <w:color w:val="000000"/>
              </w:rPr>
              <w:t>2、规范性审查。主要审查规划成果文件的图面表达及内容规范性、数据库规范性、图数文一致性等。</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、技术标准符合性审查。主要审查经济技术指标、地块控制指标、配套设施、交通组织、地下空间、城市设计、建筑控制线等内容是否符合相关技术标准。</w:t>
            </w:r>
          </w:p>
          <w:p>
            <w:pPr>
              <w:pStyle w:val="null3"/>
            </w:pPr>
            <w:r>
              <w:rPr>
                <w:rFonts w:ascii="仿宋_gb2312" w:hAnsi="仿宋_gb2312" w:cs="仿宋_gb2312" w:eastAsia="仿宋_gb2312"/>
                <w:sz w:val="24"/>
                <w:color w:val="000000"/>
              </w:rPr>
              <w:t>4、合理性审查。主要审查用地布局合理性、实施合理性、建设意向方案合理性等内容。</w:t>
            </w:r>
          </w:p>
          <w:p>
            <w:pPr>
              <w:pStyle w:val="null3"/>
            </w:pPr>
            <w:r>
              <w:rPr>
                <w:rFonts w:ascii="仿宋_gb2312" w:hAnsi="仿宋_gb2312" w:cs="仿宋_gb2312" w:eastAsia="仿宋_gb2312"/>
                <w:sz w:val="24"/>
                <w:color w:val="000000"/>
              </w:rPr>
              <w:t>（二）工程证核发环节的相关技术咨询</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、政策标准研究</w:t>
            </w:r>
          </w:p>
          <w:p>
            <w:pPr>
              <w:pStyle w:val="null3"/>
            </w:pPr>
            <w:r>
              <w:rPr>
                <w:rFonts w:ascii="仿宋_gb2312" w:hAnsi="仿宋_gb2312" w:cs="仿宋_gb2312" w:eastAsia="仿宋_gb2312"/>
                <w:sz w:val="24"/>
                <w:color w:val="000000"/>
              </w:rPr>
              <w:t>收集、整理</w:t>
            </w:r>
            <w:r>
              <w:rPr>
                <w:rFonts w:ascii="仿宋_gb2312" w:hAnsi="仿宋_gb2312" w:cs="仿宋_gb2312" w:eastAsia="仿宋_gb2312"/>
                <w:sz w:val="24"/>
                <w:color w:val="000000"/>
              </w:rPr>
              <w:t>国家、</w:t>
            </w:r>
            <w:r>
              <w:rPr>
                <w:rFonts w:ascii="仿宋_gb2312" w:hAnsi="仿宋_gb2312" w:cs="仿宋_gb2312" w:eastAsia="仿宋_gb2312"/>
                <w:sz w:val="24"/>
                <w:color w:val="000000"/>
              </w:rPr>
              <w:t>省、市在</w:t>
            </w:r>
            <w:r>
              <w:rPr>
                <w:rFonts w:ascii="仿宋_gb2312" w:hAnsi="仿宋_gb2312" w:cs="仿宋_gb2312" w:eastAsia="仿宋_gb2312"/>
                <w:sz w:val="24"/>
                <w:color w:val="000000"/>
              </w:rPr>
              <w:t>面积计算</w:t>
            </w:r>
            <w:r>
              <w:rPr>
                <w:rFonts w:ascii="仿宋_gb2312" w:hAnsi="仿宋_gb2312" w:cs="仿宋_gb2312" w:eastAsia="仿宋_gb2312"/>
                <w:sz w:val="24"/>
                <w:color w:val="000000"/>
              </w:rPr>
              <w:t>、</w:t>
            </w:r>
            <w:r>
              <w:rPr>
                <w:rFonts w:ascii="仿宋_gb2312" w:hAnsi="仿宋_gb2312" w:cs="仿宋_gb2312" w:eastAsia="仿宋_gb2312"/>
                <w:sz w:val="24"/>
                <w:color w:val="000000"/>
              </w:rPr>
              <w:t>停车配建、建筑景观</w:t>
            </w:r>
            <w:r>
              <w:rPr>
                <w:rFonts w:ascii="仿宋_gb2312" w:hAnsi="仿宋_gb2312" w:cs="仿宋_gb2312" w:eastAsia="仿宋_gb2312"/>
                <w:sz w:val="24"/>
                <w:color w:val="000000"/>
              </w:rPr>
              <w:t>风貌等</w:t>
            </w:r>
            <w:r>
              <w:rPr>
                <w:rFonts w:ascii="仿宋_gb2312" w:hAnsi="仿宋_gb2312" w:cs="仿宋_gb2312" w:eastAsia="仿宋_gb2312"/>
                <w:sz w:val="24"/>
                <w:color w:val="000000"/>
              </w:rPr>
              <w:t>工程证核发</w:t>
            </w:r>
            <w:r>
              <w:rPr>
                <w:rFonts w:ascii="仿宋_gb2312" w:hAnsi="仿宋_gb2312" w:cs="仿宋_gb2312" w:eastAsia="仿宋_gb2312"/>
                <w:sz w:val="24"/>
                <w:color w:val="000000"/>
              </w:rPr>
              <w:t>方面的新政策、新标准、新规范</w:t>
            </w:r>
            <w:r>
              <w:rPr>
                <w:rFonts w:ascii="仿宋_gb2312" w:hAnsi="仿宋_gb2312" w:cs="仿宋_gb2312" w:eastAsia="仿宋_gb2312"/>
                <w:sz w:val="24"/>
                <w:color w:val="000000"/>
              </w:rPr>
              <w:t>，</w:t>
            </w:r>
            <w:r>
              <w:rPr>
                <w:rFonts w:ascii="仿宋_gb2312" w:hAnsi="仿宋_gb2312" w:cs="仿宋_gb2312" w:eastAsia="仿宋_gb2312"/>
                <w:sz w:val="24"/>
                <w:color w:val="000000"/>
              </w:rPr>
              <w:t>形成规范性汇编；</w:t>
            </w:r>
          </w:p>
          <w:p>
            <w:pPr>
              <w:pStyle w:val="null3"/>
            </w:pPr>
            <w:r>
              <w:rPr>
                <w:rFonts w:ascii="仿宋_gb2312" w:hAnsi="仿宋_gb2312" w:cs="仿宋_gb2312" w:eastAsia="仿宋_gb2312"/>
                <w:sz w:val="24"/>
                <w:color w:val="000000"/>
              </w:rPr>
              <w:t>2、建设用地合规性审查。</w:t>
            </w:r>
          </w:p>
          <w:p>
            <w:pPr>
              <w:pStyle w:val="null3"/>
            </w:pPr>
            <w:r>
              <w:rPr>
                <w:rFonts w:ascii="仿宋_gb2312" w:hAnsi="仿宋_gb2312" w:cs="仿宋_gb2312" w:eastAsia="仿宋_gb2312"/>
                <w:sz w:val="24"/>
                <w:color w:val="000000"/>
              </w:rPr>
              <w:t>对于在土地供应阶段或在企业原有用地上建设，未做过合规性审查的项目进行建设用地合规性审查，出具合规性审查报告。</w:t>
            </w:r>
          </w:p>
          <w:p>
            <w:pPr>
              <w:pStyle w:val="null3"/>
            </w:pPr>
            <w:r>
              <w:rPr>
                <w:rFonts w:ascii="仿宋_gb2312" w:hAnsi="仿宋_gb2312" w:cs="仿宋_gb2312" w:eastAsia="仿宋_gb2312"/>
                <w:sz w:val="24"/>
                <w:color w:val="000000"/>
              </w:rPr>
              <w:t>3、建设工程设计方案全过程技术咨询（含历史遗留项目）</w:t>
            </w:r>
          </w:p>
          <w:p>
            <w:pPr>
              <w:pStyle w:val="null3"/>
            </w:pPr>
            <w:r>
              <w:rPr>
                <w:rFonts w:ascii="仿宋_gb2312" w:hAnsi="仿宋_gb2312" w:cs="仿宋_gb2312" w:eastAsia="仿宋_gb2312"/>
                <w:sz w:val="24"/>
                <w:color w:val="000000"/>
              </w:rPr>
              <w:t>建设工程设计方案技术咨询服务，包括不限于面积计算、停车配建、公共服务设施配建、建筑景观风貌、竖向、出入口等，并出具技术咨询意见书。</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、日照分析报告审查</w:t>
            </w:r>
          </w:p>
          <w:p>
            <w:pPr>
              <w:pStyle w:val="null3"/>
            </w:pPr>
            <w:r>
              <w:rPr>
                <w:rFonts w:ascii="仿宋_gb2312" w:hAnsi="仿宋_gb2312" w:cs="仿宋_gb2312" w:eastAsia="仿宋_gb2312"/>
                <w:sz w:val="24"/>
                <w:color w:val="000000"/>
              </w:rPr>
              <w:t>按照国家、地方行业技术标准、管理规定，在现场踏勘基础上，对日照分析报告进行技术审查，出具日照复核意见书。</w:t>
            </w:r>
          </w:p>
          <w:p>
            <w:pPr>
              <w:pStyle w:val="null3"/>
            </w:pPr>
            <w:r>
              <w:rPr>
                <w:rFonts w:ascii="仿宋_gb2312" w:hAnsi="仿宋_gb2312" w:cs="仿宋_gb2312" w:eastAsia="仿宋_gb2312"/>
                <w:sz w:val="24"/>
                <w:color w:val="000000"/>
              </w:rPr>
              <w:t>5、一码管地系统合规性审查</w:t>
            </w:r>
          </w:p>
          <w:p>
            <w:pPr>
              <w:pStyle w:val="null3"/>
            </w:pPr>
            <w:r>
              <w:rPr>
                <w:rFonts w:ascii="仿宋_gb2312" w:hAnsi="仿宋_gb2312" w:cs="仿宋_gb2312" w:eastAsia="仿宋_gb2312"/>
                <w:sz w:val="24"/>
                <w:color w:val="000000"/>
              </w:rPr>
              <w:t>按照</w:t>
            </w:r>
            <w:r>
              <w:rPr>
                <w:rFonts w:ascii="仿宋_gb2312" w:hAnsi="仿宋_gb2312" w:cs="仿宋_gb2312" w:eastAsia="仿宋_gb2312"/>
                <w:sz w:val="24"/>
                <w:color w:val="000000"/>
              </w:rPr>
              <w:t>一码管地系统</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制作、整理、汇总</w:t>
            </w:r>
            <w:r>
              <w:rPr>
                <w:rFonts w:ascii="仿宋_gb2312" w:hAnsi="仿宋_gb2312" w:cs="仿宋_gb2312" w:eastAsia="仿宋_gb2312"/>
                <w:sz w:val="24"/>
                <w:color w:val="000000"/>
              </w:rPr>
              <w:t>相应图件，材料组件上传系统。</w:t>
            </w:r>
          </w:p>
          <w:p>
            <w:pPr>
              <w:pStyle w:val="null3"/>
            </w:pPr>
            <w:r>
              <w:rPr>
                <w:rFonts w:ascii="仿宋_gb2312" w:hAnsi="仿宋_gb2312" w:cs="仿宋_gb2312" w:eastAsia="仿宋_gb2312"/>
                <w:sz w:val="24"/>
                <w:color w:val="000000"/>
              </w:rPr>
              <w:t>6、公示牌小样制作</w:t>
            </w:r>
          </w:p>
          <w:p>
            <w:pPr>
              <w:pStyle w:val="null3"/>
            </w:pPr>
            <w:r>
              <w:rPr>
                <w:rFonts w:ascii="仿宋_gb2312" w:hAnsi="仿宋_gb2312" w:cs="仿宋_gb2312" w:eastAsia="仿宋_gb2312"/>
                <w:sz w:val="24"/>
                <w:color w:val="000000"/>
              </w:rPr>
              <w:t>按指定格式制作工程证核发阶段各类公示牌电子小样。</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pPr>
      <w:r>
        <w:rPr/>
        <w:t>采购包2：</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西安阎良国家航空高技术产业基地</w:t>
      </w:r>
    </w:p>
    <w:p>
      <w:pPr>
        <w:pStyle w:val="null3"/>
      </w:pPr>
      <w:r>
        <w:rPr/>
        <w:t>采购包2：</w:t>
      </w:r>
    </w:p>
    <w:p>
      <w:pPr>
        <w:pStyle w:val="null3"/>
      </w:pPr>
      <w:r>
        <w:rPr/>
        <w:t>西安阎良国家航空高技术产业基地</w:t>
      </w:r>
    </w:p>
    <w:p>
      <w:pPr>
        <w:pStyle w:val="null3"/>
        <w:outlineLvl w:val="3"/>
      </w:pPr>
      <w:r>
        <w:rPr>
          <w:sz w:val="24"/>
          <w:b/>
        </w:rPr>
        <w:t>3.3.3考核（验收）标准和方法</w:t>
      </w:r>
    </w:p>
    <w:p>
      <w:pPr>
        <w:pStyle w:val="null3"/>
      </w:pPr>
      <w:r>
        <w:rPr/>
        <w:t>采购包1：</w:t>
      </w:r>
    </w:p>
    <w:p>
      <w:pPr>
        <w:pStyle w:val="null3"/>
      </w:pPr>
      <w:r>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二）乙方向甲方提交服务实施过程中的所有资料。以便甲方日后管理和维护。</w:t>
      </w:r>
    </w:p>
    <w:p>
      <w:pPr>
        <w:pStyle w:val="null3"/>
      </w:pPr>
      <w:r>
        <w:rPr/>
        <w:t>采购包2：</w:t>
      </w:r>
    </w:p>
    <w:p>
      <w:pPr>
        <w:pStyle w:val="null3"/>
      </w:pPr>
      <w:r>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验收合格后，填写履约验收单作为对服务的最终认可。（二）乙方向甲方提交服务实施过程中的所有资料。以便甲方日后管理和维护。</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pPr>
      <w:r>
        <w:rPr/>
        <w:t>采购包2：</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pPr>
      <w:r>
        <w:rPr/>
        <w:t>采购包2：</w:t>
      </w:r>
      <w:r>
        <w:rPr/>
        <w:t xml:space="preserve"> 付款条件说明： </w:t>
      </w:r>
      <w:r>
        <w:rPr/>
        <w:t>合同签订后每半年按照实际发生的业务情况据实结算，实际结算金额=项目单价*项目数量，据实结算最终金额不能超出采购预算，提交最终成果后付款，乙方须向甲方出具合法有效的发票后</w:t>
      </w:r>
      <w:r>
        <w:rPr/>
        <w:t xml:space="preserve"> ，达到付款条件起 </w:t>
      </w:r>
      <w:r>
        <w:rPr/>
        <w:t>15</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因乙方行为违约造成甲方利益受到侵害或造成社会影响的，甲方有权要求乙方在一定期限内解决，逾期不解决的，甲方有权终止合同。造成甲方经济损失的，乙方应给予甲方相应的经济赔偿(5%)。（2）双方因本合同发生争议，甲方与乙方应及时协商解决。协商不成或调解不成时，双方当事人同意向甲方所在地有管辖权的人民法院提起诉讼。</w:t>
      </w:r>
    </w:p>
    <w:p>
      <w:pPr>
        <w:pStyle w:val="null3"/>
      </w:pPr>
      <w:r>
        <w:rPr/>
        <w:t>采购包2：</w:t>
      </w:r>
    </w:p>
    <w:p>
      <w:pPr>
        <w:pStyle w:val="null3"/>
      </w:pPr>
      <w:r>
        <w:rPr/>
        <w:t>（1）因乙方行为违约造成甲方利益受到侵害或造成社会影响的，甲方有权要求乙方在一定期限内解决，逾期不解决的，甲方有权终止合同。造成甲方经济损失的，乙方应给予甲方相应的经济赔偿(5%)。（2）双方因本合同发生争议，甲方与乙方应及时协商解决。协商不成或调解不成时，双方当事人同意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须具有中华人民共和国住房和城乡建设部颁发的城乡规划编制乙级及以上资质</w:t>
            </w:r>
          </w:p>
        </w:tc>
        <w:tc>
          <w:tcPr>
            <w:tcW w:type="dxa" w:w="3322"/>
          </w:tcPr>
          <w:p>
            <w:pPr>
              <w:pStyle w:val="null3"/>
            </w:pPr>
            <w:r>
              <w:rPr/>
              <w:t>须具有中华人民共和国住房和城乡建设部颁发的城乡规划编制乙级及以上资质</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须具有中华人民共和国住房和城乡建设部颁发的城乡规划编制乙级及以上资质</w:t>
            </w:r>
          </w:p>
        </w:tc>
        <w:tc>
          <w:tcPr>
            <w:tcW w:type="dxa" w:w="3322"/>
          </w:tcPr>
          <w:p>
            <w:pPr>
              <w:pStyle w:val="null3"/>
            </w:pPr>
            <w:r>
              <w:rPr/>
              <w:t>须具有中华人民共和国住房和城乡建设部颁发的城乡规划编制乙级及以上资质</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合同包1单价报价表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合同包2单价报价表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技术响应：项目情况识别</w:t>
            </w:r>
          </w:p>
        </w:tc>
        <w:tc>
          <w:tcPr>
            <w:tcW w:type="dxa" w:w="2492"/>
          </w:tcPr>
          <w:p>
            <w:pPr>
              <w:pStyle w:val="null3"/>
            </w:pPr>
            <w:r>
              <w:rPr/>
              <w:t>针对投标单位提供的资料收集的详实程度 ①资料收集的总体工作方案详细合理、针对性强得8分；②对于项目现状情况有基本认识得5分；③对于现状有简单的认识的2分；④未提供方案得0分。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技术响应：总体技术方案</w:t>
            </w:r>
          </w:p>
        </w:tc>
        <w:tc>
          <w:tcPr>
            <w:tcW w:type="dxa" w:w="2492"/>
          </w:tcPr>
          <w:p>
            <w:pPr>
              <w:pStyle w:val="null3"/>
            </w:pPr>
            <w:r>
              <w:rPr/>
              <w:t>针对供应商提供的材料初审、总图审查的总体工作方案；对审查意见书成果提交的实施措施；业务流程，配套服务保障进行评审。 ①材料初审、总图审查的总体工作方案详细合理、针对性强；对审查意见书成果提交的实施措施准确清晰；业务流程科学合理高效，有周到完备的配套服务保障得8分；②总体工作方案基本可行，有简单的业务流程，有一定的服务保障内容得5分；③总体工作方案有缺项，业务流程不完整，服务保障内容达不到实际需求得3分；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技术响应：审查工作成果框架</w:t>
            </w:r>
          </w:p>
        </w:tc>
        <w:tc>
          <w:tcPr>
            <w:tcW w:type="dxa" w:w="2492"/>
          </w:tcPr>
          <w:p>
            <w:pPr>
              <w:pStyle w:val="null3"/>
            </w:pPr>
            <w:r>
              <w:rPr/>
              <w:t>针对供应商规划技术审查形成的成果框架及内容是否全面和具体进行综合评审。 ①提供成果框架全面，具体审查内容详实，相关标准清晰详细，赋分8分； ②提供成果框架基本满足要求，审查内容详细程度一般，有部分标准依据，赋分5分； ③提供成果框架不足，审查内容叙述缺项，无标准依据，赋分3分； ④未提供成果框架得0分。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技术响应：突发情况的应急预案</w:t>
            </w:r>
          </w:p>
        </w:tc>
        <w:tc>
          <w:tcPr>
            <w:tcW w:type="dxa" w:w="2492"/>
          </w:tcPr>
          <w:p>
            <w:pPr>
              <w:pStyle w:val="null3"/>
            </w:pPr>
            <w:r>
              <w:rPr/>
              <w:t>项目实施过程中，应对突发情况的应急预案，针对各种突发情况的应急控制及工作组织方法进行评审。 ①应对突发情况的应急预案详细合理，针对各种突发情况的应急控制及工作组织方法详细合理得6分；②应对突发情况的应急预案基本完整，有简单的针对各种突发情况的应急控制及工作组织方法得3分；③应对突发情况的应急预案完整性欠缺，针对各种突发情况的应急控制及工作组织方法过于简单，不能起到有效控制得1分；④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技术响应：确保服务质量和进度的保障措施</w:t>
            </w:r>
          </w:p>
        </w:tc>
        <w:tc>
          <w:tcPr>
            <w:tcW w:type="dxa" w:w="2492"/>
          </w:tcPr>
          <w:p>
            <w:pPr>
              <w:pStyle w:val="null3"/>
            </w:pPr>
            <w:r>
              <w:rPr/>
              <w:t>供应商具有完整质量控制和进度保障体系，各个节点服务工作质量具有完善的保证措施。 ①保障措施全面、合理、科学的得6分； ②保障措施基本满足采购需求得3分；③保障措施不合理、可行性欠缺得1分； ④未提供方案得0分。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技术响应：针对本项目的合理化建议及服务承诺。</w:t>
            </w:r>
          </w:p>
        </w:tc>
        <w:tc>
          <w:tcPr>
            <w:tcW w:type="dxa" w:w="2492"/>
          </w:tcPr>
          <w:p>
            <w:pPr>
              <w:pStyle w:val="null3"/>
            </w:pPr>
            <w:r>
              <w:rPr/>
              <w:t>针对本项目的合理化建议详实具体、具有针对性、可操作性强。 ①合理化建议详实、具体、具有针对性、可操作性强的得6分； ②合理化建议响应程度一般得3分；③合理化建议缺乏针对性及可操作性得1分； ④未提供合理化建议得0分。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技术响应：进度安排</w:t>
            </w:r>
          </w:p>
        </w:tc>
        <w:tc>
          <w:tcPr>
            <w:tcW w:type="dxa" w:w="2492"/>
          </w:tcPr>
          <w:p>
            <w:pPr>
              <w:pStyle w:val="null3"/>
            </w:pPr>
            <w:r>
              <w:rPr/>
              <w:t>针对项目工作进度的安排是否科学、合理。 ①项目工作进度安排科学、合理得8分；②工作进度安排较为科学、合理得5分；③项目工作进度安排不太科学、合理得3分；未提供得0分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技术响应：供应商提供切实可行的保密措施及承诺，对其所获取的信息保密</w:t>
            </w:r>
          </w:p>
        </w:tc>
        <w:tc>
          <w:tcPr>
            <w:tcW w:type="dxa" w:w="2492"/>
          </w:tcPr>
          <w:p>
            <w:pPr>
              <w:pStyle w:val="null3"/>
            </w:pPr>
            <w:r>
              <w:rPr/>
              <w:t>①承诺内容详尽全面，具体内容合理得当得6分； ②承诺比较全面，具体内容比较合理得3分； ③承诺不充分，具体内容有欠妥当得1分； ④未提供方案得0分。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技术响应：项目负责人</w:t>
            </w:r>
          </w:p>
        </w:tc>
        <w:tc>
          <w:tcPr>
            <w:tcW w:type="dxa" w:w="2492"/>
          </w:tcPr>
          <w:p>
            <w:pPr>
              <w:pStyle w:val="null3"/>
            </w:pPr>
            <w:r>
              <w:rPr/>
              <w:t>项目负责人具有规划专业正高级职称且同时具备注册城乡（城市）规划师的得6分；具有副高级职称且同时具备注册城乡（城市）规划师的得3分；仅具有副高级或以上职称或注册城乡（城市）规划师其中一项的得1分；其余不得分，本项最多得6分。 注：提供项目人员职称证书复印件加盖公章、相关证书复印件加盖公章或中国城市规划协会官方网站截图为评分依据，无提供不得分。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项目组规划人员配备</w:t>
            </w:r>
          </w:p>
        </w:tc>
        <w:tc>
          <w:tcPr>
            <w:tcW w:type="dxa" w:w="2492"/>
          </w:tcPr>
          <w:p>
            <w:pPr>
              <w:pStyle w:val="null3"/>
            </w:pPr>
            <w:r>
              <w:rPr/>
              <w:t>项目规划设计组成员（不含项目负责人）不少于 6人，且同时具备注册城市规划师资格和城市规划类高级工程师及以上职称，每增加 1 人得1分， 最多得6分。不响应不得分。 注：1、项目组成员不包含项目负责人。 2、提供项目人员职称证书复印件加盖公章、相关证书复印件加盖公章，无提供不得分。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项目组专业人员配备</w:t>
            </w:r>
          </w:p>
        </w:tc>
        <w:tc>
          <w:tcPr>
            <w:tcW w:type="dxa" w:w="2492"/>
          </w:tcPr>
          <w:p>
            <w:pPr>
              <w:pStyle w:val="null3"/>
            </w:pPr>
            <w:r>
              <w:rPr/>
              <w:t>本项目规划设计组成员中，除规划专业外，同时具备建筑学、风景园林、 交通、旅游、市政、环境等相关专业的高级工程师（以职称证书为准）。每涵盖上述一个专业得1分，最高得6分。 注：1、项目组成员不包含项目负责人。 2、提供项目人员职称证书复印件加盖公章、相关证书复印件加盖公章，无提供不得分。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公司实力</w:t>
            </w:r>
          </w:p>
        </w:tc>
        <w:tc>
          <w:tcPr>
            <w:tcW w:type="dxa" w:w="2492"/>
          </w:tcPr>
          <w:p>
            <w:pPr>
              <w:pStyle w:val="null3"/>
            </w:pPr>
            <w:r>
              <w:rPr/>
              <w:t>投标人具有自然资源或国土空间等相关领域计算机软件著作权登记证书，每提供1个得1分，最高得6分；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2020年1月1日至今承担过方案技术审查类或国土空间规划成果技术审查类或规划编制技术标准类等相关业绩（以加盖供应商公章的合同复印件为准，应至少包含合同关键页，合同上必须明确体现签订时间），每提供1项有效业绩得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评标基准价：有效报价最低价作为评标基准价。 最后报价得分=(投标基准 价／投标报价)×100×价格权重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需要落实的政府采购政策 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对本项目的解读清晰、明确，航空基地区规划或政策分析研究情况的理解深度和准确性高，并对航空基地区国土空间规划、各类专项规划等现行空间规划状况，航空基地区实施详细规划成果技术审查流程和内容、工程证核发环节相关技术咨询进行分析和评估，得出航空基地实施详细规划成果技术审查、工程证核发环节相关技术咨询核心要素的得5分；对本项目背景的解读基本准确，航空基地区规划或政策分析研究情况的理解具有一定的深度和准确性得3分；对本项目背景的解读不够清晰、明确，航空基地区规划或政策分析研究情况的理解缺乏深度和准确性的，得1分；未提供或理解偏差过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总体工作方案</w:t>
            </w:r>
          </w:p>
        </w:tc>
        <w:tc>
          <w:tcPr>
            <w:tcW w:type="dxa" w:w="2492"/>
          </w:tcPr>
          <w:p>
            <w:pPr>
              <w:pStyle w:val="null3"/>
            </w:pPr>
            <w:r>
              <w:rPr/>
              <w:t>对制定的总体工作方案进行评分： 1.全部响应采购要求与技术要求，方案详细、科学合理、健全的审查流程、有完整且可行的智能化信息化服务的得5分；2.响应采购要求与技术要求，方案详细、科学合理、审查流程合理、有可行的智能化信息化服务的得4分，3.响应采购要求与技术要求，比较齐全、合理可行得3分；4.基本响应采购要求与技术要求得2分5.合理性一般，可行性一般的得1分；未提供或方案偏差过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项目关键性技术、重点难点的解决方案</w:t>
            </w:r>
          </w:p>
        </w:tc>
        <w:tc>
          <w:tcPr>
            <w:tcW w:type="dxa" w:w="2492"/>
          </w:tcPr>
          <w:p>
            <w:pPr>
              <w:pStyle w:val="null3"/>
            </w:pPr>
            <w:r>
              <w:rPr/>
              <w:t>根据投标人对本项目的关键性技术、重点难点的解决方案（包括但不限于1.对实施详细规划成果技术审查及工程证核发环节相关技术咨询实施重、难点的认识、理解及分析；2.针对实施详细规划成果技术审查及工程证核发环节相关技术咨询实施重、难点拟定的解决方案；3.智能化服务技术突破方案的合理程度进行综合评审；针对本项目关键技术、重点、难点的解决方案科学合理、完善、全面、具体、有亮点、可行性强，得5分；针对本项目关键技术、重点、难点的解决方案科学合理、完善、全面、具体，得4分；针对本项目关键技术、重点、难点的解决方案全面但不具体、可行性一般，得3分；针对本项目关键技术、重点、难点的解决方案合理但不具体、可行性较差，得2分；针对本项目关键技术、重点、难点的解决方案不完善、无亮点、可行性较差，得1分；未提供或方案偏差过大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质量控制方案</w:t>
            </w:r>
          </w:p>
        </w:tc>
        <w:tc>
          <w:tcPr>
            <w:tcW w:type="dxa" w:w="2492"/>
          </w:tcPr>
          <w:p>
            <w:pPr>
              <w:pStyle w:val="null3"/>
            </w:pPr>
            <w:r>
              <w:rPr/>
              <w:t>根据投标人对本项目的项目质量方案（包括但不限于各项质量保障措施、服务承诺、针对本项目的特色服务说明）的合理程度进行综合评审：针对项目全过程所制定保障体系完整，措施具有针对性和可操作性的且能够实施信息化审查的，得4分；针对项目全过程所制定保障体系较完整，措施较具有针对性和可操作性的，得2分；针对项目全过程所制定保障体系基本完整，措施基本合理、可行的，得1分：未提供或方案偏差过大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现状数据基础</w:t>
            </w:r>
          </w:p>
        </w:tc>
        <w:tc>
          <w:tcPr>
            <w:tcW w:type="dxa" w:w="2492"/>
          </w:tcPr>
          <w:p>
            <w:pPr>
              <w:pStyle w:val="null3"/>
            </w:pPr>
            <w:r>
              <w:rPr/>
              <w:t>考核供应商现状空间数据工作基础（包括不限于影像、建筑、公服等）。（1）影像数据年限连续性在10年以上、数据精度均连续三年为亚米级的，得2分，影像数据年限连续性在5年以上是10年以下、数据精度包含亚米级的，得1分；影像数据年限连续性未提供或不足3年，数据精度无法体现或不包含亚米级的得0.5分，其他情况不得分；（2）建筑空间数据涵盖住宅、商业、办公、工业等建筑类型，数据精度至楼栋且具有建筑高度、建筑基底面积、建筑年代、建筑层数等详细信息的得2分，其他情况不得分；（3）公服设施空间数据涵盖教育、医疗、养老等设施类型，且具有设施四至、学校学位数、医院床位数等详细信息的得2分；其他情况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智能化审查实施方案</w:t>
            </w:r>
          </w:p>
        </w:tc>
        <w:tc>
          <w:tcPr>
            <w:tcW w:type="dxa" w:w="2492"/>
          </w:tcPr>
          <w:p>
            <w:pPr>
              <w:pStyle w:val="null3"/>
            </w:pPr>
            <w:r>
              <w:rPr/>
              <w:t>考核供应商智能化服务能力 具有完善的智能化审查方案，方案详实具体、针对性、可操作性强的得10分；方案基本完善、合理性一般的得6分；方案不完整、可行性差的得2分，其他情况不得分。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后续技术服务方案及措施</w:t>
            </w:r>
          </w:p>
        </w:tc>
        <w:tc>
          <w:tcPr>
            <w:tcW w:type="dxa" w:w="2492"/>
          </w:tcPr>
          <w:p>
            <w:pPr>
              <w:pStyle w:val="null3"/>
            </w:pPr>
            <w:r>
              <w:rPr/>
              <w:t>根据投标人对本项目的售后服务方案、保障、承诺等进行综合评审： 售后服务方案完整、详细，售后服务承诺具体、可行性强，得4分；售后服务方案较完整、详细，售后服务承诺较详尽、可行性一般，得3分；售后服务方案不够完整，售后服务承诺较简单，可行性较差，得1分；未提供或方案偏差过大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公司实力</w:t>
            </w:r>
          </w:p>
        </w:tc>
        <w:tc>
          <w:tcPr>
            <w:tcW w:type="dxa" w:w="2492"/>
          </w:tcPr>
          <w:p>
            <w:pPr>
              <w:pStyle w:val="null3"/>
            </w:pPr>
            <w:r>
              <w:rPr/>
              <w:t>投标人具有自然资源或国土空间等相关领域计算机软件著作权登记证书，每提供1个得1分，最高得7分。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项目总负责人</w:t>
            </w:r>
          </w:p>
        </w:tc>
        <w:tc>
          <w:tcPr>
            <w:tcW w:type="dxa" w:w="2492"/>
          </w:tcPr>
          <w:p>
            <w:pPr>
              <w:pStyle w:val="null3"/>
            </w:pPr>
            <w:r>
              <w:rPr/>
              <w:t>拟定项目总负责人具备规划类中级职称的得2分，具备高级职称的得4分；有国家注册城乡规划师职业资格的，得4分；满分8分；（提供的人员须在本单位工作，以提供的近1个月社保证明为准，否则此项不得分）。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数据负责人</w:t>
            </w:r>
          </w:p>
        </w:tc>
        <w:tc>
          <w:tcPr>
            <w:tcW w:type="dxa" w:w="2492"/>
          </w:tcPr>
          <w:p>
            <w:pPr>
              <w:pStyle w:val="null3"/>
            </w:pPr>
            <w:r>
              <w:rPr/>
              <w:t>数据负责人为地理信息专业（包括地理信息、测绘）高级工程师得4分，未提供不得分；数据负责人具备注册测绘师职业资格得4分，未提供不得分。（提供的人员须在本单位工作，以提供的近1个月社保证明为准，否则此项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项目组整体人员配备</w:t>
            </w:r>
          </w:p>
        </w:tc>
        <w:tc>
          <w:tcPr>
            <w:tcW w:type="dxa" w:w="2492"/>
          </w:tcPr>
          <w:p>
            <w:pPr>
              <w:pStyle w:val="null3"/>
            </w:pPr>
            <w:r>
              <w:rPr/>
              <w:t>考核投标人拟投入项目团队人员（不含项目总负责人，数据负责人）知识构架全面，专业性强，满足项目需求，分工明确、配置合理，科学合理，总体实力较强，有丰富的类似工作经验。 项目组成员具有城市规划、建筑学、测绘等专业对应国家注册执业资格的，每提供项目组成员的一个国家注册职业资格的得1分，最高得7分；项目组成员专业（以毕业证为准）涵盖城市规划、人文地理、土地资源管理、地理信息系统、建筑学、风景园林、计算机科学与技术等相关专业，每涵盖上述一个专业得1分，最高得7分；（提供的人员须在本单位工作，以提供的近1个月社保证明为准，否则此项不得分。）</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投标人提供2020年1月1日至今承担过建设工程方案技术审查 (非咨询) 类或国土空间规划成果技术审查类或规划编制技术标准类等相关业绩（以加盖供应商公章的合同复印件为准，应至少包含合同关键页，合同上必须明确体现签订时间），每提供1项有效业绩得1分，最高得10分。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满足招标文件内容及技术要求且最低的投标单价为评标基准价，其价格分为满分。 报价得分=（评标基准价／投标单价）×价格权值×100。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需要落实的政府采购政策 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详见附件：需要落实的政府采购政策</w:t>
      </w:r>
    </w:p>
    <w:p>
      <w:pPr>
        <w:pStyle w:val="null3"/>
        <w:ind w:firstLine="960"/>
      </w:pPr>
      <w:r>
        <w:rPr/>
        <w:t>详见附件：业绩一览表</w:t>
      </w:r>
    </w:p>
    <w:p>
      <w:pPr>
        <w:pStyle w:val="null3"/>
        <w:ind w:firstLine="960"/>
      </w:pPr>
      <w:r>
        <w:rPr/>
        <w:t>详见附件：合同包1单价报价表</w:t>
      </w:r>
    </w:p>
    <w:p>
      <w:pPr>
        <w:pStyle w:val="null3"/>
        <w:ind w:firstLine="960"/>
      </w:pPr>
      <w:r>
        <w:rPr/>
        <w:t>详见附件：供应商应提交的相关资格证明材料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详见附件：业绩一览表</w:t>
      </w:r>
    </w:p>
    <w:p>
      <w:pPr>
        <w:pStyle w:val="null3"/>
        <w:ind w:firstLine="960"/>
      </w:pPr>
      <w:r>
        <w:rPr/>
        <w:t>详见附件：需要落实的政府采购政策</w:t>
      </w:r>
    </w:p>
    <w:p>
      <w:pPr>
        <w:pStyle w:val="null3"/>
        <w:ind w:firstLine="960"/>
      </w:pPr>
      <w:r>
        <w:rPr/>
        <w:t>详见附件：合同包2单价报价表</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