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南校区后勤楼维修改造项目</w:t>
      </w:r>
    </w:p>
    <w:p>
      <w:pPr>
        <w:pStyle w:val="null3"/>
        <w:jc w:val="center"/>
        <w:outlineLvl w:val="2"/>
      </w:pPr>
      <w:r>
        <w:rPr>
          <w:sz w:val="28"/>
          <w:b/>
        </w:rPr>
        <w:t>采购项目编号：</w:t>
      </w:r>
      <w:r>
        <w:rPr>
          <w:sz w:val="28"/>
          <w:b/>
        </w:rPr>
        <w:t>SZT2024-SN-SC-ZC-GC-0547</w:t>
      </w:r>
      <w:r>
        <w:br/>
      </w:r>
      <w:r>
        <w:br/>
      </w:r>
      <w:r>
        <w:br/>
      </w:r>
    </w:p>
    <w:p>
      <w:pPr>
        <w:pStyle w:val="null3"/>
        <w:jc w:val="center"/>
        <w:outlineLvl w:val="2"/>
      </w:pPr>
      <w:r>
        <w:rPr>
          <w:sz w:val="28"/>
          <w:b/>
        </w:rPr>
        <w:t>陕西理工大学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陕西理工大学</w:t>
      </w:r>
      <w:r>
        <w:rPr/>
        <w:t>委托，拟对</w:t>
      </w:r>
      <w:r>
        <w:rPr/>
        <w:t>南校区后勤楼维修改造项目</w:t>
      </w:r>
      <w:r>
        <w:rPr/>
        <w:t>采用竞争性磋商采购方式进行采购，兹邀请供应商参加本项目的竞争性磋商。</w:t>
      </w:r>
    </w:p>
    <w:p>
      <w:pPr>
        <w:pStyle w:val="null3"/>
        <w:outlineLvl w:val="2"/>
      </w:pPr>
      <w:r>
        <w:rPr>
          <w:sz w:val="28"/>
          <w:b/>
        </w:rPr>
        <w:t>一、采购项目编号：</w:t>
      </w:r>
      <w:r>
        <w:rPr>
          <w:sz w:val="28"/>
          <w:b/>
        </w:rPr>
        <w:t>SZT2024-SN-SC-ZC-GC-0547</w:t>
      </w:r>
    </w:p>
    <w:p>
      <w:pPr>
        <w:pStyle w:val="null3"/>
        <w:outlineLvl w:val="2"/>
      </w:pPr>
      <w:r>
        <w:rPr>
          <w:sz w:val="28"/>
          <w:b/>
        </w:rPr>
        <w:t>二、采购项目名称：</w:t>
      </w:r>
      <w:r>
        <w:rPr>
          <w:sz w:val="28"/>
          <w:b/>
        </w:rPr>
        <w:t>南校区后勤楼维修改造项目</w:t>
      </w:r>
    </w:p>
    <w:p>
      <w:pPr>
        <w:pStyle w:val="null3"/>
        <w:outlineLvl w:val="2"/>
      </w:pPr>
      <w:r>
        <w:rPr>
          <w:sz w:val="28"/>
          <w:b/>
        </w:rPr>
        <w:t>三、磋商项目简介</w:t>
      </w:r>
    </w:p>
    <w:p>
      <w:pPr>
        <w:pStyle w:val="null3"/>
        <w:ind w:firstLine="480"/>
      </w:pPr>
      <w:r>
        <w:rPr/>
        <w:t>南校区后勤楼维修改造。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采购包1（南校区后勤楼维修改造项目）：属于专门面向中小企业采购。</w:t>
      </w:r>
    </w:p>
    <w:p>
      <w:pPr>
        <w:pStyle w:val="null3"/>
        <w:ind w:firstLine="480"/>
      </w:pPr>
      <w:r>
        <w:rPr/>
        <w:t>（三）本项目的特定资格要求：</w:t>
      </w:r>
    </w:p>
    <w:p>
      <w:pPr>
        <w:pStyle w:val="null3"/>
      </w:pPr>
      <w:r>
        <w:rPr/>
        <w:t>采购包1：</w:t>
      </w:r>
    </w:p>
    <w:p>
      <w:pPr>
        <w:pStyle w:val="null3"/>
      </w:pPr>
      <w:r>
        <w:rPr/>
        <w:t>1、供应商代表：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2、拟派项目负责人资质和专业要求（项目经理）：项目经理需具有建筑工程专业二级及以上注册建造师执业证书及有效的安全生产考核合格证书（B证），须在本单位注册并缴纳社保，并且无在建工程；</w:t>
      </w:r>
    </w:p>
    <w:p>
      <w:pPr>
        <w:pStyle w:val="null3"/>
      </w:pPr>
      <w:r>
        <w:rPr/>
        <w:t>3、企业资质：供应商具备建筑工程施工总承包三级及以上资质，并具备有效的安全生产许可证；</w:t>
      </w:r>
    </w:p>
    <w:p>
      <w:pPr>
        <w:pStyle w:val="null3"/>
      </w:pPr>
      <w:r>
        <w:rPr/>
        <w:t>4、信用记录：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信用信息查询记录和证据将同响应文件等资料一同归档保存。</w:t>
      </w:r>
    </w:p>
    <w:p>
      <w:pPr>
        <w:pStyle w:val="null3"/>
      </w:pPr>
      <w:r>
        <w:rPr/>
        <w:t>5、本项目不接受联合体投标：本项目不接受联合体投标，（投标主体为单一供应商，无需提供证明材料）。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陕西理工大学</w:t>
      </w:r>
    </w:p>
    <w:p>
      <w:pPr>
        <w:pStyle w:val="null3"/>
      </w:pPr>
      <w:r>
        <w:rPr/>
        <w:t xml:space="preserve"> 地址： </w:t>
      </w:r>
      <w:r>
        <w:rPr/>
        <w:t>陕西省汉中市汉台区东一环路1号</w:t>
      </w:r>
    </w:p>
    <w:p>
      <w:pPr>
        <w:pStyle w:val="null3"/>
      </w:pPr>
      <w:r>
        <w:rPr/>
        <w:t xml:space="preserve"> 邮编： </w:t>
      </w:r>
      <w:r>
        <w:rPr/>
        <w:t>723001</w:t>
      </w:r>
    </w:p>
    <w:p>
      <w:pPr>
        <w:pStyle w:val="null3"/>
      </w:pPr>
      <w:r>
        <w:rPr/>
        <w:t xml:space="preserve"> 联系人： </w:t>
      </w:r>
      <w:r>
        <w:rPr/>
        <w:t>张老师</w:t>
      </w:r>
    </w:p>
    <w:p>
      <w:pPr>
        <w:pStyle w:val="null3"/>
      </w:pPr>
      <w:r>
        <w:rPr/>
        <w:t xml:space="preserve"> 联系电话： </w:t>
      </w:r>
      <w:r>
        <w:rPr/>
        <w:t>0916-2641723</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w:t>
      </w:r>
    </w:p>
    <w:p>
      <w:pPr>
        <w:pStyle w:val="null3"/>
      </w:pPr>
      <w:r>
        <w:rPr/>
        <w:t xml:space="preserve"> 联系电话： </w:t>
      </w:r>
      <w:r>
        <w:rPr/>
        <w:t>029-88364979-849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说明：中标后，中标单位向甲方财务缴纳中标价的3%作为履约保证金，履约保证金在项目验收审计合格后，转为质量保修金。</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参见国家计委颁布的《招标代理服务收费管理暂行办法》（计价格[2002]1980号）和（发改办价格[2003]857号）收费标准。其中30万以内项目，代理费3000.00元;30万-100万(含)项目，代理费按《招标代理服务收费暂行办法》(计价格[2002]1980号)的80%计收:100万(不含)-1000万(含)项目,按《招标代理服务收费暂行办法》(计价格[2002]1980号)的70%计收:1000万以上的项目，一事一议计收。此采购代理服务费应计入投标中，但不需要单独开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陕西理工大学</w:t>
      </w:r>
      <w:r>
        <w:rPr/>
        <w:t>和</w:t>
      </w:r>
      <w:r>
        <w:rPr/>
        <w:t>陕西中技招标有限公司</w:t>
      </w:r>
      <w:r>
        <w:rPr/>
        <w:t>享有。对磋商文件中供应商参加本次政府采购活动应当具备的条件，磋商项目技术、服务、商务及其他要求，评审细则及标准由</w:t>
      </w:r>
      <w:r>
        <w:rPr/>
        <w:t>陕西理工大学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陕西理工大学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详见采购文件及合同约定。</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2,350,000.00</w:t>
      </w:r>
    </w:p>
    <w:p>
      <w:pPr>
        <w:pStyle w:val="null3"/>
      </w:pPr>
      <w:r>
        <w:rPr/>
        <w:t>采购包最高限价（元）: 2,344,433.97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南校区后勤楼维修改造</w:t>
            </w:r>
          </w:p>
        </w:tc>
        <w:tc>
          <w:tcPr>
            <w:tcW w:type="dxa" w:w="1384"/>
          </w:tcPr>
          <w:p>
            <w:pPr>
              <w:pStyle w:val="null3"/>
              <w:jc w:val="right"/>
            </w:pPr>
            <w:r>
              <w:rPr/>
              <w:t>1.00</w:t>
            </w:r>
          </w:p>
        </w:tc>
        <w:tc>
          <w:tcPr>
            <w:tcW w:type="dxa" w:w="1384"/>
          </w:tcPr>
          <w:p>
            <w:pPr>
              <w:pStyle w:val="null3"/>
              <w:jc w:val="right"/>
            </w:pPr>
            <w:r>
              <w:rPr/>
              <w:t>2,350,000.00</w:t>
            </w:r>
          </w:p>
        </w:tc>
        <w:tc>
          <w:tcPr>
            <w:tcW w:type="dxa" w:w="1384"/>
          </w:tcPr>
          <w:p>
            <w:pPr>
              <w:pStyle w:val="null3"/>
            </w:pPr>
            <w:r>
              <w:rPr/>
              <w:t>项目</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标的名称：南校区后勤楼维修改造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4"/>
                <w:b/>
              </w:rPr>
              <w:t>陕西理工大学南校区后勤楼维修改造工程</w:t>
            </w:r>
          </w:p>
          <w:p>
            <w:pPr>
              <w:pStyle w:val="null3"/>
              <w:jc w:val="center"/>
            </w:pPr>
            <w:r>
              <w:rPr>
                <w:rFonts w:ascii="仿宋" w:hAnsi="仿宋" w:cs="仿宋" w:eastAsia="仿宋"/>
                <w:sz w:val="24"/>
                <w:b/>
              </w:rPr>
              <w:t>清单编制说明</w:t>
            </w:r>
          </w:p>
          <w:p>
            <w:pPr>
              <w:pStyle w:val="null3"/>
              <w:ind w:firstLine="482"/>
              <w:jc w:val="both"/>
            </w:pPr>
            <w:r>
              <w:rPr>
                <w:rFonts w:ascii="仿宋" w:hAnsi="仿宋" w:cs="仿宋" w:eastAsia="仿宋"/>
                <w:sz w:val="24"/>
                <w:b/>
              </w:rPr>
              <w:t>一、工程概况</w:t>
            </w:r>
            <w:r>
              <w:rPr>
                <w:rFonts w:ascii="仿宋" w:hAnsi="仿宋" w:cs="仿宋" w:eastAsia="仿宋"/>
                <w:sz w:val="24"/>
                <w:b/>
              </w:rPr>
              <w:t>：</w:t>
            </w:r>
          </w:p>
          <w:p>
            <w:pPr>
              <w:pStyle w:val="null3"/>
              <w:ind w:firstLine="480"/>
              <w:jc w:val="both"/>
            </w:pPr>
            <w:r>
              <w:rPr>
                <w:rFonts w:ascii="仿宋" w:hAnsi="仿宋" w:cs="仿宋" w:eastAsia="仿宋"/>
                <w:sz w:val="24"/>
              </w:rPr>
              <w:t>1、</w:t>
            </w:r>
            <w:r>
              <w:rPr>
                <w:rFonts w:ascii="仿宋" w:hAnsi="仿宋" w:cs="仿宋" w:eastAsia="仿宋"/>
                <w:sz w:val="24"/>
              </w:rPr>
              <w:t>本工程</w:t>
            </w:r>
            <w:r>
              <w:rPr>
                <w:rFonts w:ascii="仿宋" w:hAnsi="仿宋" w:cs="仿宋" w:eastAsia="仿宋"/>
                <w:sz w:val="24"/>
              </w:rPr>
              <w:t>位于陕西理工大学南校区内；</w:t>
            </w:r>
          </w:p>
          <w:p>
            <w:pPr>
              <w:pStyle w:val="null3"/>
              <w:ind w:firstLine="480"/>
              <w:jc w:val="left"/>
            </w:pPr>
            <w:r>
              <w:rPr>
                <w:rFonts w:ascii="仿宋" w:hAnsi="仿宋" w:cs="仿宋" w:eastAsia="仿宋"/>
                <w:sz w:val="24"/>
              </w:rPr>
              <w:t>2、</w:t>
            </w:r>
            <w:r>
              <w:rPr>
                <w:rFonts w:ascii="仿宋" w:hAnsi="仿宋" w:cs="仿宋" w:eastAsia="仿宋"/>
                <w:sz w:val="24"/>
              </w:rPr>
              <w:t>建设内容主要为：原后勤办公楼改造装修，建筑面积</w:t>
            </w:r>
            <w:r>
              <w:rPr>
                <w:rFonts w:ascii="仿宋" w:hAnsi="仿宋" w:cs="仿宋" w:eastAsia="仿宋"/>
                <w:sz w:val="24"/>
              </w:rPr>
              <w:t>2200㎡；</w:t>
            </w:r>
            <w:r>
              <w:rPr>
                <w:rFonts w:ascii="仿宋" w:hAnsi="仿宋" w:cs="仿宋" w:eastAsia="仿宋"/>
                <w:sz w:val="24"/>
              </w:rPr>
              <w:t>铲除原室内外墙皮，墙体钢筋网抹灰加固；拆除原木门、防盗护栏、洗手台、老旧线路、灯具、开关、插座，拆除原污水管、砖砌池槽，拆除原屋面防水卷材；新做墙面乳胶漆、地面贴砖、地面铺设塑胶饰面，真石漆外墙面，屋面新做保温及卷材防水，安装成品钢质防盗门；更换电气开关、插座、线路、给排水；新做消防工程，火灾报警系统及室外配套工程等内容。</w:t>
            </w:r>
          </w:p>
          <w:p>
            <w:pPr>
              <w:pStyle w:val="null3"/>
              <w:numPr>
                <w:ilvl w:val="0"/>
                <w:numId w:val="1"/>
              </w:numPr>
              <w:jc w:val="both"/>
            </w:pPr>
            <w:r>
              <w:rPr>
                <w:rFonts w:ascii="仿宋" w:hAnsi="仿宋" w:cs="仿宋" w:eastAsia="仿宋"/>
                <w:sz w:val="24"/>
                <w:b/>
              </w:rPr>
              <w:t>编制依据</w:t>
            </w:r>
            <w:r>
              <w:rPr>
                <w:rFonts w:ascii="仿宋" w:hAnsi="仿宋" w:cs="仿宋" w:eastAsia="仿宋"/>
                <w:sz w:val="24"/>
                <w:b/>
              </w:rPr>
              <w:t>：</w:t>
            </w:r>
          </w:p>
          <w:p>
            <w:pPr>
              <w:pStyle w:val="null3"/>
              <w:ind w:firstLine="480"/>
              <w:jc w:val="both"/>
            </w:pPr>
            <w:r>
              <w:rPr>
                <w:rFonts w:ascii="仿宋" w:hAnsi="仿宋" w:cs="仿宋" w:eastAsia="仿宋"/>
                <w:sz w:val="24"/>
              </w:rPr>
              <w:t>1、《陕西省（2009）建设工程工程量清单计价规则》；</w:t>
            </w:r>
          </w:p>
          <w:p>
            <w:pPr>
              <w:pStyle w:val="null3"/>
              <w:ind w:firstLine="480"/>
              <w:jc w:val="both"/>
            </w:pPr>
            <w:r>
              <w:rPr>
                <w:rFonts w:ascii="仿宋" w:hAnsi="仿宋" w:cs="仿宋" w:eastAsia="仿宋"/>
                <w:sz w:val="24"/>
              </w:rPr>
              <w:t>2、</w:t>
            </w:r>
            <w:r>
              <w:rPr>
                <w:rFonts w:ascii="仿宋" w:hAnsi="仿宋" w:cs="仿宋" w:eastAsia="仿宋"/>
                <w:sz w:val="24"/>
              </w:rPr>
              <w:t>陕西理工大学南校区后勤楼维修改造工程设计图纸</w:t>
            </w:r>
            <w:r>
              <w:rPr>
                <w:rFonts w:ascii="仿宋" w:hAnsi="仿宋" w:cs="仿宋" w:eastAsia="仿宋"/>
                <w:sz w:val="24"/>
              </w:rPr>
              <w:t>。</w:t>
            </w:r>
          </w:p>
          <w:p>
            <w:pPr>
              <w:pStyle w:val="null3"/>
              <w:ind w:firstLine="482"/>
              <w:jc w:val="both"/>
            </w:pPr>
            <w:r>
              <w:rPr>
                <w:rFonts w:ascii="仿宋" w:hAnsi="仿宋" w:cs="仿宋" w:eastAsia="仿宋"/>
                <w:sz w:val="24"/>
                <w:b/>
              </w:rPr>
              <w:t>三</w:t>
            </w:r>
            <w:r>
              <w:rPr>
                <w:rFonts w:ascii="仿宋" w:hAnsi="仿宋" w:cs="仿宋" w:eastAsia="仿宋"/>
                <w:sz w:val="24"/>
                <w:b/>
              </w:rPr>
              <w:t>、有关问题计算说明</w:t>
            </w:r>
            <w:r>
              <w:rPr>
                <w:rFonts w:ascii="仿宋" w:hAnsi="仿宋" w:cs="仿宋" w:eastAsia="仿宋"/>
                <w:sz w:val="24"/>
                <w:b/>
              </w:rPr>
              <w:t>：</w:t>
            </w:r>
          </w:p>
          <w:p>
            <w:pPr>
              <w:pStyle w:val="null3"/>
              <w:ind w:firstLine="480"/>
              <w:jc w:val="both"/>
            </w:pPr>
            <w:r>
              <w:rPr>
                <w:rFonts w:ascii="仿宋" w:hAnsi="仿宋" w:cs="仿宋" w:eastAsia="仿宋"/>
                <w:sz w:val="24"/>
              </w:rPr>
              <w:t>工程暂列金额</w:t>
            </w:r>
            <w:r>
              <w:rPr>
                <w:rFonts w:ascii="仿宋" w:hAnsi="仿宋" w:cs="仿宋" w:eastAsia="仿宋"/>
                <w:sz w:val="24"/>
              </w:rPr>
              <w:t>80000.00元。</w:t>
            </w:r>
          </w:p>
          <w:p>
            <w:pPr>
              <w:pStyle w:val="null3"/>
              <w:ind w:firstLine="482"/>
              <w:jc w:val="both"/>
            </w:pPr>
            <w:r>
              <w:rPr>
                <w:rFonts w:ascii="仿宋" w:hAnsi="仿宋" w:cs="仿宋" w:eastAsia="仿宋"/>
                <w:sz w:val="24"/>
                <w:b/>
              </w:rPr>
              <w:t>四、质</w:t>
            </w:r>
            <w:r>
              <w:rPr>
                <w:rFonts w:ascii="&quot;times new roman&quot;" w:hAnsi="&quot;times new roman&quot;" w:cs="&quot;times new roman&quot;" w:eastAsia="&quot;times new roman&quot;"/>
                <w:sz w:val="21"/>
                <w:b/>
              </w:rPr>
              <w:t xml:space="preserve">  </w:t>
            </w:r>
            <w:r>
              <w:rPr>
                <w:rFonts w:ascii="仿宋" w:hAnsi="仿宋" w:cs="仿宋" w:eastAsia="仿宋"/>
                <w:sz w:val="24"/>
                <w:b/>
              </w:rPr>
              <w:t>量：合</w:t>
            </w:r>
            <w:r>
              <w:rPr>
                <w:rFonts w:ascii="仿宋" w:hAnsi="仿宋" w:cs="仿宋" w:eastAsia="仿宋"/>
                <w:sz w:val="24"/>
                <w:b/>
              </w:rPr>
              <w:t xml:space="preserve">  </w:t>
            </w:r>
            <w:r>
              <w:rPr>
                <w:rFonts w:ascii="仿宋" w:hAnsi="仿宋" w:cs="仿宋" w:eastAsia="仿宋"/>
                <w:sz w:val="24"/>
                <w:b/>
              </w:rPr>
              <w:t>格。</w:t>
            </w:r>
          </w:p>
          <w:p>
            <w:pPr>
              <w:pStyle w:val="null3"/>
              <w:ind w:firstLine="482"/>
              <w:jc w:val="both"/>
            </w:pPr>
            <w:r>
              <w:rPr>
                <w:rFonts w:ascii="仿宋" w:hAnsi="仿宋" w:cs="仿宋" w:eastAsia="仿宋"/>
                <w:sz w:val="24"/>
                <w:b/>
              </w:rPr>
              <w:t>五</w:t>
            </w:r>
            <w:r>
              <w:rPr>
                <w:rFonts w:ascii="仿宋" w:hAnsi="仿宋" w:cs="仿宋" w:eastAsia="仿宋"/>
                <w:sz w:val="24"/>
                <w:b/>
              </w:rPr>
              <w:t>、</w:t>
            </w:r>
            <w:r>
              <w:rPr>
                <w:rFonts w:ascii="仿宋" w:hAnsi="仿宋" w:cs="仿宋" w:eastAsia="仿宋"/>
                <w:sz w:val="24"/>
                <w:b/>
              </w:rPr>
              <w:t>清单</w:t>
            </w:r>
            <w:r>
              <w:rPr>
                <w:rFonts w:ascii="仿宋" w:hAnsi="仿宋" w:cs="仿宋" w:eastAsia="仿宋"/>
                <w:sz w:val="24"/>
                <w:b/>
              </w:rPr>
              <w:t>软件</w:t>
            </w:r>
            <w:r>
              <w:rPr>
                <w:rFonts w:ascii="仿宋" w:hAnsi="仿宋" w:cs="仿宋" w:eastAsia="仿宋"/>
                <w:sz w:val="24"/>
                <w:b/>
              </w:rPr>
              <w:t>：</w:t>
            </w:r>
          </w:p>
          <w:p>
            <w:pPr>
              <w:pStyle w:val="null3"/>
              <w:ind w:firstLine="480"/>
              <w:jc w:val="both"/>
            </w:pPr>
            <w:r>
              <w:rPr>
                <w:rFonts w:ascii="仿宋" w:hAnsi="仿宋" w:cs="仿宋" w:eastAsia="仿宋"/>
                <w:sz w:val="24"/>
              </w:rPr>
              <w:t>广联达云计价</w:t>
            </w:r>
            <w:r>
              <w:rPr>
                <w:rFonts w:ascii="仿宋" w:hAnsi="仿宋" w:cs="仿宋" w:eastAsia="仿宋"/>
                <w:sz w:val="24"/>
              </w:rPr>
              <w:t>GCCP6.4100.23.</w:t>
            </w:r>
            <w:r>
              <w:rPr>
                <w:rFonts w:ascii="仿宋" w:hAnsi="仿宋" w:cs="仿宋" w:eastAsia="仿宋"/>
                <w:sz w:val="24"/>
              </w:rPr>
              <w:t>120。</w:t>
            </w:r>
          </w:p>
          <w:p>
            <w:pPr>
              <w:pStyle w:val="null3"/>
              <w:ind w:firstLine="480"/>
              <w:jc w:val="both"/>
            </w:pPr>
            <w:r>
              <w:rPr/>
              <w:t>工程量清单详见附件。</w:t>
            </w:r>
          </w:p>
          <w:p>
            <w:pPr>
              <w:pStyle w:val="null3"/>
              <w:ind w:firstLine="480"/>
              <w:jc w:val="both"/>
            </w:pPr>
            <w:r>
              <w:rPr/>
              <w:t xml:space="preserve"> </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工艺达到国家级行业现行技术规范标准，符合国家级行业验收合格标准。</w:t>
      </w:r>
    </w:p>
    <w:p>
      <w:pPr>
        <w:pStyle w:val="null3"/>
        <w:ind w:firstLine="480"/>
      </w:pPr>
      <w:r>
        <w:rPr/>
        <w:t>三、针对本项目的其他技术服务要求：</w:t>
      </w:r>
    </w:p>
    <w:p>
      <w:pPr>
        <w:pStyle w:val="null3"/>
      </w:pPr>
      <w:r>
        <w:rPr/>
        <w:t>1、工期：40天 2、建设地点：陕西理工大学南校区。 3、付款方式：工程竣工验收合格，经甲方审计后进行支付，最终支付金额以审计定案金额为准。乙方向甲方提供与合同相符的单位、开户行及银行账号的有效税务发票，甲方按照财务手续，一次性支付工程款。 4、保修期： ①地基基础工程和主体结构工程为设计文件规定的工程合理使用年限； ②防水工程、有防水要求的卫生间、房间和外墙面的防渗为5年； ③装修工程及其他配套工程为3年； 5、投标标价：实行综合单价包干。综合单价在合同执行期间内，综合单价不作任何调整。待完工时，以竣工图纸及甲方签字盖章确认的现场签证为依据，以实际维修翻新工程量进行结算。措施项目费及其他项目费固定不变，包干使用，结算时不予调整。 如最终成交价低于第一次报价，则结算综合单价＝投标文件清单综合单价×（1-二次投标下浮率），二次投标下浮率＝(1-第二次报价/第一次报价)×100% 6、合同价款：固定综合单价，据实结算。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供应商代表</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拟派项目负责人资质和专业要求（项目经理）</w:t>
            </w:r>
          </w:p>
        </w:tc>
        <w:tc>
          <w:tcPr>
            <w:tcW w:type="dxa" w:w="3322"/>
          </w:tcPr>
          <w:p>
            <w:pPr>
              <w:pStyle w:val="null3"/>
            </w:pPr>
            <w:r>
              <w:rPr/>
              <w:t>项目经理需具有建筑工程专业二级及以上注册建造师执业证书及有效的安全生产考核合格证书（B证），须在本单位注册并缴纳社保，并且无在建工程；</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供应商具备建筑工程施工总承包三级及以上资质，并具备有效的安全生产许可证；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信用信息查询记录和证据将同响应文件等资料一同归档保存。</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本项目不接受联合体投标，（投标主体为单一供应商，无需提供证明材料）。</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 磋商报价表</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40天</w:t>
            </w:r>
          </w:p>
        </w:tc>
        <w:tc>
          <w:tcPr>
            <w:tcW w:type="dxa" w:w="1661"/>
          </w:tcPr>
          <w:p>
            <w:pPr>
              <w:pStyle w:val="null3"/>
            </w:pPr>
            <w:r>
              <w:rPr/>
              <w:t>商务及技术要求偏离表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工程竣工验收合格，经甲方审计后进行支付，最终支付金额以审计定案金额为准。乙方向甲方提供与合同相符的单位、开户行及银行账号的有效税务发票，甲方按照财务手续，一次性支付工程款。</w:t>
            </w:r>
          </w:p>
        </w:tc>
        <w:tc>
          <w:tcPr>
            <w:tcW w:type="dxa" w:w="1661"/>
          </w:tcPr>
          <w:p>
            <w:pPr>
              <w:pStyle w:val="null3"/>
            </w:pPr>
            <w:r>
              <w:rPr/>
              <w:t>商务及技术要求偏离表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商务及技术要求偏离表 响应函</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是否足额缴纳</w:t>
            </w:r>
          </w:p>
        </w:tc>
        <w:tc>
          <w:tcPr>
            <w:tcW w:type="dxa" w:w="1661"/>
          </w:tcPr>
          <w:p>
            <w:pPr>
              <w:pStyle w:val="null3"/>
            </w:pPr>
            <w:r>
              <w:rPr/>
              <w:t>资格响应表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整体方案</w:t>
            </w:r>
          </w:p>
        </w:tc>
        <w:tc>
          <w:tcPr>
            <w:tcW w:type="dxa" w:w="2492"/>
          </w:tcPr>
          <w:p>
            <w:pPr>
              <w:pStyle w:val="null3"/>
            </w:pPr>
            <w:r>
              <w:rPr/>
              <w:t>对该项目实施的重点、难点进行分析，对易发生质量通病、易出现安全问题、施工难度大、技术含量高的分项工程等进行说明，并给出施工保障措施和专项技术方案（含主要施工工法、组织措施、检验手段等），对影响本项目的外在因素和可能出现的问题进行分析，并制定相关应急预案或保证措施。1）提供针对本项目维修施工的整体实施方案内容细致、科学合理、具体可操作性强、贴近项目情况得10分；2）整体实施方案内容较细致，合理性高、具有一定的可操作性和针对性得7分；3）整体实施方案内容一般，可操作性、针对性低得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人员配备</w:t>
            </w:r>
          </w:p>
        </w:tc>
        <w:tc>
          <w:tcPr>
            <w:tcW w:type="dxa" w:w="2492"/>
          </w:tcPr>
          <w:p>
            <w:pPr>
              <w:pStyle w:val="null3"/>
            </w:pPr>
            <w:r>
              <w:rPr/>
              <w:t>根据项目人员配置投入情况，项目管理机构人员岗位完整，专业种类齐全，搭配合理，有技术职称的人员比例合理。1）人员组织架构完整，岗位设置合理明确，人员专业性、经验性强，满足采购需求得10分；2）人员组织架构较为完整，岗位设置较合理，人员专业性、经验性较，基本满足采购需求得6分；3）人员组织架构一般，人员岗位设置合理性、专业性、经验性一般，得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设施设备</w:t>
            </w:r>
          </w:p>
        </w:tc>
        <w:tc>
          <w:tcPr>
            <w:tcW w:type="dxa" w:w="2492"/>
          </w:tcPr>
          <w:p>
            <w:pPr>
              <w:pStyle w:val="null3"/>
            </w:pPr>
            <w:r>
              <w:rPr/>
              <w:t>根据本项目实际需求拟投入主要施工设施设备配置。1）配置齐全，完全满足采购需求得6分；2）配置较齐全，基本满足采购需求得3分。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安全管理制度</w:t>
            </w:r>
          </w:p>
        </w:tc>
        <w:tc>
          <w:tcPr>
            <w:tcW w:type="dxa" w:w="2492"/>
          </w:tcPr>
          <w:p>
            <w:pPr>
              <w:pStyle w:val="null3"/>
            </w:pPr>
            <w:r>
              <w:rPr/>
              <w:t>根据本项目实际需求提供的安全管理制度。结合施工环境、特点，分析安全隐患，给出有针对性的安全生产、文明施工、环保施工、防尘降噪等保证措施。1）安全管理制度详细完善，科学合理、可操作性强得6分；2）安全管理制度较完善，可操作性较强得3分；3）安全管理制度，可操作性低得1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切实可行的总体质量控制目标，且对质量控制目标进行合理分解、规划，给出有针对性分段施工方案及其编制依据，确保本项目质量标准符合相关标准，根据本项目实际需要提供质量保证措施。1）内容完备、科学、合理、针对性措施详细，满足采购需求得6分；2）内容较完整、有一定针对性，基本满足采购需求得3分；3）内容粗略得1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进度计划</w:t>
            </w:r>
          </w:p>
        </w:tc>
        <w:tc>
          <w:tcPr>
            <w:tcW w:type="dxa" w:w="2492"/>
          </w:tcPr>
          <w:p>
            <w:pPr>
              <w:pStyle w:val="null3"/>
            </w:pPr>
            <w:r>
              <w:rPr/>
              <w:t>分析本项目进度目标的关键节点，同时针对关键节点、复杂环节重点提出相应技术措施，有整体进度安排（施工进度表或施工网络图）及各阶段进度保证措施。1）内容完备、科学合理、计划可行，有明确时间节点得6分； 2）内容基本完整、计划基本合理，有较明确的时间节点得3分； 3）内容粗略、无进度安排得1分。未提供不得分。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施工方案、人员表及供应商认为有必要提供的其他内容</w:t>
            </w:r>
          </w:p>
        </w:tc>
      </w:tr>
      <w:tr>
        <w:tc>
          <w:tcPr>
            <w:tcW w:type="dxa" w:w="831"/>
            <w:vMerge/>
          </w:tcPr>
          <w:p/>
        </w:tc>
        <w:tc>
          <w:tcPr>
            <w:tcW w:type="dxa" w:w="1661"/>
          </w:tcPr>
          <w:p>
            <w:pPr>
              <w:pStyle w:val="null3"/>
            </w:pPr>
            <w:r>
              <w:rPr/>
              <w:t>主要材料</w:t>
            </w:r>
          </w:p>
        </w:tc>
        <w:tc>
          <w:tcPr>
            <w:tcW w:type="dxa" w:w="2492"/>
          </w:tcPr>
          <w:p>
            <w:pPr>
              <w:pStyle w:val="null3"/>
            </w:pPr>
            <w:r>
              <w:rPr/>
              <w:t>供应商针对本项目提供项目的主材清单（清单内容包括但不限于材料名称、品牌、规格、材质等），主材清单完整齐全，主要材料性能有保证（提供检测报告等相关证明材料）。 1）提供的主材清单完整齐全，主要材料性能有保证，能提供检测报告及产品合法来源渠道证明材料等相关资料，计10分； 2）提供的主要材料性能一般，提供检测报告及产品合法来源渠道证明材料等相关资料较少，计7分； 3）提供的主要材料性能档次较低，提供检测报告及产品合法来源渠道证明材料等相关资料不能证明主材质量，计4分。未提供不得分。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施工方案、人员表及供应商认为有必要提供的其他内容</w:t>
            </w:r>
          </w:p>
        </w:tc>
      </w:tr>
      <w:tr>
        <w:tc>
          <w:tcPr>
            <w:tcW w:type="dxa" w:w="831"/>
            <w:vMerge/>
          </w:tcPr>
          <w:p/>
        </w:tc>
        <w:tc>
          <w:tcPr>
            <w:tcW w:type="dxa" w:w="1661"/>
          </w:tcPr>
          <w:p>
            <w:pPr>
              <w:pStyle w:val="null3"/>
            </w:pPr>
            <w:r>
              <w:rPr/>
              <w:t>节能环保产品</w:t>
            </w:r>
          </w:p>
        </w:tc>
        <w:tc>
          <w:tcPr>
            <w:tcW w:type="dxa" w:w="2492"/>
          </w:tcPr>
          <w:p>
            <w:pPr>
              <w:pStyle w:val="null3"/>
            </w:pPr>
            <w:r>
              <w:rPr/>
              <w:t>如响应材料为节能环保（非强制性）、环境标志产品，提供相关证明材料，每提供1份计1分，满分6分。（注：节能环保、环境标志产品以经国家确定的认证机构出具的、处于有效期内的节能产品、环境标志产品认证证书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强制优先采购产品承诺函</w:t>
            </w:r>
          </w:p>
          <w:p>
            <w:pPr>
              <w:pStyle w:val="null3"/>
            </w:pPr>
            <w:r>
              <w:rPr/>
              <w:t>施工方案、人员表及供应商认为有必要提供的其他内容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供应商须提供2021年1月1日至今（以合同签订日期为准）同类（由于本项目含结构加固工程，业绩的工程内容至少包含结构工程等内容等）项目业绩，每提供一份得2分，满分10分（以加盖公章的合同复印件为准）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 求且最终磋商价格最低的报价为评标基准价，其价格分为满分。其他供应商的价格分统一按照下列公式计算：报价得分=(评标基准价／最终磋商报价)×30%×100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详见附件：商务及技术要求偏离表</w:t>
      </w:r>
    </w:p>
    <w:p>
      <w:pPr>
        <w:pStyle w:val="null3"/>
        <w:ind w:firstLine="960"/>
      </w:pPr>
      <w:r>
        <w:rPr/>
        <w:t>详见附件：施工方案、人员表及供应商认为有必要提供的其他内容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详见附件：磋商报价表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