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主要材料、设备品牌及规格型号表</w:t>
      </w:r>
    </w:p>
    <w:tbl>
      <w:tblPr>
        <w:tblStyle w:val="5"/>
        <w:tblW w:w="841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2"/>
        <w:gridCol w:w="2440"/>
        <w:gridCol w:w="2190"/>
        <w:gridCol w:w="1925"/>
        <w:gridCol w:w="106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主材名称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仿宋" w:hAnsi="仿宋" w:eastAsia="仿宋" w:cs="仿宋"/>
          <w:b/>
          <w:bCs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  <w:lang w:val="en-US" w:eastAsia="zh-CN"/>
        </w:rPr>
        <w:t>注：供应商根据磋商文件“第三章 磋商项目技术、服务、商务及其他要求”及供应商自身情况，对本项目建设过程中拟投入的材料和设备的名称、品牌、规格型号如实填写。</w:t>
      </w:r>
    </w:p>
    <w:p>
      <w:pPr>
        <w:pStyle w:val="3"/>
        <w:rPr>
          <w:rFonts w:hint="eastAsia"/>
          <w:lang w:val="en-US" w:eastAsia="zh-Hans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eastAsia="仿宋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18B45C0A"/>
    <w:rsid w:val="258D6F83"/>
    <w:rsid w:val="4B0E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3">
    <w:name w:val="Body Text"/>
    <w:basedOn w:val="1"/>
    <w:next w:val="1"/>
    <w:qFormat/>
    <w:uiPriority w:val="0"/>
    <w:pPr>
      <w:widowControl w:val="0"/>
      <w:jc w:val="left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94</Characters>
  <Lines>0</Lines>
  <Paragraphs>0</Paragraphs>
  <TotalTime>0</TotalTime>
  <ScaleCrop>false</ScaleCrop>
  <LinksUpToDate>false</LinksUpToDate>
  <CharactersWithSpaces>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2024-05-30T08:08:00Z</dcterms:created>
  <dc:creator>Administrator</dc:creator>
  <cp:lastModifiedBy>连杰</cp:lastModifiedBy>
  <dcterms:modified xsi:type="dcterms:W3CDTF">2024-05-31T08:37:19Z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E743FCE7346D4BA19406ACCFA112E6DB_12</vt:lpwstr>
  </property>
</Properties>
</file>