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仿宋" w:hAnsi="仿宋" w:eastAsia="仿宋"/>
        </w:rPr>
      </w:pPr>
      <w:bookmarkStart w:id="0" w:name="_Toc85019468"/>
      <w:bookmarkStart w:id="1" w:name="_Toc102769683"/>
      <w:bookmarkStart w:id="2" w:name="_Toc27391"/>
      <w:bookmarkStart w:id="31" w:name="_GoBack"/>
      <w:bookmarkEnd w:id="31"/>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711599"/>
      <w:bookmarkStart w:id="4" w:name="_Toc497712147"/>
      <w:bookmarkStart w:id="5" w:name="_Toc233435994"/>
      <w:bookmarkStart w:id="6" w:name="_Toc497551834"/>
      <w:bookmarkStart w:id="7" w:name="_Toc492955473"/>
      <w:bookmarkStart w:id="8" w:name="_Toc497546932"/>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2、具有良好的商业信誉和健全的财务会计制度（提供2022年度或2023年度财务审计报告或开标前近12个月内的银行资信证明或财政部门认可的政府采购专业担保机构出具的投标担保函）；</w:t>
      </w:r>
    </w:p>
    <w:p>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pPr>
        <w:spacing w:line="360" w:lineRule="auto"/>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4、具有依法缴纳税收和社会保障资金的良好记录（同时提供投标截止时间前12个月内缴存的任意时段的社保及税收缴纳证明；依法不需要缴纳的应提供相关证明文件)；</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rPr>
      </w:pPr>
      <w:bookmarkStart w:id="9" w:name="_Toc85019469"/>
      <w:r>
        <w:rPr>
          <w:rFonts w:hint="eastAsia" w:ascii="仿宋" w:hAnsi="仿宋" w:eastAsia="仿宋" w:cs="仿宋"/>
          <w:sz w:val="24"/>
          <w:szCs w:val="24"/>
        </w:rPr>
        <w:t>1、法定代表人授权代表参加投标的，须出具法定代表人授权书及授权代表身份证（法定代表人直接参加投标的，须出具法定代表人身份证）；</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供应商应具有中华人民共和国考古发掘资质证书；</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项目负责人应具有国家文物局颁发的考古发掘领队资格证或考古发掘项目负责人资质证书；</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pPr>
        <w:widowControl/>
        <w:jc w:val="left"/>
        <w:rPr>
          <w:rFonts w:ascii="仿宋" w:hAnsi="仿宋" w:eastAsia="仿宋"/>
          <w:kern w:val="1"/>
          <w:sz w:val="24"/>
        </w:rPr>
      </w:pPr>
      <w:r>
        <w:rPr>
          <w:rFonts w:ascii="仿宋" w:hAnsi="仿宋" w:eastAsia="仿宋"/>
          <w:kern w:val="1"/>
        </w:rPr>
        <w:br w:type="page"/>
      </w:r>
    </w:p>
    <w:bookmarkEnd w:id="9"/>
    <w:p>
      <w:pPr>
        <w:pStyle w:val="3"/>
        <w:spacing w:line="240" w:lineRule="auto"/>
        <w:rPr>
          <w:rFonts w:ascii="仿宋" w:hAnsi="仿宋" w:eastAsia="仿宋"/>
          <w:bCs/>
          <w:iCs/>
          <w:sz w:val="24"/>
          <w:szCs w:val="24"/>
        </w:rPr>
      </w:pPr>
      <w:bookmarkStart w:id="10" w:name="_Toc105617039"/>
      <w:bookmarkStart w:id="11" w:name="_Toc27116"/>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hint="eastAsia" w:ascii="仿宋" w:hAnsi="仿宋" w:eastAsia="仿宋" w:cs="Times New Roman"/>
          <w:b/>
          <w:bCs w:val="0"/>
          <w:iCs/>
          <w:sz w:val="24"/>
          <w:szCs w:val="24"/>
        </w:rPr>
      </w:pPr>
      <w:bookmarkStart w:id="12" w:name="_Toc102769686"/>
      <w:bookmarkStart w:id="13" w:name="_Toc85019471"/>
      <w:bookmarkStart w:id="14" w:name="_Toc428"/>
      <w:r>
        <w:rPr>
          <w:rFonts w:hint="eastAsia" w:ascii="仿宋" w:hAnsi="仿宋" w:eastAsia="仿宋" w:cs="Times New Roman"/>
          <w:b/>
          <w:bCs w:val="0"/>
          <w:iCs/>
          <w:sz w:val="24"/>
          <w:szCs w:val="24"/>
        </w:rPr>
        <w:t>具有良好的商业信誉和健全的财务会计制度（提供2022年度或2023年度财务审计报告或开标前近12个月内的银行资信证明或财政部门认可的政府采购专业担保机构出具的投标担保函）；</w:t>
      </w:r>
    </w:p>
    <w:p>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r>
        <w:rPr>
          <w:rFonts w:hint="eastAsia" w:ascii="仿宋" w:hAnsi="仿宋" w:eastAsia="仿宋" w:cs="仿宋"/>
          <w:color w:val="auto"/>
          <w:sz w:val="24"/>
          <w:szCs w:val="22"/>
          <w:highlight w:val="none"/>
          <w:lang w:eastAsia="zh-CN"/>
        </w:rPr>
        <w:t>2022年度或2023年度</w:t>
      </w:r>
      <w:r>
        <w:rPr>
          <w:rFonts w:hint="eastAsia" w:ascii="仿宋" w:hAnsi="仿宋" w:eastAsia="仿宋" w:cs="仿宋"/>
          <w:color w:val="auto"/>
          <w:sz w:val="24"/>
          <w:szCs w:val="22"/>
          <w:highlight w:val="none"/>
        </w:rPr>
        <w:t>经审计的财务报告或提供投标截止日期前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pPr>
        <w:bidi w:val="0"/>
        <w:rPr>
          <w:rFonts w:ascii="仿宋" w:hAnsi="仿宋" w:eastAsia="仿宋"/>
          <w:bCs/>
          <w:iCs/>
          <w:szCs w:val="24"/>
        </w:rPr>
      </w:pPr>
      <w:r>
        <w:br w:type="page"/>
      </w:r>
    </w:p>
    <w:p>
      <w:pPr>
        <w:pStyle w:val="3"/>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4"/>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4"/>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numPr>
          <w:ilvl w:val="0"/>
          <w:numId w:val="0"/>
        </w:numPr>
        <w:spacing w:line="360" w:lineRule="auto"/>
        <w:rPr>
          <w:rFonts w:hint="eastAsia" w:ascii="仿宋" w:hAnsi="仿宋" w:eastAsia="仿宋"/>
          <w:b/>
          <w:bCs w:val="0"/>
          <w:iCs/>
          <w:sz w:val="24"/>
          <w:szCs w:val="24"/>
        </w:rPr>
      </w:pPr>
      <w:bookmarkStart w:id="17" w:name="_Toc85019473"/>
      <w:bookmarkStart w:id="18" w:name="_Toc85019472"/>
      <w:r>
        <w:rPr>
          <w:rFonts w:hint="eastAsia" w:ascii="仿宋" w:hAnsi="仿宋" w:eastAsia="仿宋"/>
          <w:b/>
          <w:bCs w:val="0"/>
          <w:iCs/>
          <w:sz w:val="24"/>
          <w:szCs w:val="24"/>
        </w:rPr>
        <w:t>具有依法缴纳税收和社会保障资金的良好记录（同时提供投标截止时间前12个月内缴存的任意时段的社保及税收缴纳证明；依法不需要缴纳的应提供相关证明文件)；</w:t>
      </w:r>
    </w:p>
    <w:p>
      <w:pPr>
        <w:numPr>
          <w:ilvl w:val="0"/>
          <w:numId w:val="0"/>
        </w:num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2"/>
          <w:sz w:val="24"/>
          <w:szCs w:val="22"/>
          <w:lang w:val="en-US" w:eastAsia="zh-CN" w:bidi="ar-SA"/>
        </w:rPr>
        <w:t>1、</w:t>
      </w:r>
      <w:r>
        <w:rPr>
          <w:rFonts w:hint="eastAsia" w:ascii="仿宋" w:hAnsi="仿宋" w:eastAsia="仿宋" w:cs="仿宋"/>
          <w:color w:val="auto"/>
          <w:sz w:val="24"/>
          <w:szCs w:val="22"/>
          <w:highlight w:val="none"/>
        </w:rPr>
        <w:t>供应商须依法缴纳社会保障资金，须提供截止开标日期前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个月内任意1个月的社会保障资金缴纳证明复印件并加盖供应商单位公章，自行编写无效。</w:t>
      </w:r>
    </w:p>
    <w:p>
      <w:pPr>
        <w:numPr>
          <w:ilvl w:val="0"/>
          <w:numId w:val="0"/>
        </w:numPr>
        <w:spacing w:line="360" w:lineRule="auto"/>
        <w:rPr>
          <w:rFonts w:hint="eastAsia" w:ascii="仿宋" w:hAnsi="仿宋" w:eastAsia="仿宋" w:cs="仿宋"/>
          <w:b/>
          <w:bCs/>
          <w:color w:val="auto"/>
          <w:sz w:val="24"/>
          <w:szCs w:val="22"/>
          <w:highlight w:val="none"/>
          <w:lang w:eastAsia="zh-CN"/>
        </w:rPr>
      </w:pPr>
      <w:r>
        <w:rPr>
          <w:rFonts w:hint="eastAsia" w:ascii="仿宋" w:hAnsi="仿宋" w:eastAsia="仿宋" w:cs="仿宋"/>
          <w:color w:val="auto"/>
          <w:sz w:val="24"/>
          <w:szCs w:val="22"/>
          <w:highlight w:val="none"/>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color w:val="auto"/>
          <w:sz w:val="24"/>
          <w:szCs w:val="22"/>
          <w:highlight w:val="none"/>
          <w:lang w:eastAsia="zh-CN"/>
        </w:rPr>
        <w:t>。</w:t>
      </w:r>
    </w:p>
    <w:p>
      <w:pPr>
        <w:spacing w:line="360" w:lineRule="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rPr>
        <w:t>3、供应商须依法缴纳</w:t>
      </w:r>
      <w:r>
        <w:rPr>
          <w:rFonts w:hint="eastAsia" w:ascii="仿宋" w:hAnsi="仿宋" w:eastAsia="仿宋" w:cs="仿宋"/>
          <w:color w:val="auto"/>
          <w:sz w:val="24"/>
          <w:szCs w:val="22"/>
          <w:highlight w:val="none"/>
          <w:lang w:eastAsia="zh-CN"/>
        </w:rPr>
        <w:t>税收</w:t>
      </w:r>
      <w:r>
        <w:rPr>
          <w:rFonts w:hint="eastAsia" w:ascii="仿宋" w:hAnsi="仿宋" w:eastAsia="仿宋" w:cs="仿宋"/>
          <w:color w:val="auto"/>
          <w:sz w:val="24"/>
          <w:szCs w:val="22"/>
          <w:highlight w:val="none"/>
        </w:rPr>
        <w:t>，须提供截止开标日期前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个月内任意1个月的依法缴纳税收证明。</w:t>
      </w:r>
    </w:p>
    <w:p>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4、国家、地方工商管理部门或者其他相关管理部门对企业纳税有特别规定的，须提供相关政策性文件复印件和供应商满足政策文件规定的证明文件。</w:t>
      </w:r>
    </w:p>
    <w:p>
      <w:pPr>
        <w:rPr>
          <w:rFonts w:ascii="仿宋" w:hAnsi="仿宋" w:eastAsia="仿宋"/>
        </w:rPr>
      </w:pPr>
    </w:p>
    <w:bookmarkEnd w:id="17"/>
    <w:p>
      <w:pPr>
        <w:pStyle w:val="3"/>
        <w:spacing w:line="240" w:lineRule="auto"/>
        <w:rPr>
          <w:rFonts w:ascii="仿宋" w:hAnsi="仿宋" w:eastAsia="仿宋"/>
          <w:b w:val="0"/>
          <w:bCs/>
          <w:iCs/>
          <w:sz w:val="24"/>
          <w:szCs w:val="24"/>
        </w:rPr>
      </w:pPr>
      <w:r>
        <w:rPr>
          <w:rFonts w:ascii="仿宋" w:hAnsi="仿宋" w:eastAsia="仿宋"/>
        </w:rPr>
        <w:br w:type="page"/>
      </w:r>
      <w:bookmarkEnd w:id="18"/>
      <w:bookmarkStart w:id="19" w:name="_Toc105617044"/>
      <w:bookmarkStart w:id="20" w:name="_Toc6131"/>
      <w:r>
        <w:rPr>
          <w:rFonts w:hint="eastAsia" w:ascii="仿宋" w:hAnsi="仿宋" w:eastAsia="仿宋"/>
          <w:b/>
          <w:bCs w:val="0"/>
          <w:iCs/>
          <w:sz w:val="24"/>
          <w:szCs w:val="24"/>
        </w:rPr>
        <w:t>参加政府采购活动前三年内，在经营活动中没有重大违法记录</w:t>
      </w:r>
      <w:bookmarkEnd w:id="19"/>
      <w:bookmarkEnd w:id="20"/>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西安市文物保护考古研究院</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3"/>
        <w:spacing w:line="240" w:lineRule="auto"/>
        <w:rPr>
          <w:rFonts w:hint="eastAsia" w:ascii="仿宋" w:hAnsi="仿宋" w:eastAsia="仿宋" w:cs="仿宋"/>
          <w:color w:val="auto"/>
          <w:sz w:val="24"/>
          <w:highlight w:val="none"/>
        </w:rPr>
      </w:pPr>
      <w:bookmarkStart w:id="21" w:name="_Toc29613"/>
      <w:bookmarkStart w:id="22" w:name="_Toc24586"/>
      <w:bookmarkStart w:id="23" w:name="_Toc30207"/>
      <w:bookmarkStart w:id="24" w:name="_Toc26893"/>
      <w:bookmarkStart w:id="25" w:name="_Toc560"/>
      <w:bookmarkStart w:id="26" w:name="_Toc32340"/>
      <w:bookmarkStart w:id="27" w:name="_Toc5365"/>
      <w:bookmarkStart w:id="28" w:name="_Toc7540"/>
      <w:r>
        <w:rPr>
          <w:rFonts w:hint="eastAsia" w:ascii="仿宋" w:hAnsi="仿宋" w:eastAsia="仿宋" w:cs="仿宋"/>
          <w:color w:val="auto"/>
          <w:sz w:val="24"/>
          <w:szCs w:val="24"/>
          <w:highlight w:val="none"/>
        </w:rPr>
        <w:t>法定代表人授权委托书</w:t>
      </w:r>
      <w:bookmarkEnd w:id="21"/>
      <w:bookmarkEnd w:id="22"/>
      <w:bookmarkEnd w:id="23"/>
      <w:bookmarkEnd w:id="24"/>
      <w:bookmarkEnd w:id="25"/>
      <w:bookmarkEnd w:id="26"/>
      <w:bookmarkEnd w:id="27"/>
      <w:bookmarkEnd w:id="28"/>
    </w:p>
    <w:p>
      <w:pPr>
        <w:tabs>
          <w:tab w:val="left" w:pos="8820"/>
        </w:tabs>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本授权委托书声明：我</w:t>
      </w:r>
      <w:r>
        <w:rPr>
          <w:rFonts w:hint="eastAsia" w:ascii="仿宋" w:hAnsi="仿宋" w:eastAsia="仿宋" w:cs="仿宋"/>
          <w:color w:val="auto"/>
          <w:sz w:val="24"/>
          <w:highlight w:val="none"/>
          <w:u w:val="single"/>
        </w:rPr>
        <w:t>（法定代表人姓名）</w:t>
      </w:r>
      <w:r>
        <w:rPr>
          <w:rFonts w:hint="eastAsia" w:ascii="仿宋" w:hAnsi="仿宋" w:eastAsia="仿宋" w:cs="仿宋"/>
          <w:color w:val="auto"/>
          <w:sz w:val="24"/>
          <w:highlight w:val="none"/>
        </w:rPr>
        <w:t>系注册于</w:t>
      </w:r>
      <w:r>
        <w:rPr>
          <w:rFonts w:hint="eastAsia" w:ascii="仿宋" w:hAnsi="仿宋" w:eastAsia="仿宋" w:cs="仿宋"/>
          <w:color w:val="auto"/>
          <w:sz w:val="24"/>
          <w:highlight w:val="none"/>
          <w:u w:val="single"/>
        </w:rPr>
        <w:t xml:space="preserve">  （供应商地址）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（供应商名称）</w:t>
      </w:r>
      <w:r>
        <w:rPr>
          <w:rFonts w:hint="eastAsia" w:ascii="仿宋" w:hAnsi="仿宋" w:eastAsia="仿宋" w:cs="仿宋"/>
          <w:color w:val="auto"/>
          <w:sz w:val="24"/>
          <w:highlight w:val="none"/>
        </w:rPr>
        <w:t>的法定代表人，现代表公司授权下面签字的</w:t>
      </w:r>
      <w:r>
        <w:rPr>
          <w:rFonts w:hint="eastAsia" w:ascii="仿宋" w:hAnsi="仿宋" w:eastAsia="仿宋" w:cs="仿宋"/>
          <w:color w:val="auto"/>
          <w:sz w:val="24"/>
          <w:highlight w:val="none"/>
          <w:u w:val="single"/>
        </w:rPr>
        <w:t>（被授权人的姓名、职务）</w:t>
      </w:r>
      <w:r>
        <w:rPr>
          <w:rFonts w:hint="eastAsia" w:ascii="仿宋" w:hAnsi="仿宋" w:eastAsia="仿宋" w:cs="仿宋"/>
          <w:color w:val="auto"/>
          <w:sz w:val="24"/>
          <w:highlight w:val="none"/>
        </w:rPr>
        <w:t>为我公司合法代理人，代表本公司参加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lang w:eastAsia="zh-CN"/>
        </w:rPr>
        <w:t>项目编号</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本授权有效期：自投标截止之日起90日历天；特此声明。</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pPr>
              <w:spacing w:line="360" w:lineRule="auto"/>
              <w:rPr>
                <w:rFonts w:hint="eastAsia" w:ascii="仿宋" w:hAnsi="仿宋" w:eastAsia="仿宋" w:cs="仿宋"/>
                <w:color w:val="auto"/>
                <w:sz w:val="24"/>
                <w:highlight w:val="none"/>
              </w:rPr>
            </w:pPr>
          </w:p>
          <w:p>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pPr>
              <w:spacing w:line="360" w:lineRule="auto"/>
              <w:jc w:val="center"/>
              <w:rPr>
                <w:rFonts w:hint="eastAsia" w:ascii="仿宋" w:hAnsi="仿宋" w:eastAsia="仿宋" w:cs="仿宋"/>
                <w:color w:val="auto"/>
                <w:sz w:val="24"/>
                <w:highlight w:val="none"/>
              </w:rPr>
            </w:pPr>
          </w:p>
        </w:tc>
        <w:tc>
          <w:tcPr>
            <w:tcW w:w="4502" w:type="dxa"/>
            <w:tcBorders>
              <w:bottom w:val="dashed" w:color="auto" w:sz="4" w:space="0"/>
            </w:tcBorders>
            <w:noWrap w:val="0"/>
            <w:vAlign w:val="top"/>
          </w:tcPr>
          <w:p>
            <w:pPr>
              <w:spacing w:line="360" w:lineRule="auto"/>
              <w:rPr>
                <w:rFonts w:hint="eastAsia" w:ascii="仿宋" w:hAnsi="仿宋" w:eastAsia="仿宋" w:cs="仿宋"/>
                <w:color w:val="auto"/>
                <w:sz w:val="24"/>
                <w:highlight w:val="none"/>
              </w:rPr>
            </w:pPr>
          </w:p>
          <w:p>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pPr>
              <w:spacing w:line="360" w:lineRule="auto"/>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pPr>
              <w:spacing w:line="360" w:lineRule="auto"/>
              <w:jc w:val="center"/>
              <w:rPr>
                <w:rFonts w:hint="eastAsia" w:ascii="仿宋" w:hAnsi="仿宋" w:eastAsia="仿宋" w:cs="仿宋"/>
                <w:color w:val="auto"/>
                <w:sz w:val="24"/>
                <w:highlight w:val="none"/>
              </w:rPr>
            </w:pPr>
          </w:p>
          <w:p>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pPr>
              <w:spacing w:line="360" w:lineRule="auto"/>
              <w:jc w:val="center"/>
              <w:rPr>
                <w:rFonts w:hint="eastAsia" w:ascii="仿宋" w:hAnsi="仿宋" w:eastAsia="仿宋" w:cs="仿宋"/>
                <w:color w:val="auto"/>
                <w:sz w:val="24"/>
                <w:highlight w:val="none"/>
              </w:rPr>
            </w:pPr>
          </w:p>
        </w:tc>
        <w:tc>
          <w:tcPr>
            <w:tcW w:w="4502" w:type="dxa"/>
            <w:tcBorders>
              <w:top w:val="dashed" w:color="auto" w:sz="4" w:space="0"/>
            </w:tcBorders>
            <w:noWrap w:val="0"/>
            <w:vAlign w:val="top"/>
          </w:tcPr>
          <w:p>
            <w:pPr>
              <w:spacing w:line="360" w:lineRule="auto"/>
              <w:jc w:val="center"/>
              <w:rPr>
                <w:rFonts w:hint="eastAsia" w:ascii="仿宋" w:hAnsi="仿宋" w:eastAsia="仿宋" w:cs="仿宋"/>
                <w:color w:val="auto"/>
                <w:sz w:val="24"/>
                <w:highlight w:val="none"/>
              </w:rPr>
            </w:pPr>
          </w:p>
          <w:p>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pPr>
              <w:spacing w:line="360" w:lineRule="auto"/>
              <w:jc w:val="center"/>
              <w:rPr>
                <w:rFonts w:hint="eastAsia" w:ascii="仿宋" w:hAnsi="仿宋" w:eastAsia="仿宋" w:cs="仿宋"/>
                <w:color w:val="auto"/>
                <w:sz w:val="24"/>
                <w:highlight w:val="none"/>
              </w:rPr>
            </w:pPr>
          </w:p>
        </w:tc>
      </w:tr>
    </w:tbl>
    <w:p>
      <w:pPr>
        <w:spacing w:line="360" w:lineRule="auto"/>
        <w:rPr>
          <w:rFonts w:hint="eastAsia" w:ascii="仿宋" w:hAnsi="仿宋" w:eastAsia="仿宋" w:cs="仿宋"/>
          <w:color w:val="auto"/>
          <w:sz w:val="24"/>
          <w:highlight w:val="none"/>
        </w:rPr>
      </w:pPr>
    </w:p>
    <w:p>
      <w:pPr>
        <w:spacing w:line="360" w:lineRule="auto"/>
        <w:jc w:val="righ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w:t>
      </w:r>
      <w:r>
        <w:rPr>
          <w:rFonts w:hint="eastAsia" w:ascii="仿宋" w:hAnsi="仿宋" w:eastAsia="仿宋" w:cs="仿宋"/>
          <w:b/>
          <w:bCs/>
          <w:color w:val="auto"/>
          <w:sz w:val="24"/>
          <w:highlight w:val="none"/>
          <w:u w:val="single"/>
        </w:rPr>
        <w:t xml:space="preserve">                  （签字或盖章）</w:t>
      </w:r>
    </w:p>
    <w:p>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授权代理人（被授权人）：</w:t>
      </w:r>
      <w:r>
        <w:rPr>
          <w:rFonts w:hint="eastAsia" w:ascii="仿宋" w:hAnsi="仿宋" w:eastAsia="仿宋" w:cs="仿宋"/>
          <w:b/>
          <w:bCs/>
          <w:color w:val="auto"/>
          <w:sz w:val="24"/>
          <w:highlight w:val="none"/>
          <w:u w:val="single"/>
        </w:rPr>
        <w:t xml:space="preserve">            （签字）</w:t>
      </w:r>
    </w:p>
    <w:p>
      <w:pPr>
        <w:spacing w:line="360" w:lineRule="auto"/>
        <w:ind w:firstLine="3132" w:firstLineChars="13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pPr>
        <w:pStyle w:val="4"/>
        <w:rPr>
          <w:rFonts w:ascii="仿宋" w:hAnsi="仿宋" w:eastAsia="仿宋"/>
        </w:rPr>
      </w:pPr>
      <w:r>
        <w:rPr>
          <w:rFonts w:ascii="仿宋" w:hAnsi="仿宋" w:eastAsia="仿宋"/>
        </w:rPr>
        <w:br w:type="page"/>
      </w:r>
    </w:p>
    <w:p>
      <w:pPr>
        <w:pStyle w:val="3"/>
        <w:spacing w:line="360" w:lineRule="auto"/>
        <w:rPr>
          <w:rFonts w:hint="eastAsia" w:ascii="仿宋" w:hAnsi="仿宋" w:eastAsia="仿宋" w:cs="仿宋"/>
          <w:b/>
          <w:color w:val="auto"/>
          <w:kern w:val="2"/>
          <w:sz w:val="24"/>
          <w:szCs w:val="24"/>
          <w:highlight w:val="none"/>
          <w:lang w:val="en-US" w:eastAsia="zh-CN" w:bidi="ar-SA"/>
        </w:rPr>
      </w:pPr>
      <w:bookmarkStart w:id="29" w:name="_Toc22607"/>
      <w:bookmarkStart w:id="30" w:name="_Toc105617047"/>
      <w:r>
        <w:rPr>
          <w:rFonts w:hint="eastAsia" w:ascii="仿宋" w:hAnsi="仿宋" w:eastAsia="仿宋" w:cs="仿宋"/>
          <w:b/>
          <w:color w:val="auto"/>
          <w:kern w:val="2"/>
          <w:sz w:val="24"/>
          <w:szCs w:val="24"/>
          <w:highlight w:val="none"/>
          <w:lang w:val="en-US" w:eastAsia="zh-CN" w:bidi="ar-SA"/>
        </w:rPr>
        <w:t>供应商应具有中华人民共和国考古发掘资质证书</w:t>
      </w:r>
    </w:p>
    <w:p>
      <w:pPr>
        <w:pStyle w:val="3"/>
        <w:spacing w:line="360" w:lineRule="auto"/>
        <w:rPr>
          <w:rFonts w:hint="eastAsia" w:ascii="仿宋" w:hAnsi="仿宋" w:eastAsia="仿宋" w:cs="仿宋"/>
          <w:color w:val="auto"/>
          <w:highlight w:val="none"/>
        </w:rPr>
      </w:pPr>
      <w:r>
        <w:rPr>
          <w:rFonts w:hint="eastAsia" w:ascii="仿宋" w:hAnsi="仿宋" w:eastAsia="仿宋" w:cs="仿宋"/>
          <w:b/>
          <w:color w:val="auto"/>
          <w:kern w:val="2"/>
          <w:sz w:val="24"/>
          <w:szCs w:val="24"/>
          <w:highlight w:val="none"/>
          <w:lang w:val="en-US" w:eastAsia="zh-CN" w:bidi="ar-SA"/>
        </w:rPr>
        <w:br w:type="page"/>
      </w:r>
      <w:r>
        <w:rPr>
          <w:rFonts w:hint="eastAsia" w:ascii="仿宋" w:hAnsi="仿宋" w:eastAsia="仿宋" w:cs="仿宋"/>
          <w:b/>
          <w:color w:val="auto"/>
          <w:kern w:val="2"/>
          <w:sz w:val="24"/>
          <w:szCs w:val="24"/>
          <w:highlight w:val="none"/>
          <w:lang w:val="en-US" w:eastAsia="zh-CN" w:bidi="ar-SA"/>
        </w:rPr>
        <w:t>项目负责人应具有国家文物局颁发的考古发掘领队资格证或考古发掘项目负责人资质证书</w:t>
      </w:r>
    </w:p>
    <w:p>
      <w:pPr>
        <w:bidi w:val="0"/>
        <w:rPr>
          <w:rFonts w:hint="eastAsia"/>
        </w:rPr>
      </w:pP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9"/>
      <w:bookmarkEnd w:id="30"/>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西安市文物保护考古研究院</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4"/>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4"/>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4"/>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4"/>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86F273F"/>
    <w:rsid w:val="124F1F2D"/>
    <w:rsid w:val="486F273F"/>
    <w:rsid w:val="5E177C0A"/>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1799</Words>
  <Characters>1824</Characters>
  <Lines>0</Lines>
  <Paragraphs>0</Paragraphs>
  <TotalTime>0</TotalTime>
  <ScaleCrop>false</ScaleCrop>
  <LinksUpToDate>false</LinksUpToDate>
  <CharactersWithSpaces>2454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2024-04-28T08:40:41Z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F8A8DF1BFD67441683E2C28521FEE55D_11</vt:lpwstr>
  </property>
</Properties>
</file>