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color w:val="auto"/>
          <w:highlight w:val="none"/>
        </w:rPr>
      </w:pPr>
      <w:bookmarkStart w:id="0" w:name="_Toc13245"/>
      <w:bookmarkStart w:id="1" w:name="_Toc29049"/>
      <w:r>
        <w:rPr>
          <w:rFonts w:hint="eastAsia" w:ascii="仿宋" w:hAnsi="仿宋" w:eastAsia="仿宋" w:cs="仿宋"/>
          <w:b/>
          <w:color w:val="auto"/>
          <w:sz w:val="32"/>
          <w:szCs w:val="22"/>
          <w:highlight w:val="none"/>
        </w:rPr>
        <w:t>商务偏离表</w:t>
      </w:r>
      <w:bookmarkEnd w:id="0"/>
      <w:bookmarkEnd w:id="1"/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9"/>
        <w:gridCol w:w="2010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5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付款方式</w:t>
            </w:r>
          </w:p>
        </w:tc>
        <w:tc>
          <w:tcPr>
            <w:tcW w:w="20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20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0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0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声明：除本商务偏离表中所列的偏离项目外，其它所有商务均完全响应“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文件”中的要求。</w:t>
      </w: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FF23D21"/>
    <w:rsid w:val="189A38DC"/>
    <w:rsid w:val="28F938F2"/>
    <w:rsid w:val="4303636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2024-04-28T08:44:02Z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31B658DFB8EE40408138EAD6C4692327_13</vt:lpwstr>
  </property>
</Properties>
</file>