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西安市农业检测技术平台采购项目</w:t>
      </w:r>
    </w:p>
    <w:p>
      <w:pPr>
        <w:pStyle w:val="null3"/>
        <w:jc w:val="center"/>
        <w:outlineLvl w:val="2"/>
      </w:pPr>
      <w:r>
        <w:rPr>
          <w:sz w:val="28"/>
          <w:b/>
        </w:rPr>
        <w:t>采购项目编号：</w:t>
      </w:r>
      <w:r>
        <w:rPr>
          <w:sz w:val="28"/>
          <w:b/>
        </w:rPr>
        <w:t>SZT2024-SN-XC-ZC-HW-0531</w:t>
      </w:r>
      <w:r>
        <w:br/>
      </w:r>
      <w:r>
        <w:br/>
      </w:r>
      <w:r>
        <w:br/>
      </w:r>
    </w:p>
    <w:p>
      <w:pPr>
        <w:pStyle w:val="null3"/>
        <w:jc w:val="center"/>
        <w:outlineLvl w:val="2"/>
      </w:pPr>
      <w:r>
        <w:rPr>
          <w:sz w:val="28"/>
          <w:b/>
        </w:rPr>
        <w:t>西安市农产品质量安全检验检测中心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2024年06月12日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陕西中技招标有限公司</w:t>
      </w:r>
      <w:r>
        <w:rPr/>
        <w:t>（以下简称“代理机构”）受</w:t>
      </w:r>
      <w:r>
        <w:rPr/>
        <w:t>西安市农产品质量安全检验检测中心</w:t>
      </w:r>
      <w:r>
        <w:rPr/>
        <w:t>委托，拟对</w:t>
      </w:r>
      <w:r>
        <w:rPr/>
        <w:t>西安市农业检测技术平台采购项目</w:t>
      </w:r>
      <w:r>
        <w:rPr/>
        <w:t>采用竞争性谈判采购方式进行采购，兹邀请供应商参加本项目的竞争性谈判。</w:t>
      </w:r>
    </w:p>
    <w:p>
      <w:pPr>
        <w:pStyle w:val="null3"/>
        <w:outlineLvl w:val="2"/>
      </w:pPr>
      <w:r>
        <w:rPr>
          <w:sz w:val="28"/>
          <w:b/>
        </w:rPr>
        <w:t>一、项目编号：</w:t>
      </w:r>
      <w:r>
        <w:rPr>
          <w:sz w:val="28"/>
          <w:b/>
        </w:rPr>
        <w:t>SZT2024-SN-XC-ZC-HW-0531</w:t>
      </w:r>
    </w:p>
    <w:p>
      <w:pPr>
        <w:pStyle w:val="null3"/>
        <w:outlineLvl w:val="2"/>
      </w:pPr>
      <w:r>
        <w:rPr>
          <w:sz w:val="28"/>
          <w:b/>
        </w:rPr>
        <w:t>二、项目名称：</w:t>
      </w:r>
      <w:r>
        <w:rPr>
          <w:sz w:val="28"/>
          <w:b/>
        </w:rPr>
        <w:t>西安市农业检测技术平台采购项目</w:t>
      </w:r>
    </w:p>
    <w:p>
      <w:pPr>
        <w:pStyle w:val="null3"/>
        <w:outlineLvl w:val="2"/>
      </w:pPr>
      <w:r>
        <w:rPr>
          <w:sz w:val="28"/>
          <w:b/>
        </w:rPr>
        <w:t>三、谈判项目简介：</w:t>
      </w:r>
    </w:p>
    <w:p>
      <w:pPr>
        <w:pStyle w:val="null3"/>
        <w:ind w:firstLine="480"/>
      </w:pPr>
      <w:r>
        <w:rPr/>
        <w:t>西安市农产品质量安全检验监测中心通过网络建设，实现西安市农业标准及检测技术平台面向检测机构方与检测需求方，提供专业的专家团队支撑，旨在为农产品的生产和检测提供全方位的质量保障。</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采购包1（西安市农业检测技术平台采购项目）：属于专门面向中小企业采购。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西安市农产品质量安全检验检测中心</w:t>
      </w:r>
    </w:p>
    <w:p>
      <w:pPr>
        <w:pStyle w:val="null3"/>
      </w:pPr>
      <w:r>
        <w:rPr/>
        <w:t xml:space="preserve"> 地址： </w:t>
      </w:r>
      <w:r>
        <w:rPr/>
        <w:t>西安市莲湖区西二环193号</w:t>
      </w:r>
    </w:p>
    <w:p>
      <w:pPr>
        <w:pStyle w:val="null3"/>
      </w:pPr>
      <w:r>
        <w:rPr/>
        <w:t xml:space="preserve"> 邮编： </w:t>
      </w:r>
      <w:r>
        <w:rPr/>
        <w:t>710077</w:t>
      </w:r>
    </w:p>
    <w:p>
      <w:pPr>
        <w:pStyle w:val="null3"/>
      </w:pPr>
      <w:r>
        <w:rPr/>
        <w:t xml:space="preserve"> 联系人： </w:t>
      </w:r>
      <w:r>
        <w:rPr/>
        <w:t>王文思</w:t>
      </w:r>
    </w:p>
    <w:p>
      <w:pPr>
        <w:pStyle w:val="null3"/>
      </w:pPr>
      <w:r>
        <w:rPr/>
        <w:t xml:space="preserve"> 联系电话： </w:t>
      </w:r>
      <w:r>
        <w:rPr/>
        <w:t xml:space="preserve"> 029-84285411</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710000</w:t>
      </w:r>
    </w:p>
    <w:p>
      <w:pPr>
        <w:pStyle w:val="null3"/>
      </w:pPr>
      <w:r>
        <w:rPr/>
        <w:t xml:space="preserve"> 联系人： </w:t>
      </w:r>
      <w:r>
        <w:rPr/>
        <w:t>连杰、马帅</w:t>
      </w:r>
    </w:p>
    <w:p>
      <w:pPr>
        <w:pStyle w:val="null3"/>
      </w:pPr>
      <w:r>
        <w:rPr/>
        <w:t xml:space="preserve"> 联系电话： </w:t>
      </w:r>
      <w:r>
        <w:rPr/>
        <w:t>029-88364979-849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西安市农产品质量安全检验检测中心</w:t>
      </w:r>
      <w:r>
        <w:rPr/>
        <w:t>和</w:t>
      </w:r>
      <w:r>
        <w:rPr/>
        <w:t>陕西中技招标有限公司</w:t>
      </w:r>
      <w:r>
        <w:rPr/>
        <w:t>享有。竞争性谈判文件中供应商参加本次政府采购活动应当具备的条件、技术清单、参数、商务及其他要求由</w:t>
      </w:r>
      <w:r>
        <w:rPr/>
        <w:t>西安市农产品质量安全检验检测中心</w:t>
      </w:r>
      <w:r>
        <w:rPr/>
        <w:t>负责解释。除上述竞争性谈判文件内容，其他内容由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西安市农产品质量安全检验检测中心</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详见谈判文件及采购需求。</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西安市农产品质量安全检验监测中心通过网络建设，实现西安市农业标准及检测技术平台面向检测机构方与检测需求方，提供专业的专家团队支撑，旨在为农产品的生产和检测提供全方位的质量保障。</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500000</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b/>
              </w:rPr>
              <w:t>核心产品：</w:t>
            </w:r>
            <w:r>
              <w:rPr>
                <w:rFonts w:ascii="仿宋" w:hAnsi="仿宋" w:cs="仿宋" w:eastAsia="仿宋"/>
                <w:sz w:val="21"/>
                <w:b/>
              </w:rPr>
              <w:t>数据统计分析模块</w:t>
            </w:r>
          </w:p>
          <w:p>
            <w:pPr>
              <w:pStyle w:val="null3"/>
              <w:jc w:val="both"/>
            </w:pPr>
            <w:r>
              <w:rPr>
                <w:rFonts w:ascii="仿宋" w:hAnsi="仿宋" w:cs="仿宋" w:eastAsia="仿宋"/>
                <w:sz w:val="21"/>
              </w:rPr>
              <w:t>本项目通过内网建设与外网的网络改造，实现办公楼</w:t>
            </w:r>
            <w:r>
              <w:rPr>
                <w:rFonts w:ascii="仿宋" w:hAnsi="仿宋" w:cs="仿宋" w:eastAsia="仿宋"/>
                <w:sz w:val="21"/>
              </w:rPr>
              <w:t>5层、6层、7层共计4个办公点可以内网访问，支持内部管理数据处理。外网环境改造后实现外网平台网页信息与小程序展示对外数据进行交互展示。</w:t>
            </w:r>
          </w:p>
          <w:p>
            <w:pPr>
              <w:pStyle w:val="null3"/>
              <w:jc w:val="both"/>
            </w:pPr>
            <w:r>
              <w:drawing>
                <wp:inline distT="0" distR="0" distB="0" distL="0">
                  <wp:extent cx="1621155" cy="81463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814634"/>
                          </a:xfrm>
                          <a:prstGeom prst="rect">
                            <a:avLst/>
                          </a:prstGeom>
                        </pic:spPr>
                      </pic:pic>
                    </a:graphicData>
                  </a:graphic>
                </wp:inline>
              </w:drawing>
            </w:r>
          </w:p>
          <w:p>
            <w:pPr>
              <w:pStyle w:val="null3"/>
              <w:jc w:val="both"/>
            </w:pPr>
            <w:r>
              <w:rPr>
                <w:rFonts w:ascii="仿宋" w:hAnsi="仿宋" w:cs="仿宋" w:eastAsia="仿宋"/>
                <w:sz w:val="21"/>
              </w:rPr>
              <w:t>西安市农产品质量安全检验监测中心通过网络建设，实现西安市农业标准及检测技术平台面向检测机构方与检测需求方，提供专业的专家团队支撑，旨在为农产品的生产和检测提供全方位的质量保障。</w:t>
            </w:r>
          </w:p>
          <w:p>
            <w:pPr>
              <w:pStyle w:val="null3"/>
              <w:jc w:val="both"/>
            </w:pPr>
            <w:r>
              <w:rPr>
                <w:rFonts w:ascii="仿宋" w:hAnsi="仿宋" w:cs="仿宋" w:eastAsia="仿宋"/>
                <w:sz w:val="21"/>
              </w:rPr>
              <w:t>1、提升产品质量：检测需求单位可利用外网环境下的网络平台发布检测需求或技术指导，及时发现和解决问题，提高产品质量水平。外网平台通过发挥各入围检验机构专业的检测技术和统一的质量标准，结合省市农检中心的专业研判，确保产品质量的合格性和稳定性。</w:t>
            </w:r>
          </w:p>
          <w:p>
            <w:pPr>
              <w:pStyle w:val="null3"/>
              <w:jc w:val="both"/>
            </w:pPr>
            <w:r>
              <w:rPr>
                <w:rFonts w:ascii="仿宋" w:hAnsi="仿宋" w:cs="仿宋" w:eastAsia="仿宋"/>
                <w:sz w:val="21"/>
              </w:rPr>
              <w:t>2、优化资源配置：内网平台整合了来自不同质量机构的资源，为政府、机构和企业提供检验检测一站式平台。此外，内网平台还可以实现信息共享和协同工作，提高资源利用效率。</w:t>
            </w:r>
          </w:p>
          <w:p>
            <w:pPr>
              <w:pStyle w:val="null3"/>
              <w:jc w:val="both"/>
            </w:pPr>
            <w:r>
              <w:rPr>
                <w:rFonts w:ascii="仿宋" w:hAnsi="仿宋" w:cs="仿宋" w:eastAsia="仿宋"/>
                <w:sz w:val="21"/>
              </w:rPr>
              <w:t>3、专业的技术支持：集中展示推广组建的标准技术委员会，整合专家资源，发挥行业技术优势，解决农产品生产、检测等方面的疑难，提供专业的解决途径。</w:t>
            </w:r>
          </w:p>
          <w:p>
            <w:pPr>
              <w:pStyle w:val="null3"/>
              <w:jc w:val="both"/>
            </w:pPr>
            <w:r>
              <w:rPr>
                <w:rFonts w:ascii="仿宋" w:hAnsi="仿宋" w:cs="仿宋" w:eastAsia="仿宋"/>
                <w:sz w:val="21"/>
              </w:rPr>
              <w:t>4、深度的数据服务：一方面对于中心机构内部的数据进行汇总、清洗和定向解析，数据记录的在线存储和分析报告的自动生成提供途径；另一方面集成标准库、专业模板库、药典库等农产品检测相关的基础数据库，为检测供需双方提供专业的基础数据支撑。</w:t>
            </w:r>
          </w:p>
          <w:p>
            <w:pPr>
              <w:pStyle w:val="null3"/>
              <w:jc w:val="both"/>
            </w:pPr>
            <w:r>
              <w:rPr>
                <w:rFonts w:ascii="仿宋" w:hAnsi="仿宋" w:cs="仿宋" w:eastAsia="仿宋"/>
                <w:sz w:val="21"/>
              </w:rPr>
              <w:t>本次技术建设内容包括：</w:t>
            </w:r>
          </w:p>
          <w:p>
            <w:pPr>
              <w:pStyle w:val="null3"/>
              <w:jc w:val="both"/>
            </w:pPr>
            <w:r>
              <w:rPr>
                <w:rFonts w:ascii="仿宋" w:hAnsi="仿宋" w:cs="仿宋" w:eastAsia="仿宋"/>
                <w:sz w:val="21"/>
              </w:rPr>
              <w:t>（</w:t>
            </w:r>
            <w:r>
              <w:rPr>
                <w:rFonts w:ascii="仿宋" w:hAnsi="仿宋" w:cs="仿宋" w:eastAsia="仿宋"/>
                <w:sz w:val="21"/>
              </w:rPr>
              <w:t>1）网络建设。组建内部局域网，实现内网环境下数据的安全隔离，同时组建支持检测供需服务、统计分析、信息展示的外网平台和移动端。</w:t>
            </w:r>
          </w:p>
          <w:p>
            <w:pPr>
              <w:pStyle w:val="null3"/>
              <w:jc w:val="both"/>
            </w:pPr>
            <w:r>
              <w:rPr>
                <w:rFonts w:ascii="仿宋" w:hAnsi="仿宋" w:cs="仿宋" w:eastAsia="仿宋"/>
                <w:sz w:val="21"/>
              </w:rPr>
              <w:t>（</w:t>
            </w:r>
            <w:r>
              <w:rPr>
                <w:rFonts w:ascii="仿宋" w:hAnsi="仿宋" w:cs="仿宋" w:eastAsia="仿宋"/>
                <w:sz w:val="21"/>
              </w:rPr>
              <w:t>2）内网功能建设</w:t>
            </w:r>
          </w:p>
          <w:p>
            <w:pPr>
              <w:pStyle w:val="null3"/>
              <w:jc w:val="both"/>
            </w:pPr>
            <w:r>
              <w:rPr>
                <w:rFonts w:ascii="仿宋" w:hAnsi="仿宋" w:cs="仿宋" w:eastAsia="仿宋"/>
                <w:sz w:val="21"/>
              </w:rPr>
              <w:t>检测供需模块。通过内网建设，实现检测机构与需求单位的注册入驻，将需方的检测需求和检测机构的资质信息进行展示，实现内网平台上的信息串联，提供解决问题的途径。</w:t>
            </w:r>
          </w:p>
          <w:p>
            <w:pPr>
              <w:pStyle w:val="null3"/>
              <w:jc w:val="both"/>
            </w:pPr>
            <w:r>
              <w:rPr>
                <w:rFonts w:ascii="仿宋" w:hAnsi="仿宋" w:cs="仿宋" w:eastAsia="仿宋"/>
                <w:sz w:val="21"/>
              </w:rPr>
              <w:t>数据统计分析模块。通过内网建设，实现本中心检测、科研等数据按类型、编号等录入内网平台，从而进一步对数据进行清洗，实现具有目标性的解析功能，通过图表等展示，并进一步生成分析报告。</w:t>
            </w:r>
          </w:p>
          <w:p>
            <w:pPr>
              <w:pStyle w:val="null3"/>
              <w:jc w:val="both"/>
            </w:pPr>
            <w:r>
              <w:rPr>
                <w:rFonts w:ascii="仿宋" w:hAnsi="仿宋" w:cs="仿宋" w:eastAsia="仿宋"/>
                <w:sz w:val="21"/>
              </w:rPr>
              <w:t>数据库模块。通过内网建设，实现内网平台通过与基础数据库的对接，可以实时查看标准库、资源模板库、药典等数据。</w:t>
            </w:r>
          </w:p>
          <w:p>
            <w:pPr>
              <w:pStyle w:val="null3"/>
              <w:jc w:val="both"/>
            </w:pPr>
            <w:r>
              <w:rPr>
                <w:rFonts w:ascii="仿宋" w:hAnsi="仿宋" w:cs="仿宋" w:eastAsia="仿宋"/>
                <w:sz w:val="21"/>
              </w:rPr>
              <w:t>（</w:t>
            </w:r>
            <w:r>
              <w:rPr>
                <w:rFonts w:ascii="仿宋" w:hAnsi="仿宋" w:cs="仿宋" w:eastAsia="仿宋"/>
                <w:sz w:val="21"/>
              </w:rPr>
              <w:t>3）外网功能建设</w:t>
            </w:r>
          </w:p>
          <w:p>
            <w:pPr>
              <w:pStyle w:val="null3"/>
              <w:jc w:val="both"/>
            </w:pPr>
            <w:r>
              <w:rPr>
                <w:rFonts w:ascii="仿宋" w:hAnsi="仿宋" w:cs="仿宋" w:eastAsia="仿宋"/>
                <w:sz w:val="21"/>
              </w:rPr>
              <w:t>信息发布模块。通过外网建设，实现在外网平台，技术平台、中心、标委会及各技术方针成员等重要公告、新闻、通知等信息的发布和展示。</w:t>
            </w:r>
          </w:p>
          <w:p>
            <w:pPr>
              <w:pStyle w:val="null3"/>
              <w:jc w:val="both"/>
            </w:pPr>
            <w:r>
              <w:rPr>
                <w:rFonts w:ascii="仿宋" w:hAnsi="仿宋" w:cs="仿宋" w:eastAsia="仿宋"/>
                <w:sz w:val="21"/>
              </w:rPr>
              <w:t>农检平台标委会模块展示。展示标委会介绍、组织框架、标委会成员及专长介绍，展示联系方式等内容。提供行业专家技术服务的途径。</w:t>
            </w:r>
          </w:p>
          <w:p>
            <w:pPr>
              <w:pStyle w:val="null3"/>
              <w:jc w:val="both"/>
            </w:pPr>
            <w:r>
              <w:rPr>
                <w:rFonts w:ascii="仿宋" w:hAnsi="仿宋" w:cs="仿宋" w:eastAsia="仿宋"/>
                <w:sz w:val="21"/>
              </w:rPr>
              <w:t>移动端模块。通过外网建设，通过小程序实现外网平台对外信息的便捷查看功能。</w:t>
            </w:r>
          </w:p>
          <w:p>
            <w:pPr>
              <w:pStyle w:val="null3"/>
              <w:jc w:val="both"/>
            </w:pPr>
            <w:r>
              <w:rPr>
                <w:rFonts w:ascii="仿宋" w:hAnsi="仿宋" w:cs="仿宋" w:eastAsia="仿宋"/>
                <w:sz w:val="21"/>
              </w:rPr>
              <w:t>（</w:t>
            </w:r>
            <w:r>
              <w:rPr>
                <w:rFonts w:ascii="仿宋" w:hAnsi="仿宋" w:cs="仿宋" w:eastAsia="仿宋"/>
                <w:sz w:val="21"/>
              </w:rPr>
              <w:t>4）测试评估。提供第三方软件测评保障软件的质量、安全性及可靠性。</w:t>
            </w:r>
          </w:p>
          <w:p>
            <w:pPr>
              <w:pStyle w:val="null3"/>
              <w:jc w:val="both"/>
            </w:pPr>
            <w:r>
              <w:rPr>
                <w:rFonts w:ascii="仿宋" w:hAnsi="仿宋" w:cs="仿宋" w:eastAsia="仿宋"/>
                <w:sz w:val="21"/>
              </w:rPr>
              <w:t>（</w:t>
            </w:r>
            <w:r>
              <w:rPr>
                <w:rFonts w:ascii="仿宋" w:hAnsi="仿宋" w:cs="仿宋" w:eastAsia="仿宋"/>
                <w:sz w:val="21"/>
              </w:rPr>
              <w:t>5）服务能力。提供技术建设相关软件安装、调试、上线的实施计划和实施时间，培训方案，售后服务响应以及质保时间及质保期后的服务。</w:t>
            </w:r>
          </w:p>
        </w:tc>
      </w:tr>
      <w:tr>
        <w:tc>
          <w:tcPr>
            <w:tcW w:type="dxa" w:w="2769"/>
          </w:tcPr>
          <w:p/>
        </w:tc>
        <w:tc>
          <w:tcPr>
            <w:tcW w:type="dxa" w:w="2769"/>
          </w:tcPr>
          <w:p>
            <w:pPr>
              <w:pStyle w:val="null3"/>
            </w:pPr>
            <w:r>
              <w:rPr/>
              <w:t>2</w:t>
            </w:r>
          </w:p>
        </w:tc>
        <w:tc>
          <w:tcPr>
            <w:tcW w:type="dxa" w:w="2769"/>
          </w:tcPr>
          <w:p>
            <w:pPr>
              <w:pStyle w:val="null3"/>
              <w:jc w:val="both"/>
            </w:pPr>
            <w:r>
              <w:rPr>
                <w:rFonts w:ascii="仿宋" w:hAnsi="仿宋" w:cs="仿宋" w:eastAsia="仿宋"/>
                <w:sz w:val="21"/>
              </w:rPr>
              <w:t>采购清单：</w:t>
            </w:r>
          </w:p>
          <w:tbl>
            <w:tblPr>
              <w:tblInd w:type="dxa" w:w="90"/>
              <w:tblBorders>
                <w:top w:val="none" w:color="000000" w:sz="4"/>
                <w:left w:val="none" w:color="000000" w:sz="4"/>
                <w:bottom w:val="none" w:color="000000" w:sz="4"/>
                <w:right w:val="none" w:color="000000" w:sz="4"/>
                <w:insideH w:val="none"/>
                <w:insideV w:val="none"/>
              </w:tblBorders>
            </w:tblPr>
            <w:tblGrid>
              <w:gridCol w:w="334"/>
              <w:gridCol w:w="392"/>
              <w:gridCol w:w="1047"/>
              <w:gridCol w:w="378"/>
              <w:gridCol w:w="378"/>
            </w:tblGrid>
            <w:tr>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143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名</w:t>
                  </w:r>
                  <w:r>
                    <w:rPr>
                      <w:rFonts w:ascii="仿宋" w:hAnsi="仿宋" w:cs="仿宋" w:eastAsia="仿宋"/>
                      <w:sz w:val="21"/>
                      <w:b/>
                      <w:color w:val="000000"/>
                    </w:rPr>
                    <w:t xml:space="preserve">   </w:t>
                  </w:r>
                  <w:r>
                    <w:rPr>
                      <w:rFonts w:ascii="仿宋" w:hAnsi="仿宋" w:cs="仿宋" w:eastAsia="仿宋"/>
                      <w:sz w:val="21"/>
                      <w:b/>
                      <w:color w:val="000000"/>
                    </w:rPr>
                    <w:t>称</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39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内网功能建设</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网络改造</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交换机</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高拍仪</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台式电脑</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检测供需模块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数据统计分析模块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数据库模块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系统管理模块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后端平台建设</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39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外网功能建设</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云</w:t>
                  </w:r>
                  <w:r>
                    <w:rPr>
                      <w:rFonts w:ascii="仿宋" w:hAnsi="仿宋" w:cs="仿宋" w:eastAsia="仿宋"/>
                      <w:sz w:val="21"/>
                      <w:color w:val="000000"/>
                    </w:rPr>
                    <w:t>服务器</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域名申请</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SSL证书申请</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前端网站建设</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r>
                    <w:rPr>
                      <w:rFonts w:ascii="仿宋" w:hAnsi="仿宋" w:cs="仿宋" w:eastAsia="仿宋"/>
                      <w:sz w:val="21"/>
                      <w:color w:val="000000"/>
                    </w:rPr>
                    <w:t>4</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信息发布模块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农检平台标委会模块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w:t>
                  </w:r>
                </w:p>
              </w:tc>
              <w:tc>
                <w:tcPr>
                  <w:tcW w:type="dxa" w:w="392"/>
                  <w:vMerge/>
                  <w:tcBorders>
                    <w:top w:val="none" w:color="000000" w:sz="4"/>
                    <w:left w:val="none" w:color="000000" w:sz="4"/>
                    <w:bottom w:val="non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移动端功能模块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bl>
          <w:p/>
        </w:tc>
      </w:tr>
      <w:tr>
        <w:tc>
          <w:tcPr>
            <w:tcW w:type="dxa" w:w="2769"/>
          </w:tcPr>
          <w:p/>
        </w:tc>
        <w:tc>
          <w:tcPr>
            <w:tcW w:type="dxa" w:w="2769"/>
          </w:tcPr>
          <w:p>
            <w:pPr>
              <w:pStyle w:val="null3"/>
            </w:pPr>
            <w:r>
              <w:rPr/>
              <w:t>3</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426"/>
              <w:gridCol w:w="625"/>
              <w:gridCol w:w="1500"/>
            </w:tblGrid>
            <w:tr>
              <w:tc>
                <w:tcPr>
                  <w:tcW w:type="dxa" w:w="426"/>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序号</w:t>
                  </w:r>
                </w:p>
              </w:tc>
              <w:tc>
                <w:tcPr>
                  <w:tcW w:type="dxa" w:w="625"/>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功能模块</w:t>
                  </w:r>
                </w:p>
              </w:tc>
              <w:tc>
                <w:tcPr>
                  <w:tcW w:type="dxa" w:w="150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功能描述</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（一）</w:t>
                  </w:r>
                </w:p>
              </w:tc>
              <w:tc>
                <w:tcPr>
                  <w:tcW w:type="dxa" w:w="2125"/>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网络改造</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内网环境改造</w:t>
                  </w:r>
                </w:p>
              </w:tc>
              <w:tc>
                <w:tcPr>
                  <w:tcW w:type="dxa" w:w="150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通过网络改造实现办公楼</w:t>
                  </w:r>
                  <w:r>
                    <w:rPr>
                      <w:rFonts w:ascii="仿宋" w:hAnsi="仿宋" w:cs="仿宋" w:eastAsia="仿宋"/>
                      <w:sz w:val="21"/>
                      <w:color w:val="000000"/>
                    </w:rPr>
                    <w:t>5层、6层、7层共计4个办公点的内网环境建设。</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（二）</w:t>
                  </w:r>
                </w:p>
              </w:tc>
              <w:tc>
                <w:tcPr>
                  <w:tcW w:type="dxa" w:w="2125"/>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检测供需模块</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用户注册</w:t>
                  </w:r>
                </w:p>
              </w:tc>
              <w:tc>
                <w:tcPr>
                  <w:tcW w:type="dxa" w:w="150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支持需求企业注册和入驻检测机构注册：平台需要注册后才可登录，注册时需要提供企业类型、法人代表、营业执照以及选择所能提供的服务，平台根据用户的企业类型及可提供的服务内容。</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用户登录</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支持账号与密码方式登录平台。</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需求信息</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支持送检需求企业可以提交检测需求信息，送检需求企业可以查看自己提交的需求记录列表，支持检索，导出等功能。</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资质能力维护</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支持检测机构注册审核通过后，可以对机构信息进行变更申请提交，审核通过自动更新机构的显示内容。</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云游实验室</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支持平台支持注册机构通过机构地址信息进行地图展示，方便需求方快速查找自己周边的检测结构。</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（三）</w:t>
                  </w:r>
                </w:p>
              </w:tc>
              <w:tc>
                <w:tcPr>
                  <w:tcW w:type="dxa" w:w="2125"/>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数据统计分析模块</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数据录入</w:t>
                  </w:r>
                </w:p>
              </w:tc>
              <w:tc>
                <w:tcPr>
                  <w:tcW w:type="dxa" w:w="150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支持平台数据录入，纸质文件支持扫描自动上传等其他功能。</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单项判定</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支持实验数据录入后与标准库比对，实现自动的单项判定功能。</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数据统计</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支持结构化数据按照固定规则自动生成各类图形、图表可以直观的查看各个维度的汇总数据。</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风险分析</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支持以样品地理位置信息为维度，通过地图展示的方式进行区域性、时间季节性的样品不合格项的风险分析提醒。</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11</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分析报告</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支持待统计数据从平台录入后根据选择不同的报告模板生成不同的分析报告。</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（四）</w:t>
                  </w:r>
                </w:p>
              </w:tc>
              <w:tc>
                <w:tcPr>
                  <w:tcW w:type="dxa" w:w="2125"/>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农检平台标委会模块</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标委会介绍</w:t>
                  </w:r>
                </w:p>
              </w:tc>
              <w:tc>
                <w:tcPr>
                  <w:tcW w:type="dxa" w:w="150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平台支持标委会介绍内容展示、组织框架展示、标委会成员展示。</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13</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标准制修订</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支持标准制修订流程线上管理。</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（五）</w:t>
                  </w:r>
                </w:p>
              </w:tc>
              <w:tc>
                <w:tcPr>
                  <w:tcW w:type="dxa" w:w="2125"/>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数据库模块</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14</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数据库对接</w:t>
                  </w:r>
                </w:p>
              </w:tc>
              <w:tc>
                <w:tcPr>
                  <w:tcW w:type="dxa" w:w="150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支持对接基础数据库，支持查看标准库、资源模板库、药典数据、以及相关的政策法规。</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(六)</w:t>
                  </w:r>
                </w:p>
              </w:tc>
              <w:tc>
                <w:tcPr>
                  <w:tcW w:type="dxa" w:w="2125"/>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系统管理模块</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15</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账号管理</w:t>
                  </w:r>
                </w:p>
              </w:tc>
              <w:tc>
                <w:tcPr>
                  <w:tcW w:type="dxa" w:w="150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平台管理员可以对需求企业账户、检测机构账户和其他后台管理员账户进行维护：添加账户、修改账号、删除账户、查询账户信息。</w:t>
                  </w:r>
                </w:p>
              </w:tc>
            </w:tr>
            <w:tr>
              <w:tc>
                <w:tcPr>
                  <w:tcW w:type="dxa" w:w="426"/>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16</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用户授权</w:t>
                  </w:r>
                </w:p>
              </w:tc>
              <w:tc>
                <w:tcPr>
                  <w:tcW w:type="dxa" w:w="150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平台管理员可以对需求企业用户、检测机构用户的功能权限进行启用</w:t>
                  </w:r>
                  <w:r>
                    <w:rPr>
                      <w:rFonts w:ascii="仿宋" w:hAnsi="仿宋" w:cs="仿宋" w:eastAsia="仿宋"/>
                      <w:sz w:val="21"/>
                      <w:color w:val="000000"/>
                    </w:rPr>
                    <w:t>/停用操作。</w:t>
                  </w:r>
                </w:p>
              </w:tc>
            </w:tr>
          </w:tbl>
          <w:p/>
        </w:tc>
      </w:tr>
      <w:tr>
        <w:tc>
          <w:tcPr>
            <w:tcW w:type="dxa" w:w="2769"/>
          </w:tcPr>
          <w:p/>
        </w:tc>
        <w:tc>
          <w:tcPr>
            <w:tcW w:type="dxa" w:w="2769"/>
          </w:tcPr>
          <w:p>
            <w:pPr>
              <w:pStyle w:val="null3"/>
            </w:pPr>
            <w:r>
              <w:rPr/>
              <w:t>4</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427"/>
              <w:gridCol w:w="634"/>
              <w:gridCol w:w="1490"/>
            </w:tblGrid>
            <w:tr>
              <w:tc>
                <w:tcPr>
                  <w:tcW w:type="dxa" w:w="427"/>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序号</w:t>
                  </w:r>
                </w:p>
              </w:tc>
              <w:tc>
                <w:tcPr>
                  <w:tcW w:type="dxa" w:w="634"/>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功能模块</w:t>
                  </w:r>
                </w:p>
              </w:tc>
              <w:tc>
                <w:tcPr>
                  <w:tcW w:type="dxa" w:w="149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功能描述</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w:t>
                  </w:r>
                  <w:r>
                    <w:rPr>
                      <w:rFonts w:ascii="仿宋" w:hAnsi="仿宋" w:cs="仿宋" w:eastAsia="仿宋"/>
                      <w:sz w:val="21"/>
                      <w:color w:val="000000"/>
                    </w:rPr>
                    <w:t>一</w:t>
                  </w:r>
                  <w:r>
                    <w:rPr>
                      <w:rFonts w:ascii="仿宋" w:hAnsi="仿宋" w:cs="仿宋" w:eastAsia="仿宋"/>
                      <w:sz w:val="21"/>
                      <w:color w:val="000000"/>
                    </w:rPr>
                    <w:t>）</w:t>
                  </w:r>
                </w:p>
              </w:tc>
              <w:tc>
                <w:tcPr>
                  <w:tcW w:type="dxa" w:w="2124"/>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网络改造</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634"/>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外网平台建设</w:t>
                  </w:r>
                </w:p>
              </w:tc>
              <w:tc>
                <w:tcPr>
                  <w:tcW w:type="dxa" w:w="149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通过外网平台建设实相关信息发布展示和移动端建设。</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w:t>
                  </w:r>
                  <w:r>
                    <w:rPr>
                      <w:rFonts w:ascii="仿宋" w:hAnsi="仿宋" w:cs="仿宋" w:eastAsia="仿宋"/>
                      <w:sz w:val="21"/>
                      <w:color w:val="000000"/>
                    </w:rPr>
                    <w:t>二</w:t>
                  </w:r>
                  <w:r>
                    <w:rPr>
                      <w:rFonts w:ascii="仿宋" w:hAnsi="仿宋" w:cs="仿宋" w:eastAsia="仿宋"/>
                      <w:sz w:val="21"/>
                      <w:color w:val="000000"/>
                    </w:rPr>
                    <w:t>）</w:t>
                  </w:r>
                </w:p>
              </w:tc>
              <w:tc>
                <w:tcPr>
                  <w:tcW w:type="dxa" w:w="2124"/>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信息发布模块</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634"/>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信息发布</w:t>
                  </w:r>
                </w:p>
              </w:tc>
              <w:tc>
                <w:tcPr>
                  <w:tcW w:type="dxa" w:w="149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平台支持农检中心的公告、新闻、通知等信息进行发布和展示。</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w:t>
                  </w:r>
                  <w:r>
                    <w:rPr>
                      <w:rFonts w:ascii="仿宋" w:hAnsi="仿宋" w:cs="仿宋" w:eastAsia="仿宋"/>
                      <w:sz w:val="21"/>
                      <w:color w:val="000000"/>
                    </w:rPr>
                    <w:t>三</w:t>
                  </w:r>
                  <w:r>
                    <w:rPr>
                      <w:rFonts w:ascii="仿宋" w:hAnsi="仿宋" w:cs="仿宋" w:eastAsia="仿宋"/>
                      <w:sz w:val="21"/>
                      <w:color w:val="000000"/>
                    </w:rPr>
                    <w:t>）</w:t>
                  </w:r>
                </w:p>
              </w:tc>
              <w:tc>
                <w:tcPr>
                  <w:tcW w:type="dxa" w:w="2124"/>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移动端功能模块</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634"/>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移动端</w:t>
                  </w:r>
                </w:p>
              </w:tc>
              <w:tc>
                <w:tcPr>
                  <w:tcW w:type="dxa" w:w="149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支持宣传图、通知公告、检测机构介绍、需求发布内容、标委会信息、标准库信息、以及个人中心等功能。</w:t>
                  </w:r>
                </w:p>
              </w:tc>
            </w:tr>
          </w:tbl>
          <w:p/>
        </w:tc>
      </w:tr>
      <w:tr>
        <w:tc>
          <w:tcPr>
            <w:tcW w:type="dxa" w:w="2769"/>
          </w:tcPr>
          <w:p/>
        </w:tc>
        <w:tc>
          <w:tcPr>
            <w:tcW w:type="dxa" w:w="2769"/>
          </w:tcPr>
          <w:p>
            <w:pPr>
              <w:pStyle w:val="null3"/>
            </w:pPr>
            <w:r>
              <w:rPr/>
              <w:t>5</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427"/>
              <w:gridCol w:w="634"/>
              <w:gridCol w:w="1490"/>
            </w:tblGrid>
            <w:tr>
              <w:tc>
                <w:tcPr>
                  <w:tcW w:type="dxa" w:w="2551"/>
                  <w:gridSpan w:val="3"/>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both"/>
                  </w:pPr>
                  <w:r>
                    <w:rPr>
                      <w:rFonts w:ascii="仿宋" w:hAnsi="仿宋" w:cs="仿宋" w:eastAsia="仿宋"/>
                      <w:sz w:val="21"/>
                      <w:color w:val="000000"/>
                    </w:rPr>
                    <w:t>硬件要求</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序号</w:t>
                  </w:r>
                </w:p>
              </w:tc>
              <w:tc>
                <w:tcPr>
                  <w:tcW w:type="dxa" w:w="634"/>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功能模块</w:t>
                  </w:r>
                </w:p>
              </w:tc>
              <w:tc>
                <w:tcPr>
                  <w:tcW w:type="dxa" w:w="149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功能描述</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w:t>
                  </w:r>
                  <w:r>
                    <w:rPr>
                      <w:rFonts w:ascii="仿宋" w:hAnsi="仿宋" w:cs="仿宋" w:eastAsia="仿宋"/>
                      <w:sz w:val="21"/>
                      <w:color w:val="000000"/>
                    </w:rPr>
                    <w:t>一</w:t>
                  </w:r>
                  <w:r>
                    <w:rPr>
                      <w:rFonts w:ascii="仿宋" w:hAnsi="仿宋" w:cs="仿宋" w:eastAsia="仿宋"/>
                      <w:sz w:val="21"/>
                      <w:color w:val="000000"/>
                    </w:rPr>
                    <w:t>）</w:t>
                  </w:r>
                </w:p>
              </w:tc>
              <w:tc>
                <w:tcPr>
                  <w:tcW w:type="dxa" w:w="2124"/>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硬件要求</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634"/>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交换机</w:t>
                  </w:r>
                </w:p>
              </w:tc>
              <w:tc>
                <w:tcPr>
                  <w:tcW w:type="dxa" w:w="1490"/>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参数：千兆</w:t>
                  </w:r>
                  <w:r>
                    <w:rPr>
                      <w:rFonts w:ascii="仿宋" w:hAnsi="仿宋" w:cs="仿宋" w:eastAsia="仿宋"/>
                      <w:sz w:val="21"/>
                      <w:color w:val="000000"/>
                    </w:rPr>
                    <w:t>RJ45端口，16个；MAC地址容量，8K；模式开关，</w:t>
                  </w:r>
                  <w:r>
                    <w:rPr>
                      <w:rFonts w:ascii="仿宋" w:hAnsi="仿宋" w:cs="仿宋" w:eastAsia="仿宋"/>
                      <w:sz w:val="21"/>
                      <w:color w:val="000000"/>
                    </w:rPr>
                    <w:t>具备</w:t>
                  </w:r>
                  <w:r>
                    <w:rPr>
                      <w:rFonts w:ascii="仿宋" w:hAnsi="仿宋" w:cs="仿宋" w:eastAsia="仿宋"/>
                      <w:sz w:val="21"/>
                      <w:color w:val="000000"/>
                    </w:rPr>
                    <w:t>云管理、</w:t>
                  </w:r>
                  <w:r>
                    <w:rPr>
                      <w:rFonts w:ascii="仿宋" w:hAnsi="仿宋" w:cs="仿宋" w:eastAsia="仿宋"/>
                      <w:sz w:val="21"/>
                      <w:color w:val="000000"/>
                    </w:rPr>
                    <w:t>VLAN隔离、标准交换三种工作模式；网络管理功能，</w:t>
                  </w:r>
                  <w:r>
                    <w:rPr>
                      <w:rFonts w:ascii="仿宋" w:hAnsi="仿宋" w:cs="仿宋" w:eastAsia="仿宋"/>
                      <w:sz w:val="21"/>
                      <w:color w:val="000000"/>
                    </w:rPr>
                    <w:t>具备</w:t>
                  </w:r>
                  <w:r>
                    <w:rPr>
                      <w:rFonts w:ascii="仿宋" w:hAnsi="仿宋" w:cs="仿宋" w:eastAsia="仿宋"/>
                      <w:sz w:val="21"/>
                      <w:color w:val="000000"/>
                    </w:rPr>
                    <w:t>通过商云</w:t>
                  </w:r>
                  <w:r>
                    <w:rPr>
                      <w:rFonts w:ascii="仿宋" w:hAnsi="仿宋" w:cs="仿宋" w:eastAsia="仿宋"/>
                      <w:sz w:val="21"/>
                      <w:color w:val="000000"/>
                    </w:rPr>
                    <w:t>APP、商云网络云平台（Web端）进行远程管理，</w:t>
                  </w:r>
                  <w:r>
                    <w:rPr>
                      <w:rFonts w:ascii="仿宋" w:hAnsi="仿宋" w:cs="仿宋" w:eastAsia="仿宋"/>
                      <w:sz w:val="21"/>
                      <w:color w:val="000000"/>
                    </w:rPr>
                    <w:t>具备</w:t>
                  </w:r>
                  <w:r>
                    <w:rPr>
                      <w:rFonts w:ascii="仿宋" w:hAnsi="仿宋" w:cs="仿宋" w:eastAsia="仿宋"/>
                      <w:sz w:val="21"/>
                      <w:color w:val="000000"/>
                    </w:rPr>
                    <w:t>本地</w:t>
                  </w:r>
                  <w:r>
                    <w:rPr>
                      <w:rFonts w:ascii="仿宋" w:hAnsi="仿宋" w:cs="仿宋" w:eastAsia="仿宋"/>
                      <w:sz w:val="21"/>
                      <w:color w:val="000000"/>
                    </w:rPr>
                    <w:t>Web管理，</w:t>
                  </w:r>
                  <w:r>
                    <w:rPr>
                      <w:rFonts w:ascii="仿宋" w:hAnsi="仿宋" w:cs="仿宋" w:eastAsia="仿宋"/>
                      <w:sz w:val="21"/>
                      <w:color w:val="000000"/>
                    </w:rPr>
                    <w:t>具备</w:t>
                  </w:r>
                  <w:r>
                    <w:rPr>
                      <w:rFonts w:ascii="仿宋" w:hAnsi="仿宋" w:cs="仿宋" w:eastAsia="仿宋"/>
                      <w:sz w:val="21"/>
                      <w:color w:val="000000"/>
                    </w:rPr>
                    <w:t>802.1Q VLAN、MTU VLAN、端口VLAN，</w:t>
                  </w:r>
                  <w:r>
                    <w:rPr>
                      <w:rFonts w:ascii="仿宋" w:hAnsi="仿宋" w:cs="仿宋" w:eastAsia="仿宋"/>
                      <w:sz w:val="21"/>
                      <w:color w:val="000000"/>
                    </w:rPr>
                    <w:t>具备</w:t>
                  </w:r>
                  <w:r>
                    <w:rPr>
                      <w:rFonts w:ascii="仿宋" w:hAnsi="仿宋" w:cs="仿宋" w:eastAsia="仿宋"/>
                      <w:sz w:val="21"/>
                      <w:color w:val="000000"/>
                    </w:rPr>
                    <w:t>配置端口流控、双工、开启</w:t>
                  </w:r>
                  <w:r>
                    <w:rPr>
                      <w:rFonts w:ascii="仿宋" w:hAnsi="仿宋" w:cs="仿宋" w:eastAsia="仿宋"/>
                      <w:sz w:val="21"/>
                      <w:color w:val="000000"/>
                    </w:rPr>
                    <w:t>/关闭，</w:t>
                  </w:r>
                  <w:r>
                    <w:rPr>
                      <w:rFonts w:ascii="仿宋" w:hAnsi="仿宋" w:cs="仿宋" w:eastAsia="仿宋"/>
                      <w:sz w:val="21"/>
                      <w:color w:val="000000"/>
                    </w:rPr>
                    <w:t>具备</w:t>
                  </w:r>
                  <w:r>
                    <w:rPr>
                      <w:rFonts w:ascii="仿宋" w:hAnsi="仿宋" w:cs="仿宋" w:eastAsia="仿宋"/>
                      <w:sz w:val="21"/>
                      <w:color w:val="000000"/>
                    </w:rPr>
                    <w:t>端口汇聚、端口监控、端口隔离、端口流量统计，</w:t>
                  </w:r>
                  <w:r>
                    <w:rPr>
                      <w:rFonts w:ascii="仿宋" w:hAnsi="仿宋" w:cs="仿宋" w:eastAsia="仿宋"/>
                      <w:sz w:val="21"/>
                      <w:color w:val="000000"/>
                    </w:rPr>
                    <w:t>具备</w:t>
                  </w:r>
                  <w:r>
                    <w:rPr>
                      <w:rFonts w:ascii="仿宋" w:hAnsi="仿宋" w:cs="仿宋" w:eastAsia="仿宋"/>
                      <w:sz w:val="21"/>
                      <w:color w:val="000000"/>
                    </w:rPr>
                    <w:t>DHCP Snooping，</w:t>
                  </w:r>
                  <w:r>
                    <w:rPr>
                      <w:rFonts w:ascii="仿宋" w:hAnsi="仿宋" w:cs="仿宋" w:eastAsia="仿宋"/>
                      <w:sz w:val="21"/>
                      <w:color w:val="000000"/>
                    </w:rPr>
                    <w:t>具备</w:t>
                  </w:r>
                  <w:r>
                    <w:rPr>
                      <w:rFonts w:ascii="仿宋" w:hAnsi="仿宋" w:cs="仿宋" w:eastAsia="仿宋"/>
                      <w:sz w:val="21"/>
                      <w:color w:val="000000"/>
                    </w:rPr>
                    <w:t>QoS、端口出/入口限速、风暴抑制，</w:t>
                  </w:r>
                  <w:r>
                    <w:rPr>
                      <w:rFonts w:ascii="仿宋" w:hAnsi="仿宋" w:cs="仿宋" w:eastAsia="仿宋"/>
                      <w:sz w:val="21"/>
                      <w:color w:val="000000"/>
                    </w:rPr>
                    <w:t>具备</w:t>
                  </w:r>
                  <w:r>
                    <w:rPr>
                      <w:rFonts w:ascii="仿宋" w:hAnsi="仿宋" w:cs="仿宋" w:eastAsia="仿宋"/>
                      <w:sz w:val="21"/>
                      <w:color w:val="000000"/>
                    </w:rPr>
                    <w:t>线缆检测、环回检测。</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spacing w:after="120"/>
                    <w:jc w:val="center"/>
                  </w:pPr>
                  <w:r>
                    <w:rPr>
                      <w:rFonts w:ascii="仿宋" w:hAnsi="仿宋" w:cs="仿宋" w:eastAsia="仿宋"/>
                      <w:sz w:val="21"/>
                      <w:color w:val="000000"/>
                    </w:rPr>
                    <w:t>2</w:t>
                  </w:r>
                </w:p>
              </w:tc>
              <w:tc>
                <w:tcPr>
                  <w:tcW w:type="dxa" w:w="634"/>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云</w:t>
                  </w:r>
                  <w:r>
                    <w:rPr>
                      <w:rFonts w:ascii="仿宋" w:hAnsi="仿宋" w:cs="仿宋" w:eastAsia="仿宋"/>
                      <w:sz w:val="21"/>
                      <w:color w:val="000000"/>
                    </w:rPr>
                    <w:t>服务器</w:t>
                  </w:r>
                </w:p>
              </w:tc>
              <w:tc>
                <w:tcPr>
                  <w:tcW w:type="dxa" w:w="149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参数：</w:t>
                  </w:r>
                  <w:r>
                    <w:rPr>
                      <w:rFonts w:ascii="仿宋" w:hAnsi="仿宋" w:cs="仿宋" w:eastAsia="仿宋"/>
                      <w:sz w:val="21"/>
                      <w:color w:val="000000"/>
                    </w:rPr>
                    <w:t>ECS</w:t>
                  </w:r>
                  <w:r>
                    <w:rPr>
                      <w:rFonts w:ascii="仿宋" w:hAnsi="仿宋" w:cs="仿宋" w:eastAsia="仿宋"/>
                      <w:sz w:val="21"/>
                      <w:color w:val="000000"/>
                    </w:rPr>
                    <w:t>，</w:t>
                  </w:r>
                  <w:r>
                    <w:rPr>
                      <w:rFonts w:ascii="仿宋" w:hAnsi="仿宋" w:cs="仿宋" w:eastAsia="仿宋"/>
                      <w:sz w:val="21"/>
                      <w:color w:val="000000"/>
                    </w:rPr>
                    <w:t>8核</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32G</w:t>
                  </w:r>
                  <w:r>
                    <w:rPr>
                      <w:rFonts w:ascii="仿宋" w:hAnsi="仿宋" w:cs="仿宋" w:eastAsia="仿宋"/>
                      <w:sz w:val="21"/>
                      <w:color w:val="000000"/>
                    </w:rPr>
                    <w:t>内存</w:t>
                  </w:r>
                  <w:r>
                    <w:rPr>
                      <w:rFonts w:ascii="仿宋" w:hAnsi="仿宋" w:cs="仿宋" w:eastAsia="仿宋"/>
                      <w:sz w:val="21"/>
                      <w:color w:val="000000"/>
                    </w:rPr>
                    <w:t>，硬盘</w:t>
                  </w:r>
                  <w:r>
                    <w:rPr>
                      <w:rFonts w:ascii="仿宋" w:hAnsi="仿宋" w:cs="仿宋" w:eastAsia="仿宋"/>
                      <w:sz w:val="21"/>
                      <w:color w:val="000000"/>
                    </w:rPr>
                    <w:t>≥</w:t>
                  </w:r>
                  <w:r>
                    <w:rPr>
                      <w:rFonts w:ascii="仿宋" w:hAnsi="仿宋" w:cs="仿宋" w:eastAsia="仿宋"/>
                      <w:sz w:val="21"/>
                      <w:color w:val="000000"/>
                    </w:rPr>
                    <w:t>1T，</w:t>
                  </w:r>
                  <w:r>
                    <w:rPr>
                      <w:rFonts w:ascii="仿宋" w:hAnsi="仿宋" w:cs="仿宋" w:eastAsia="仿宋"/>
                      <w:sz w:val="21"/>
                      <w:color w:val="000000"/>
                    </w:rPr>
                    <w:t>≥</w:t>
                  </w:r>
                  <w:r>
                    <w:rPr>
                      <w:rFonts w:ascii="仿宋" w:hAnsi="仿宋" w:cs="仿宋" w:eastAsia="仿宋"/>
                      <w:sz w:val="21"/>
                      <w:color w:val="000000"/>
                    </w:rPr>
                    <w:t>5M宽带，磁盘快照。</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spacing w:after="120"/>
                    <w:jc w:val="center"/>
                  </w:pPr>
                  <w:r>
                    <w:rPr>
                      <w:rFonts w:ascii="仿宋" w:hAnsi="仿宋" w:cs="仿宋" w:eastAsia="仿宋"/>
                      <w:sz w:val="21"/>
                      <w:color w:val="000000"/>
                    </w:rPr>
                    <w:t>3</w:t>
                  </w:r>
                </w:p>
              </w:tc>
              <w:tc>
                <w:tcPr>
                  <w:tcW w:type="dxa" w:w="634"/>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高拍仪</w:t>
                  </w:r>
                </w:p>
              </w:tc>
              <w:tc>
                <w:tcPr>
                  <w:tcW w:type="dxa" w:w="149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参数：</w:t>
                  </w:r>
                  <w:r>
                    <w:rPr>
                      <w:rFonts w:ascii="仿宋" w:hAnsi="仿宋" w:cs="仿宋" w:eastAsia="仿宋"/>
                      <w:sz w:val="21"/>
                      <w:color w:val="000000"/>
                    </w:rPr>
                    <w:t>≥</w:t>
                  </w:r>
                  <w:r>
                    <w:rPr>
                      <w:rFonts w:ascii="仿宋" w:hAnsi="仿宋" w:cs="仿宋" w:eastAsia="仿宋"/>
                      <w:sz w:val="21"/>
                      <w:color w:val="000000"/>
                    </w:rPr>
                    <w:t>2000万像素，5.0英寸LCD屏，</w:t>
                  </w:r>
                  <w:r>
                    <w:rPr>
                      <w:rFonts w:ascii="仿宋" w:hAnsi="仿宋" w:cs="仿宋" w:eastAsia="仿宋"/>
                      <w:sz w:val="21"/>
                      <w:color w:val="000000"/>
                    </w:rPr>
                    <w:t>具备</w:t>
                  </w:r>
                  <w:r>
                    <w:rPr>
                      <w:rFonts w:ascii="仿宋" w:hAnsi="仿宋" w:cs="仿宋" w:eastAsia="仿宋"/>
                      <w:sz w:val="21"/>
                      <w:color w:val="000000"/>
                    </w:rPr>
                    <w:t>定时连拍，扫描速度</w:t>
                  </w:r>
                  <w:r>
                    <w:rPr>
                      <w:rFonts w:ascii="仿宋" w:hAnsi="仿宋" w:cs="仿宋" w:eastAsia="仿宋"/>
                      <w:sz w:val="21"/>
                      <w:color w:val="000000"/>
                    </w:rPr>
                    <w:t>≤1S，</w:t>
                  </w:r>
                  <w:r>
                    <w:rPr>
                      <w:rFonts w:ascii="仿宋" w:hAnsi="仿宋" w:cs="仿宋" w:eastAsia="仿宋"/>
                      <w:sz w:val="21"/>
                      <w:color w:val="000000"/>
                    </w:rPr>
                    <w:t>具备</w:t>
                  </w:r>
                  <w:r>
                    <w:rPr>
                      <w:rFonts w:ascii="仿宋" w:hAnsi="仿宋" w:cs="仿宋" w:eastAsia="仿宋"/>
                      <w:sz w:val="21"/>
                      <w:color w:val="000000"/>
                    </w:rPr>
                    <w:t>联机、脱机双扫描模式，</w:t>
                  </w:r>
                  <w:r>
                    <w:rPr>
                      <w:rFonts w:ascii="仿宋" w:hAnsi="仿宋" w:cs="仿宋" w:eastAsia="仿宋"/>
                      <w:sz w:val="21"/>
                      <w:color w:val="000000"/>
                    </w:rPr>
                    <w:t>具备</w:t>
                  </w:r>
                  <w:r>
                    <w:rPr>
                      <w:rFonts w:ascii="仿宋" w:hAnsi="仿宋" w:cs="仿宋" w:eastAsia="仿宋"/>
                      <w:sz w:val="21"/>
                      <w:color w:val="000000"/>
                    </w:rPr>
                    <w:t>HDMI外接。</w:t>
                  </w:r>
                </w:p>
              </w:tc>
            </w:tr>
            <w:tr>
              <w:tc>
                <w:tcPr>
                  <w:tcW w:type="dxa" w:w="427"/>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spacing w:after="120"/>
                    <w:jc w:val="center"/>
                  </w:pPr>
                  <w:r>
                    <w:rPr>
                      <w:rFonts w:ascii="仿宋" w:hAnsi="仿宋" w:cs="仿宋" w:eastAsia="仿宋"/>
                      <w:sz w:val="21"/>
                      <w:color w:val="000000"/>
                    </w:rPr>
                    <w:t>4</w:t>
                  </w:r>
                </w:p>
              </w:tc>
              <w:tc>
                <w:tcPr>
                  <w:tcW w:type="dxa" w:w="634"/>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台式电脑</w:t>
                  </w:r>
                </w:p>
              </w:tc>
              <w:tc>
                <w:tcPr>
                  <w:tcW w:type="dxa" w:w="1490"/>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参数：处理器</w:t>
                  </w:r>
                  <w:r>
                    <w:rPr>
                      <w:rFonts w:ascii="仿宋" w:hAnsi="仿宋" w:cs="仿宋" w:eastAsia="仿宋"/>
                      <w:sz w:val="21"/>
                      <w:color w:val="000000"/>
                    </w:rPr>
                    <w:t>性能</w:t>
                  </w:r>
                  <w:r>
                    <w:rPr>
                      <w:rFonts w:ascii="仿宋" w:hAnsi="仿宋" w:cs="仿宋" w:eastAsia="仿宋"/>
                      <w:sz w:val="21"/>
                      <w:color w:val="000000"/>
                    </w:rPr>
                    <w:t>不低于</w:t>
                  </w:r>
                  <w:r>
                    <w:rPr>
                      <w:rFonts w:ascii="仿宋" w:hAnsi="仿宋" w:cs="仿宋" w:eastAsia="仿宋"/>
                      <w:sz w:val="21"/>
                      <w:color w:val="000000"/>
                    </w:rPr>
                    <w:t>Inteli3-10100；</w:t>
                  </w:r>
                  <w:r>
                    <w:rPr>
                      <w:rFonts w:ascii="仿宋" w:hAnsi="仿宋" w:cs="仿宋" w:eastAsia="仿宋"/>
                      <w:sz w:val="21"/>
                      <w:color w:val="000000"/>
                    </w:rPr>
                    <w:t>≥</w:t>
                  </w:r>
                  <w:r>
                    <w:rPr>
                      <w:rFonts w:ascii="仿宋" w:hAnsi="仿宋" w:cs="仿宋" w:eastAsia="仿宋"/>
                      <w:sz w:val="21"/>
                      <w:color w:val="000000"/>
                    </w:rPr>
                    <w:t>8G</w:t>
                  </w:r>
                  <w:r>
                    <w:rPr>
                      <w:rFonts w:ascii="calibri" w:hAnsi="calibri" w:cs="calibri" w:eastAsia="calibri"/>
                      <w:sz w:val="21"/>
                    </w:rPr>
                    <w:t xml:space="preserve"> </w:t>
                  </w:r>
                  <w:r>
                    <w:rPr>
                      <w:rFonts w:ascii="仿宋" w:hAnsi="仿宋" w:cs="仿宋" w:eastAsia="仿宋"/>
                      <w:sz w:val="21"/>
                      <w:color w:val="000000"/>
                    </w:rPr>
                    <w:t>RAM；硬盘容量</w:t>
                  </w:r>
                  <w:r>
                    <w:rPr>
                      <w:rFonts w:ascii="仿宋" w:hAnsi="仿宋" w:cs="仿宋" w:eastAsia="仿宋"/>
                      <w:sz w:val="21"/>
                      <w:color w:val="000000"/>
                    </w:rPr>
                    <w:t>≥</w:t>
                  </w:r>
                  <w:r>
                    <w:rPr>
                      <w:rFonts w:ascii="仿宋" w:hAnsi="仿宋" w:cs="仿宋" w:eastAsia="仿宋"/>
                      <w:sz w:val="21"/>
                      <w:color w:val="000000"/>
                    </w:rPr>
                    <w:t>1T+256 SSD。</w:t>
                  </w:r>
                </w:p>
              </w:tc>
            </w:tr>
          </w:tbl>
          <w:p/>
        </w:tc>
      </w:tr>
      <w:tr>
        <w:tc>
          <w:tcPr>
            <w:tcW w:type="dxa" w:w="2769"/>
          </w:tcPr>
          <w:p/>
        </w:tc>
        <w:tc>
          <w:tcPr>
            <w:tcW w:type="dxa" w:w="2769"/>
          </w:tcPr>
          <w:p>
            <w:pPr>
              <w:pStyle w:val="null3"/>
            </w:pPr>
            <w:r>
              <w:rPr/>
              <w:t>6</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433"/>
              <w:gridCol w:w="625"/>
              <w:gridCol w:w="1486"/>
            </w:tblGrid>
            <w:tr>
              <w:tc>
                <w:tcPr>
                  <w:tcW w:type="dxa" w:w="2544"/>
                  <w:gridSpan w:val="3"/>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both"/>
                  </w:pPr>
                  <w:r>
                    <w:rPr>
                      <w:rFonts w:ascii="仿宋" w:hAnsi="仿宋" w:cs="仿宋" w:eastAsia="仿宋"/>
                      <w:sz w:val="21"/>
                      <w:color w:val="000000"/>
                    </w:rPr>
                    <w:t>商务</w:t>
                  </w:r>
                  <w:r>
                    <w:rPr>
                      <w:rFonts w:ascii="仿宋" w:hAnsi="仿宋" w:cs="仿宋" w:eastAsia="仿宋"/>
                      <w:sz w:val="21"/>
                      <w:color w:val="000000"/>
                    </w:rPr>
                    <w:t>要求</w:t>
                  </w:r>
                </w:p>
              </w:tc>
            </w:tr>
            <w:tr>
              <w:tc>
                <w:tcPr>
                  <w:tcW w:type="dxa" w:w="433"/>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序号</w:t>
                  </w:r>
                </w:p>
              </w:tc>
              <w:tc>
                <w:tcPr>
                  <w:tcW w:type="dxa" w:w="625"/>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功能模块</w:t>
                  </w:r>
                </w:p>
              </w:tc>
              <w:tc>
                <w:tcPr>
                  <w:tcW w:type="dxa" w:w="1486"/>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功能描述</w:t>
                  </w:r>
                </w:p>
              </w:tc>
            </w:tr>
            <w:tr>
              <w:tc>
                <w:tcPr>
                  <w:tcW w:type="dxa" w:w="433"/>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（一）</w:t>
                  </w:r>
                </w:p>
              </w:tc>
              <w:tc>
                <w:tcPr>
                  <w:tcW w:type="dxa" w:w="2111"/>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实施要求</w:t>
                  </w:r>
                </w:p>
              </w:tc>
            </w:tr>
            <w:tr>
              <w:tc>
                <w:tcPr>
                  <w:tcW w:type="dxa" w:w="433"/>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实施要求</w:t>
                  </w:r>
                </w:p>
              </w:tc>
              <w:tc>
                <w:tcPr>
                  <w:tcW w:type="dxa" w:w="1486"/>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合同签订后</w:t>
                  </w:r>
                  <w:r>
                    <w:rPr>
                      <w:rFonts w:ascii="仿宋" w:hAnsi="仿宋" w:cs="仿宋" w:eastAsia="仿宋"/>
                      <w:sz w:val="21"/>
                      <w:color w:val="000000"/>
                    </w:rPr>
                    <w:t>120个日历日内系统部署完毕，完成上线试运行，包括项目实施、项目试运行、项目验收等阶段。</w:t>
                  </w:r>
                </w:p>
                <w:p>
                  <w:pPr>
                    <w:pStyle w:val="null3"/>
                    <w:jc w:val="center"/>
                  </w:pPr>
                  <w:r>
                    <w:rPr>
                      <w:rFonts w:ascii="仿宋" w:hAnsi="仿宋" w:cs="仿宋" w:eastAsia="仿宋"/>
                      <w:sz w:val="21"/>
                      <w:color w:val="000000"/>
                    </w:rPr>
                    <w:t>在项目实施期间，服务商不得更换主要项目支持人员。</w:t>
                  </w:r>
                </w:p>
                <w:p>
                  <w:pPr>
                    <w:pStyle w:val="null3"/>
                    <w:jc w:val="center"/>
                  </w:pPr>
                  <w:r>
                    <w:rPr>
                      <w:rFonts w:ascii="仿宋" w:hAnsi="仿宋" w:cs="仿宋" w:eastAsia="仿宋"/>
                      <w:sz w:val="21"/>
                      <w:color w:val="000000"/>
                    </w:rPr>
                    <w:t>服务商需要安排实施人员到现场进行软件安装、系统调试、用户培训、技术支持、解答问题、观察运行、系统重装等服务。</w:t>
                  </w:r>
                </w:p>
              </w:tc>
            </w:tr>
            <w:tr>
              <w:tc>
                <w:tcPr>
                  <w:tcW w:type="dxa" w:w="433"/>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（二）</w:t>
                  </w:r>
                </w:p>
              </w:tc>
              <w:tc>
                <w:tcPr>
                  <w:tcW w:type="dxa" w:w="2111"/>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培训要求</w:t>
                  </w:r>
                </w:p>
              </w:tc>
            </w:tr>
            <w:tr>
              <w:tc>
                <w:tcPr>
                  <w:tcW w:type="dxa" w:w="433"/>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培训要求</w:t>
                  </w:r>
                </w:p>
              </w:tc>
              <w:tc>
                <w:tcPr>
                  <w:tcW w:type="dxa" w:w="1486"/>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应提供现场及远程相结合的培训方案，包括培训课程、内容、人员时间、地点、方式等，实施方应提供全套培训教材、培训资料。对系统管理员、一线使用人员、领导层分别单独进行培训。</w:t>
                  </w:r>
                </w:p>
              </w:tc>
            </w:tr>
            <w:tr>
              <w:tc>
                <w:tcPr>
                  <w:tcW w:type="dxa" w:w="433"/>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（三）</w:t>
                  </w:r>
                </w:p>
              </w:tc>
              <w:tc>
                <w:tcPr>
                  <w:tcW w:type="dxa" w:w="2111"/>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售后服务要求</w:t>
                  </w:r>
                </w:p>
              </w:tc>
            </w:tr>
            <w:tr>
              <w:tc>
                <w:tcPr>
                  <w:tcW w:type="dxa" w:w="433"/>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响应要求</w:t>
                  </w:r>
                </w:p>
              </w:tc>
              <w:tc>
                <w:tcPr>
                  <w:tcW w:type="dxa" w:w="1486"/>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1、服务商需提供7*24小时的售后技术支持服务（包括故障排除、性能调优、技术咨询等，并负责处理、协调与各系统软件、硬件等供应商的关系）。</w:t>
                  </w:r>
                </w:p>
                <w:p>
                  <w:pPr>
                    <w:pStyle w:val="null3"/>
                    <w:jc w:val="center"/>
                  </w:pPr>
                  <w:r>
                    <w:rPr>
                      <w:rFonts w:ascii="仿宋" w:hAnsi="仿宋" w:cs="仿宋" w:eastAsia="仿宋"/>
                      <w:sz w:val="21"/>
                      <w:color w:val="000000"/>
                    </w:rPr>
                    <w:t>2、供应商能保证系统长期的维护与升级与能力，服务响应时间为2小时，若不能在2小时内解决故障问题，须在8小时内赶到现场解决。供应商应给出具体的服务承诺，以最快的速度派技术服务人员到达现场解决问题。</w:t>
                  </w:r>
                </w:p>
              </w:tc>
            </w:tr>
            <w:tr>
              <w:tc>
                <w:tcPr>
                  <w:tcW w:type="dxa" w:w="433"/>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（四）</w:t>
                  </w:r>
                </w:p>
              </w:tc>
              <w:tc>
                <w:tcPr>
                  <w:tcW w:type="dxa" w:w="2111"/>
                  <w:gridSpan w:val="2"/>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质保要求</w:t>
                  </w:r>
                </w:p>
              </w:tc>
            </w:tr>
            <w:tr>
              <w:tc>
                <w:tcPr>
                  <w:tcW w:type="dxa" w:w="433"/>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625"/>
                  <w:tcBorders>
                    <w:top w:val="none" w:color="00000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质保要求</w:t>
                  </w:r>
                </w:p>
              </w:tc>
              <w:tc>
                <w:tcPr>
                  <w:tcW w:type="dxa" w:w="1486"/>
                  <w:tcBorders>
                    <w:top w:val="single" w:color="404040" w:sz="4"/>
                    <w:left w:val="single" w:color="404040" w:sz="4"/>
                    <w:bottom w:val="single" w:color="404040" w:sz="4"/>
                    <w:right w:val="single" w:color="404040" w:sz="4"/>
                  </w:tcBorders>
                  <w:shd w:fill="FFFFFF"/>
                  <w:tcMar>
                    <w:top w:type="dxa" w:w="0"/>
                    <w:left w:type="dxa" w:w="105"/>
                    <w:bottom w:type="dxa" w:w="0"/>
                    <w:right w:type="dxa" w:w="105"/>
                  </w:tcMar>
                  <w:vAlign w:val="top"/>
                </w:tcPr>
                <w:p>
                  <w:pPr>
                    <w:pStyle w:val="null3"/>
                    <w:jc w:val="center"/>
                  </w:pPr>
                  <w:r>
                    <w:rPr>
                      <w:rFonts w:ascii="仿宋" w:hAnsi="仿宋" w:cs="仿宋" w:eastAsia="仿宋"/>
                      <w:sz w:val="21"/>
                      <w:color w:val="000000"/>
                    </w:rPr>
                    <w:t>1、项目终验通过之日起进行售后服务期，服务商须提供至少1年的免费质保运维服务。如质保期满后使用方提出对系统作必要改动和升级，供应商应能及时修改和升级，保证其系统能达到使用方的要求。</w:t>
                  </w:r>
                </w:p>
                <w:p>
                  <w:pPr>
                    <w:pStyle w:val="null3"/>
                    <w:jc w:val="center"/>
                  </w:pPr>
                  <w:r>
                    <w:rPr>
                      <w:rFonts w:ascii="仿宋" w:hAnsi="仿宋" w:cs="仿宋" w:eastAsia="仿宋"/>
                      <w:sz w:val="21"/>
                      <w:color w:val="000000"/>
                    </w:rPr>
                    <w:t>2、供应商须对使用人员进行必要的技术和操作培训，以满足本项目建成后正常运行、维护和技术支持的需要，培训费用包含在本次总报价中。</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合同签订后120个日历日</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交货完成并验收合格后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（一）外观验收：产品/设备及其备附件到达甲方指定地点后，甲方根据合同要求，在乙方和甲方相关负责人双方同时在场的情况下，进行外观验收，确认产地、规格、型号和数量。 （二）安装调试：乙方应配合甲方的工期要求，负责在现场对产品/设备进行安装、调试和试运行，直至验收合格。乙方应提供全部安装、调试过程中所需的材料、设施设备、人工等。试运行应当在甲方的监督下进行。 （三）最终验收：产品/设备安装调试和运行后，由乙方向甲方递交产品/设备安装调试记录和竣工通知书，经甲方确认后，组织乙方进行系统验收（必要时甲方可委托具有相关资质的第三方检测机构/技术专家对产品/设备进行系统验收，由此产生的相关费用由乙方承担，需要国家法定检验部门进行检验或验收的由乙方负责联系）。验收合格后，填写政府釆购项目履约验收单（一式伍份）作为对产品/设备的最终认可。 （四）验收依据 1、谈判文件、响应文件、澄清表（函）； 2、本合同及附件文本； 3、合同签订时国家及行业现行的标准和技术规范。 （五）乙方应向甲方提交项目实施过程中的所有资料，以便甲方日后管理和维护。 （六）双方拟定的其他条款。</w:t>
      </w:r>
    </w:p>
    <w:p>
      <w:pPr>
        <w:pStyle w:val="null3"/>
        <w:outlineLvl w:val="3"/>
      </w:pPr>
      <w:r>
        <w:rPr>
          <w:sz w:val="24"/>
          <w:b/>
        </w:rPr>
        <w:t>3.4.6包装方式及运输</w:t>
      </w:r>
    </w:p>
    <w:p>
      <w:pPr>
        <w:pStyle w:val="null3"/>
      </w:pPr>
      <w:r>
        <w:rPr/>
        <w:t>采购包1：</w:t>
      </w:r>
    </w:p>
    <w:p>
      <w:pPr>
        <w:pStyle w:val="null3"/>
      </w:pPr>
      <w:r>
        <w:rPr/>
        <w:t>（一）产品/设备及其备附件的包装应为出厂时的原包装，包装内应附有详细的装箱清单、出厂合格证明及其他相关资料。 （二）运输由乙方负责，运杂费已包含在合同总价内，包括从产品/设备供应地点运送至交付地点所含的运输费、装卸费、仓储费、安装费、保险费等。 （三）运输方式由乙方自行选择，但必须保证按期交付。 （四）产品/设备及其备附件到达甲方指定地点后，乙方应按有关技术规程和甲方要求进行存放和保管。 （五）双方拟定的其他条款。</w:t>
      </w:r>
    </w:p>
    <w:p>
      <w:pPr>
        <w:pStyle w:val="null3"/>
        <w:outlineLvl w:val="3"/>
      </w:pPr>
      <w:r>
        <w:rPr>
          <w:sz w:val="24"/>
          <w:b/>
        </w:rPr>
        <w:t>3.4.7质量保修范围和保修期</w:t>
      </w:r>
    </w:p>
    <w:p>
      <w:pPr>
        <w:pStyle w:val="null3"/>
      </w:pPr>
      <w:r>
        <w:rPr/>
        <w:t>采购包1：</w:t>
      </w:r>
    </w:p>
    <w:p>
      <w:pPr>
        <w:pStyle w:val="null3"/>
      </w:pPr>
      <w:r>
        <w:rPr/>
        <w:t>1、项目验收正式开始运行之日起12个月。 2、项目终验通过之日起进行售后服务期，服务商须提供至少1年的免费质保运维服务。如质保期满后使用方提出对系统作必要改动和升级，供应商应能及时修改和升级，保证其系统能达到使用方的要求。 3、供应商须对使用人员进行必要的技术和操作培训，以满足本项目建成后正常运行、维护和技术支持的需要，培训费用包含在本次总报价中。</w:t>
      </w:r>
    </w:p>
    <w:p>
      <w:pPr>
        <w:pStyle w:val="null3"/>
        <w:outlineLvl w:val="3"/>
      </w:pPr>
      <w:r>
        <w:rPr>
          <w:sz w:val="24"/>
          <w:b/>
        </w:rPr>
        <w:t>3.4.8违约责任及解决争议的方法</w:t>
      </w:r>
    </w:p>
    <w:p>
      <w:pPr>
        <w:pStyle w:val="null3"/>
      </w:pPr>
      <w:r>
        <w:rPr/>
        <w:t>采购包1：</w:t>
      </w:r>
    </w:p>
    <w:p>
      <w:pPr>
        <w:pStyle w:val="null3"/>
      </w:pPr>
      <w:r>
        <w:rPr/>
        <w:t>详见谈判文件及采购需求。</w:t>
      </w:r>
    </w:p>
    <w:p>
      <w:pPr>
        <w:pStyle w:val="null3"/>
        <w:jc w:val="left"/>
        <w:outlineLvl w:val="3"/>
      </w:pPr>
      <w:r>
        <w:rPr>
          <w:sz w:val="24"/>
          <w:b/>
        </w:rPr>
        <w:t>3.5其他要求</w:t>
      </w:r>
    </w:p>
    <w:p>
      <w:pPr>
        <w:pStyle w:val="null3"/>
      </w:pPr>
      <w:r>
        <w:rPr/>
        <w:t>采购包1：</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谈判报价表及分项报价表 标的清单 报价表</w:t>
            </w:r>
          </w:p>
        </w:tc>
      </w:tr>
      <w:tr>
        <w:tc>
          <w:tcPr>
            <w:tcW w:type="dxa" w:w="831"/>
          </w:tcPr>
          <w:p>
            <w:pPr>
              <w:pStyle w:val="null3"/>
            </w:pPr>
            <w:r>
              <w:rPr/>
              <w:t>2</w:t>
            </w:r>
          </w:p>
        </w:tc>
        <w:tc>
          <w:tcPr>
            <w:tcW w:type="dxa" w:w="2492"/>
          </w:tcPr>
          <w:p>
            <w:pPr>
              <w:pStyle w:val="null3"/>
            </w:pPr>
            <w:r>
              <w:rPr/>
              <w:t>交货期、付款方式、质保期、响应文件有效期</w:t>
            </w:r>
          </w:p>
        </w:tc>
        <w:tc>
          <w:tcPr>
            <w:tcW w:type="dxa" w:w="3322"/>
          </w:tcPr>
          <w:p>
            <w:pPr>
              <w:pStyle w:val="null3"/>
            </w:pPr>
            <w:r>
              <w:rPr/>
              <w:t>符合谈判文件要求</w:t>
            </w:r>
          </w:p>
        </w:tc>
        <w:tc>
          <w:tcPr>
            <w:tcW w:type="dxa" w:w="1661"/>
          </w:tcPr>
          <w:p>
            <w:pPr>
              <w:pStyle w:val="null3"/>
            </w:pPr>
            <w:r>
              <w:rPr/>
              <w:t>商务及技术要求偏离表 谈判报价表及分项报价表</w:t>
            </w:r>
          </w:p>
        </w:tc>
      </w:tr>
      <w:tr>
        <w:tc>
          <w:tcPr>
            <w:tcW w:type="dxa" w:w="831"/>
          </w:tcPr>
          <w:p>
            <w:pPr>
              <w:pStyle w:val="null3"/>
            </w:pPr>
            <w:r>
              <w:rPr/>
              <w:t>3</w:t>
            </w:r>
          </w:p>
        </w:tc>
        <w:tc>
          <w:tcPr>
            <w:tcW w:type="dxa" w:w="2492"/>
          </w:tcPr>
          <w:p>
            <w:pPr>
              <w:pStyle w:val="null3"/>
            </w:pPr>
            <w:r>
              <w:rPr/>
              <w:t>技术响应性审查</w:t>
            </w:r>
          </w:p>
        </w:tc>
        <w:tc>
          <w:tcPr>
            <w:tcW w:type="dxa" w:w="3322"/>
          </w:tcPr>
          <w:p>
            <w:pPr>
              <w:pStyle w:val="null3"/>
            </w:pPr>
            <w:r>
              <w:rPr/>
              <w:t>谈判响应文件的技术指标是否满足采购要求</w:t>
            </w:r>
          </w:p>
        </w:tc>
        <w:tc>
          <w:tcPr>
            <w:tcW w:type="dxa" w:w="1661"/>
          </w:tcPr>
          <w:p>
            <w:pPr>
              <w:pStyle w:val="null3"/>
            </w:pPr>
            <w:r>
              <w:rPr/>
              <w:t>商务及技术要求偏离表 供货方案</w:t>
            </w:r>
          </w:p>
        </w:tc>
      </w:tr>
      <w:tr>
        <w:tc>
          <w:tcPr>
            <w:tcW w:type="dxa" w:w="831"/>
          </w:tcPr>
          <w:p>
            <w:pPr>
              <w:pStyle w:val="null3"/>
            </w:pPr>
            <w:r>
              <w:rPr/>
              <w:t>4</w:t>
            </w:r>
          </w:p>
        </w:tc>
        <w:tc>
          <w:tcPr>
            <w:tcW w:type="dxa" w:w="2492"/>
          </w:tcPr>
          <w:p>
            <w:pPr>
              <w:pStyle w:val="null3"/>
            </w:pPr>
            <w:r>
              <w:rPr/>
              <w:t>谈判文件规定的其他情形</w:t>
            </w:r>
          </w:p>
        </w:tc>
        <w:tc>
          <w:tcPr>
            <w:tcW w:type="dxa" w:w="3322"/>
          </w:tcPr>
          <w:p>
            <w:pPr>
              <w:pStyle w:val="null3"/>
            </w:pPr>
            <w:r>
              <w:rPr/>
              <w:t>符合谈判文件要求</w:t>
            </w:r>
          </w:p>
        </w:tc>
        <w:tc>
          <w:tcPr>
            <w:tcW w:type="dxa" w:w="1661"/>
          </w:tcPr>
          <w:p>
            <w:pPr>
              <w:pStyle w:val="null3"/>
            </w:pPr>
            <w:r>
              <w:rPr/>
              <w:t>商务及技术要求偏离表 谈判报价表及分项报价表 供货方案 资格响应表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详见附件：供货方案</w:t>
      </w:r>
    </w:p>
    <w:p>
      <w:pPr>
        <w:pStyle w:val="null3"/>
        <w:ind w:firstLine="960"/>
      </w:pPr>
      <w:r>
        <w:rPr/>
        <w:t>详见附件：商务及技术要求偏离表</w:t>
      </w:r>
    </w:p>
    <w:p>
      <w:pPr>
        <w:pStyle w:val="null3"/>
        <w:ind w:firstLine="960"/>
      </w:pPr>
      <w:r>
        <w:rPr/>
        <w:t>详见附件：谈判报价表及分项报价表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