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版本号：240614002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长安校区2024年学生公寓粉刷项目</w:t>
      </w:r>
    </w:p>
    <w:p>
      <w:pPr>
        <w:pStyle w:val="null3"/>
        <w:jc w:val="center"/>
        <w:outlineLvl w:val="2"/>
      </w:pPr>
      <w:r>
        <w:rPr>
          <w:sz w:val="28"/>
          <w:b/>
        </w:rPr>
        <w:t>采购项目编号：</w:t>
      </w:r>
      <w:r>
        <w:rPr>
          <w:sz w:val="28"/>
          <w:b/>
        </w:rPr>
        <w:t>SZT2024-SN-SC-ZC-GC-0470</w:t>
      </w:r>
      <w:r>
        <w:br/>
      </w:r>
      <w:r>
        <w:br/>
      </w:r>
      <w:r>
        <w:br/>
      </w:r>
    </w:p>
    <w:p>
      <w:pPr>
        <w:pStyle w:val="null3"/>
        <w:jc w:val="center"/>
        <w:outlineLvl w:val="2"/>
      </w:pPr>
      <w:r>
        <w:rPr>
          <w:sz w:val="28"/>
          <w:b/>
        </w:rPr>
        <w:t>西北政法大学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2024年06月17日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西北政法大学</w:t>
      </w:r>
      <w:r>
        <w:rPr/>
        <w:t>委托，拟对</w:t>
      </w:r>
      <w:r>
        <w:rPr/>
        <w:t>长安校区2024年学生公寓粉刷项目</w:t>
      </w:r>
      <w:r>
        <w:rPr/>
        <w:t>采用竞争性磋商采购方式进行采购，兹邀请供应商参加本项目的竞争性磋商。</w:t>
      </w:r>
    </w:p>
    <w:p>
      <w:pPr>
        <w:pStyle w:val="null3"/>
        <w:outlineLvl w:val="2"/>
      </w:pPr>
      <w:r>
        <w:rPr>
          <w:sz w:val="28"/>
          <w:b/>
        </w:rPr>
        <w:t>一、采购项目编号：</w:t>
      </w:r>
      <w:r>
        <w:rPr>
          <w:sz w:val="28"/>
          <w:b/>
        </w:rPr>
        <w:t>SZT2024-SN-SC-ZC-GC-0470</w:t>
      </w:r>
    </w:p>
    <w:p>
      <w:pPr>
        <w:pStyle w:val="null3"/>
        <w:outlineLvl w:val="2"/>
      </w:pPr>
      <w:r>
        <w:rPr>
          <w:sz w:val="28"/>
          <w:b/>
        </w:rPr>
        <w:t>二、采购项目名称：</w:t>
      </w:r>
      <w:r>
        <w:rPr>
          <w:sz w:val="28"/>
          <w:b/>
        </w:rPr>
        <w:t>长安校区2024年学生公寓粉刷项目</w:t>
      </w:r>
    </w:p>
    <w:p>
      <w:pPr>
        <w:pStyle w:val="null3"/>
        <w:outlineLvl w:val="2"/>
      </w:pPr>
      <w:r>
        <w:rPr>
          <w:sz w:val="28"/>
          <w:b/>
        </w:rPr>
        <w:t>三、磋商项目简介</w:t>
      </w:r>
    </w:p>
    <w:p>
      <w:pPr>
        <w:pStyle w:val="null3"/>
        <w:ind w:firstLine="480"/>
      </w:pPr>
      <w:r>
        <w:rPr/>
        <w:t>本项目主要包括长安校区2024年616间毕业生宿舍及部分公共区域进行墙面粉刷维修及宿舍内公寓楼桌、椅、床、窗等维修、窗纱更换等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采购包1（长安校区2024年学生公寓粉刷）：属于专门面向中小企业采购。</w:t>
      </w:r>
    </w:p>
    <w:p>
      <w:pPr>
        <w:pStyle w:val="null3"/>
        <w:ind w:firstLine="480"/>
      </w:pPr>
      <w:r>
        <w:rPr/>
        <w:t>（三）本项目的特定资格要求：</w:t>
      </w:r>
    </w:p>
    <w:p>
      <w:pPr>
        <w:pStyle w:val="null3"/>
      </w:pPr>
      <w:r>
        <w:rPr/>
        <w:t>采购包1：</w:t>
      </w:r>
    </w:p>
    <w:p>
      <w:pPr>
        <w:pStyle w:val="null3"/>
      </w:pPr>
      <w:r>
        <w:rPr/>
        <w:t>1、供应商资质：供应商具备建筑工程施工总承包三级或以上资质或建筑装修装饰工程专业承包二级或以上资质，及有效的安全生产许可证</w:t>
      </w:r>
    </w:p>
    <w:p>
      <w:pPr>
        <w:pStyle w:val="null3"/>
      </w:pPr>
      <w:r>
        <w:rPr/>
        <w:t>2、拟派项目负责人资质及专业要求：项目经理需具备建筑工程专业二级或以上注册建造师证书和安全生产考核合格证（B证），且无在建工程项目（提供承诺函）；</w:t>
      </w:r>
    </w:p>
    <w:p>
      <w:pPr>
        <w:pStyle w:val="null3"/>
      </w:pPr>
      <w:r>
        <w:rPr/>
        <w:t>3、供应商及项目经理信息在“陕西省建筑市场监管与诚信信息发布平台”可查询；：供应商及项目经理信息在“陕西省建筑市场监管与诚信信息发布平台”可查询；</w:t>
      </w:r>
    </w:p>
    <w:p>
      <w:pPr>
        <w:pStyle w:val="null3"/>
      </w:pPr>
      <w:r>
        <w:rPr/>
        <w:t>4、本项目专门面向中小企业采购：本项目专门面向中小企业采购，供应商应为中小微企业或监狱企业或残疾人福利性单位。</w:t>
      </w:r>
    </w:p>
    <w:p>
      <w:pPr>
        <w:pStyle w:val="null3"/>
      </w:pPr>
      <w:r>
        <w:rPr/>
        <w:t>5、法定代表人授权委托书：供应商应授权合法的人员参加磋商全过程，其中法定代表人直接参加磋商的，须出具法定代表人身份证，并与营业执照上信息一致。法定代表人授权代表参加磋商的，须出具法定代表人授权书及授权代表身份证；</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西北政法大学</w:t>
      </w:r>
    </w:p>
    <w:p>
      <w:pPr>
        <w:pStyle w:val="null3"/>
      </w:pPr>
      <w:r>
        <w:rPr/>
        <w:t xml:space="preserve"> 地址： </w:t>
      </w:r>
      <w:r>
        <w:rPr/>
        <w:t>西安市长安区西长安街558号西北政法大学</w:t>
      </w:r>
    </w:p>
    <w:p>
      <w:pPr>
        <w:pStyle w:val="null3"/>
      </w:pPr>
      <w:r>
        <w:rPr/>
        <w:t xml:space="preserve"> 邮编： </w:t>
      </w:r>
      <w:r>
        <w:rPr/>
        <w:t>710000</w:t>
      </w:r>
    </w:p>
    <w:p>
      <w:pPr>
        <w:pStyle w:val="null3"/>
      </w:pPr>
      <w:r>
        <w:rPr/>
        <w:t xml:space="preserve"> 联系人： </w:t>
      </w:r>
      <w:r>
        <w:rPr/>
        <w:t>王老师</w:t>
      </w:r>
    </w:p>
    <w:p>
      <w:pPr>
        <w:pStyle w:val="null3"/>
      </w:pPr>
      <w:r>
        <w:rPr/>
        <w:t xml:space="preserve"> 联系电话： </w:t>
      </w:r>
      <w:r>
        <w:rPr/>
        <w:t>029-88182569</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采购包1：988,019.80元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参见国家计委颁布的《招标代理服务收费管理暂行办法》（计价格[2002]1980号）和（发改办价格[2003]857号）中工程类收费标准，在领取成交通知书时向采购代理机构一次性交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踏勘时间：2024-06-25 10:00:00</w:t>
            </w:r>
          </w:p>
          <w:p>
            <w:pPr>
              <w:pStyle w:val="null3"/>
              <w:ind w:firstLine="975"/>
            </w:pPr>
            <w:r>
              <w:rPr/>
              <w:t>踏勘地点：西北政法大学长安校区</w:t>
            </w:r>
          </w:p>
          <w:p>
            <w:pPr>
              <w:pStyle w:val="null3"/>
              <w:ind w:firstLine="975"/>
            </w:pPr>
            <w:r>
              <w:rPr/>
              <w:t>联系人：王勇义</w:t>
            </w:r>
          </w:p>
          <w:p>
            <w:pPr>
              <w:pStyle w:val="null3"/>
              <w:ind w:firstLine="975"/>
            </w:pPr>
            <w:r>
              <w:rPr/>
              <w:t>联系电话号码：13571829703</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西北政法大学</w:t>
      </w:r>
      <w:r>
        <w:rPr/>
        <w:t>和</w:t>
      </w:r>
      <w:r>
        <w:rPr/>
        <w:t>陕西中技招标有限公司</w:t>
      </w:r>
      <w:r>
        <w:rPr/>
        <w:t>享有。对磋商文件中供应商参加本次政府采购活动应当具备的条件，磋商项目技术、服务、商务及其他要求，评审细则及标准由</w:t>
      </w:r>
      <w:r>
        <w:rPr/>
        <w:t>西北政法大学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西北政法大学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合同文本，磋商文件，响应文件，国内相应的标准、规范等。</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988,019.80</w:t>
      </w:r>
    </w:p>
    <w:p>
      <w:pPr>
        <w:pStyle w:val="null3"/>
      </w:pPr>
      <w:r>
        <w:rPr/>
        <w:t>采购包最高限价（元）: 988,019.80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西北政法大学长安校区2024年学生公寓粉刷项目</w:t>
            </w:r>
          </w:p>
        </w:tc>
        <w:tc>
          <w:tcPr>
            <w:tcW w:type="dxa" w:w="1384"/>
          </w:tcPr>
          <w:p>
            <w:pPr>
              <w:pStyle w:val="null3"/>
              <w:jc w:val="right"/>
            </w:pPr>
            <w:r>
              <w:rPr/>
              <w:t>1.00</w:t>
            </w:r>
          </w:p>
        </w:tc>
        <w:tc>
          <w:tcPr>
            <w:tcW w:type="dxa" w:w="1384"/>
          </w:tcPr>
          <w:p>
            <w:pPr>
              <w:pStyle w:val="null3"/>
              <w:jc w:val="right"/>
            </w:pPr>
            <w:r>
              <w:rPr/>
              <w:t>988,019.80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标的名称：西北政法大学长安校区2024年学生公寓粉刷项目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simsun" w:hAnsi="simsun" w:cs="simsun" w:eastAsia="simsun"/>
                <w:sz w:val="44"/>
                <w:color w:val="000000"/>
              </w:rPr>
              <w:t>长安校区</w:t>
            </w:r>
            <w:r>
              <w:rPr>
                <w:rFonts w:ascii="simsun" w:hAnsi="simsun" w:cs="simsun" w:eastAsia="simsun"/>
                <w:sz w:val="44"/>
              </w:rPr>
              <w:t>2024年学生公寓</w:t>
            </w:r>
            <w:r>
              <w:rPr>
                <w:rFonts w:ascii="simsun" w:hAnsi="simsun" w:cs="simsun" w:eastAsia="simsun"/>
                <w:sz w:val="44"/>
                <w:color w:val="000000"/>
              </w:rPr>
              <w:t>粉刷项目</w:t>
            </w:r>
          </w:p>
          <w:p>
            <w:pPr>
              <w:pStyle w:val="null3"/>
              <w:jc w:val="center"/>
            </w:pPr>
            <w:r>
              <w:rPr>
                <w:rFonts w:ascii="simsun" w:hAnsi="simsun" w:cs="simsun" w:eastAsia="simsun"/>
                <w:sz w:val="44"/>
                <w:color w:val="000000"/>
              </w:rPr>
              <w:t>实施方案</w:t>
            </w:r>
          </w:p>
          <w:p>
            <w:pPr>
              <w:pStyle w:val="null3"/>
              <w:jc w:val="both"/>
            </w:pPr>
            <w:r>
              <w:rPr>
                <w:rFonts w:ascii="simsun" w:hAnsi="simsun" w:cs="simsun" w:eastAsia="simsun"/>
                <w:sz w:val="32"/>
                <w:color w:val="000000"/>
              </w:rPr>
              <w:t>一、粉刷地点：</w:t>
            </w:r>
          </w:p>
          <w:p>
            <w:pPr>
              <w:pStyle w:val="null3"/>
              <w:ind w:firstLine="640"/>
              <w:jc w:val="both"/>
            </w:pPr>
            <w:r>
              <w:rPr>
                <w:rFonts w:ascii="simsun" w:hAnsi="simsun" w:cs="simsun" w:eastAsia="simsun"/>
                <w:sz w:val="32"/>
                <w:color w:val="000000"/>
              </w:rPr>
              <w:t>西北政法大学长安校区1#、2#、6#-14#学生公寓。</w:t>
            </w:r>
          </w:p>
          <w:p>
            <w:pPr>
              <w:pStyle w:val="null3"/>
              <w:jc w:val="both"/>
            </w:pPr>
            <w:r>
              <w:rPr>
                <w:rFonts w:ascii="simsun" w:hAnsi="simsun" w:cs="simsun" w:eastAsia="simsun"/>
                <w:sz w:val="32"/>
                <w:color w:val="000000"/>
              </w:rPr>
              <w:t>二、粉刷面积</w:t>
            </w:r>
          </w:p>
          <w:p>
            <w:pPr>
              <w:pStyle w:val="null3"/>
              <w:ind w:firstLine="640"/>
              <w:jc w:val="both"/>
            </w:pPr>
            <w:r>
              <w:rPr>
                <w:rFonts w:ascii="simsun" w:hAnsi="simsun" w:cs="simsun" w:eastAsia="simsun"/>
                <w:sz w:val="32"/>
                <w:color w:val="000000"/>
              </w:rPr>
              <w:t>长安校区616间宿舍粉刷、桌椅床窗维修、窗纱更换，粉刷面积70925.40m</w:t>
            </w:r>
            <w:r>
              <w:rPr>
                <w:rFonts w:ascii="simsun" w:hAnsi="simsun" w:cs="simsun" w:eastAsia="simsun"/>
                <w:sz w:val="32"/>
                <w:color w:val="000000"/>
                <w:vertAlign w:val="superscript"/>
              </w:rPr>
              <w:t>2</w:t>
            </w:r>
            <w:r>
              <w:rPr>
                <w:rFonts w:ascii="simsun" w:hAnsi="simsun" w:cs="simsun" w:eastAsia="simsun"/>
                <w:sz w:val="32"/>
                <w:color w:val="000000"/>
              </w:rPr>
              <w:t>，</w:t>
            </w:r>
            <w:r>
              <w:rPr>
                <w:rFonts w:ascii="simsun" w:hAnsi="simsun" w:cs="simsun" w:eastAsia="simsun"/>
                <w:sz w:val="32"/>
              </w:rPr>
              <w:t>具体施工内容及工程量如下：</w:t>
            </w:r>
          </w:p>
          <w:tbl>
            <w:tblPr>
              <w:tblBorders>
                <w:top w:val="none" w:color="000000" w:sz="4"/>
                <w:left w:val="none" w:color="000000" w:sz="4"/>
                <w:bottom w:val="none" w:color="000000" w:sz="4"/>
                <w:right w:val="none" w:color="000000" w:sz="4"/>
                <w:insideH w:val="none"/>
                <w:insideV w:val="none"/>
              </w:tblBorders>
            </w:tblPr>
            <w:tblGrid>
              <w:gridCol w:w="457"/>
              <w:gridCol w:w="1359"/>
              <w:gridCol w:w="302"/>
              <w:gridCol w:w="435"/>
            </w:tblGrid>
            <w:tr>
              <w:tc>
                <w:tcPr>
                  <w:tcW w:type="dxa" w:w="4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楼号</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具体宿舍号、区域</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房间数</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面积(</w:t>
                  </w:r>
                  <w:r>
                    <w:rPr>
                      <w:rFonts w:ascii="simsun" w:hAnsi="simsun" w:cs="simsun" w:eastAsia="simsun"/>
                      <w:sz w:val="24"/>
                    </w:rPr>
                    <w:t>㎡</w:t>
                  </w:r>
                  <w:r>
                    <w:rPr>
                      <w:rFonts w:ascii="simsun" w:hAnsi="simsun" w:cs="simsun" w:eastAsia="simsun"/>
                      <w:sz w:val="24"/>
                    </w:rPr>
                    <w:t>)</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320、324—328、401—428、501—528、601—628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90</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7716.60</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4-6层走廊及阳台</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1392.06</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3-6层楼梯间（每层2个）</w:t>
                  </w:r>
                </w:p>
              </w:tc>
              <w:tc>
                <w:tcPr>
                  <w:tcW w:type="dxa" w:w="302"/>
                  <w:vMerge/>
                  <w:tcBorders>
                    <w:top w:val="none" w:color="000000" w:sz="4"/>
                    <w:left w:val="single" w:color="000000" w:sz="4"/>
                    <w:bottom w:val="single" w:color="000000" w:sz="4"/>
                    <w:right w:val="single" w:color="000000" w:sz="4"/>
                  </w:tcBorders>
                </w:tcP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440.32</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627-629</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257.22</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6#公寓楼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107—116、201—218、301—318、401—418、501—518、601—618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100</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8745.48</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1-6层走廊及阳台</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1951.20</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1-7层楼梯间（每层2个）</w:t>
                  </w:r>
                </w:p>
              </w:tc>
              <w:tc>
                <w:tcPr>
                  <w:tcW w:type="dxa" w:w="302"/>
                  <w:vMerge/>
                  <w:tcBorders>
                    <w:top w:val="none" w:color="000000" w:sz="4"/>
                    <w:left w:val="single" w:color="000000" w:sz="4"/>
                    <w:bottom w:val="single" w:color="000000" w:sz="4"/>
                    <w:right w:val="single" w:color="000000" w:sz="4"/>
                  </w:tcBorders>
                </w:tcP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770.56</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7#公寓楼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114、115、201、202、208—218、317、318、501、502、601—618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37</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3172.38</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2层、6层走廊及阳台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587.88</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8#公寓楼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107、109—120、201—220、301—320、401—420、501—520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113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9860.1</w:t>
                  </w:r>
                  <w:r>
                    <w:rPr>
                      <w:rFonts w:ascii="simsun" w:hAnsi="simsun" w:cs="simsun" w:eastAsia="simsun"/>
                      <w:sz w:val="24"/>
                    </w:rPr>
                    <w:t>0</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1-6层走廊及阳台</w:t>
                  </w:r>
                </w:p>
              </w:tc>
              <w:tc>
                <w:tcPr>
                  <w:tcW w:type="dxa" w:w="3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2154.00</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1-7层楼梯间（每层2个）</w:t>
                  </w:r>
                </w:p>
              </w:tc>
              <w:tc>
                <w:tcPr>
                  <w:tcW w:type="dxa" w:w="302"/>
                  <w:vMerge/>
                  <w:tcBorders>
                    <w:top w:val="none" w:color="000000" w:sz="4"/>
                    <w:left w:val="single" w:color="000000" w:sz="4"/>
                    <w:bottom w:val="single" w:color="000000" w:sz="4"/>
                    <w:right w:val="single" w:color="000000" w:sz="4"/>
                  </w:tcBorders>
                </w:tcP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770.56</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9#公寓楼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215、217、218</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257.22</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10#公寓楼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537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85.74</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11#公寓楼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401—426、501—517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3686.82</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4、5层走廊及阳台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886.40</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12#A公寓楼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501—524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24</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2089.92</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5层走廊及阳台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455.40</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12#B公寓楼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525—548、626—641、643—647</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45</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3918.06</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5层、6层走廊及阳台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1230.24</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13#公寓楼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127、201—221、223—231、233、301、302、304、306、308、327—334、429—432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49</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4266.92</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2-4层走廊及阳台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1422.96</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14#东公寓楼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242、301—342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43</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4993.16</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3层走廊及阳台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755.28</w:t>
                  </w:r>
                </w:p>
              </w:tc>
            </w:tr>
            <w:tr>
              <w:tc>
                <w:tcPr>
                  <w:tcW w:type="dxa" w:w="4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14#西公寓楼</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501—539、602—622、628、630—632、636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65</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7548.36</w:t>
                  </w:r>
                </w:p>
              </w:tc>
            </w:tr>
            <w:tr>
              <w:tc>
                <w:tcPr>
                  <w:tcW w:type="dxa" w:w="457"/>
                  <w:vMerge/>
                  <w:tcBorders>
                    <w:top w:val="none" w:color="000000" w:sz="4"/>
                    <w:left w:val="single" w:color="000000" w:sz="4"/>
                    <w:bottom w:val="single" w:color="000000" w:sz="4"/>
                    <w:right w:val="single" w:color="000000" w:sz="4"/>
                  </w:tcBorders>
                </w:tcP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5、6层走廊及阳台</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1510.56</w:t>
                  </w:r>
                </w:p>
              </w:tc>
            </w:tr>
            <w:tr>
              <w:tc>
                <w:tcPr>
                  <w:tcW w:type="dxa" w:w="4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总计</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616</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70925.40</w:t>
                  </w:r>
                </w:p>
              </w:tc>
            </w:tr>
          </w:tbl>
          <w:p>
            <w:pPr>
              <w:pStyle w:val="null3"/>
              <w:ind w:firstLine="640"/>
              <w:jc w:val="both"/>
            </w:pPr>
            <w:r>
              <w:rPr>
                <w:rFonts w:ascii="simsun" w:hAnsi="simsun" w:cs="simsun" w:eastAsia="simsun"/>
                <w:sz w:val="32"/>
              </w:rPr>
              <w:t>以上宿舍中有部分宿舍墙面损坏严重需全部铲除粉刷，其余宿舍及公共区域墙面局部粉刷，具体全铲全刷的宿舍及面积如下：</w:t>
            </w:r>
          </w:p>
          <w:tbl>
            <w:tblPr>
              <w:tblBorders>
                <w:top w:val="none" w:color="000000" w:sz="4"/>
                <w:left w:val="none" w:color="000000" w:sz="4"/>
                <w:bottom w:val="none" w:color="000000" w:sz="4"/>
                <w:right w:val="none" w:color="000000" w:sz="4"/>
                <w:insideH w:val="none"/>
                <w:insideV w:val="none"/>
              </w:tblBorders>
            </w:tblPr>
            <w:tblGrid>
              <w:gridCol w:w="500"/>
              <w:gridCol w:w="1317"/>
              <w:gridCol w:w="302"/>
              <w:gridCol w:w="435"/>
            </w:tblGrid>
            <w:tr>
              <w:tc>
                <w:tcPr>
                  <w:tcW w:type="dxa" w:w="5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楼号</w:t>
                  </w:r>
                </w:p>
              </w:tc>
              <w:tc>
                <w:tcPr>
                  <w:tcW w:type="dxa" w:w="1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宿舍号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房间数</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面积(</w:t>
                  </w:r>
                  <w:r>
                    <w:rPr>
                      <w:rFonts w:ascii="simsun" w:hAnsi="simsun" w:cs="simsun" w:eastAsia="simsun"/>
                      <w:sz w:val="24"/>
                    </w:rPr>
                    <w:t>㎡</w:t>
                  </w:r>
                  <w:r>
                    <w:rPr>
                      <w:rFonts w:ascii="simsun" w:hAnsi="simsun" w:cs="simsun" w:eastAsia="simsun"/>
                      <w:sz w:val="24"/>
                    </w:rPr>
                    <w:t>)</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6#公寓楼</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101、102、603、607、613、614</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6</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514.44</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8#公寓楼</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101、102、601-620</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22</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1886.28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14#西公寓楼</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619—622、628、630—632、636</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9</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1045.08</w:t>
                  </w:r>
                </w:p>
              </w:tc>
            </w:tr>
            <w:tr>
              <w:tc>
                <w:tcPr>
                  <w:tcW w:type="dxa" w:w="5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总计</w:t>
                  </w:r>
                </w:p>
              </w:tc>
              <w:tc>
                <w:tcPr>
                  <w:tcW w:type="dxa" w:w="1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37</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4"/>
                    </w:rPr>
                    <w:t>3445.80</w:t>
                  </w:r>
                </w:p>
              </w:tc>
            </w:tr>
          </w:tbl>
          <w:p>
            <w:pPr>
              <w:pStyle w:val="null3"/>
              <w:jc w:val="both"/>
            </w:pPr>
            <w:r>
              <w:rPr>
                <w:rFonts w:ascii="simsun" w:hAnsi="simsun" w:cs="simsun" w:eastAsia="simsun"/>
                <w:sz w:val="32"/>
                <w:color w:val="000000"/>
              </w:rPr>
              <w:t>三、招标最高限价</w:t>
            </w:r>
          </w:p>
          <w:p>
            <w:pPr>
              <w:pStyle w:val="null3"/>
              <w:ind w:firstLine="640"/>
              <w:jc w:val="both"/>
            </w:pPr>
            <w:r>
              <w:rPr>
                <w:rFonts w:ascii="simsun" w:hAnsi="simsun" w:cs="simsun" w:eastAsia="simsun"/>
                <w:sz w:val="32"/>
              </w:rPr>
              <w:t>988019.80</w:t>
            </w:r>
            <w:r>
              <w:rPr>
                <w:rFonts w:ascii="simsun" w:hAnsi="simsun" w:cs="simsun" w:eastAsia="simsun"/>
                <w:sz w:val="32"/>
              </w:rPr>
              <w:t>元</w:t>
            </w:r>
            <w:r>
              <w:rPr>
                <w:rFonts w:ascii="simsun" w:hAnsi="simsun" w:cs="simsun" w:eastAsia="simsun"/>
                <w:sz w:val="32"/>
                <w:color w:val="000000"/>
              </w:rPr>
              <w:t>。</w:t>
            </w:r>
          </w:p>
          <w:p>
            <w:pPr>
              <w:pStyle w:val="null3"/>
              <w:jc w:val="both"/>
            </w:pPr>
            <w:r>
              <w:rPr>
                <w:rFonts w:ascii="simsun" w:hAnsi="simsun" w:cs="simsun" w:eastAsia="simsun"/>
                <w:sz w:val="32"/>
                <w:color w:val="000000"/>
              </w:rPr>
              <w:t>四、保质期</w:t>
            </w:r>
          </w:p>
          <w:p>
            <w:pPr>
              <w:pStyle w:val="null3"/>
              <w:ind w:firstLine="640"/>
              <w:jc w:val="both"/>
            </w:pPr>
            <w:r>
              <w:rPr>
                <w:rFonts w:ascii="simsun" w:hAnsi="simsun" w:cs="simsun" w:eastAsia="simsun"/>
                <w:sz w:val="32"/>
                <w:color w:val="000000"/>
              </w:rPr>
              <w:t>二年。</w:t>
            </w:r>
          </w:p>
          <w:p>
            <w:pPr>
              <w:pStyle w:val="null3"/>
              <w:jc w:val="both"/>
            </w:pPr>
            <w:r>
              <w:rPr>
                <w:rFonts w:ascii="simsun" w:hAnsi="simsun" w:cs="simsun" w:eastAsia="simsun"/>
                <w:sz w:val="32"/>
                <w:color w:val="000000"/>
              </w:rPr>
              <w:t>五、施工要求</w:t>
            </w:r>
          </w:p>
          <w:p>
            <w:pPr>
              <w:pStyle w:val="null3"/>
              <w:ind w:firstLine="640"/>
              <w:jc w:val="both"/>
            </w:pPr>
            <w:r>
              <w:rPr>
                <w:rFonts w:ascii="simsun" w:hAnsi="simsun" w:cs="simsun" w:eastAsia="simsun"/>
                <w:sz w:val="32"/>
                <w:color w:val="000000"/>
              </w:rPr>
              <w:t>1.墙面刷乳胶漆：清除原起皮、起鼓、龟裂、污染、贴画等墙皮，重新刮腻子两遍，全墙面打磨、清扫，喷刷乳胶漆两遍。</w:t>
            </w:r>
          </w:p>
          <w:p>
            <w:pPr>
              <w:pStyle w:val="null3"/>
              <w:ind w:firstLine="640"/>
              <w:jc w:val="both"/>
            </w:pPr>
            <w:r>
              <w:rPr>
                <w:rFonts w:ascii="simsun" w:hAnsi="simsun" w:cs="simsun" w:eastAsia="simsun"/>
                <w:sz w:val="32"/>
                <w:color w:val="000000"/>
              </w:rPr>
              <w:t>2.乳胶漆喷刷后要求墙面平整，无空鼓、起泡、开裂等现象，无掉粉、起皮、漏刷、流挂、刷痕等现象。</w:t>
            </w:r>
          </w:p>
          <w:p>
            <w:pPr>
              <w:pStyle w:val="null3"/>
              <w:ind w:firstLine="640"/>
              <w:jc w:val="both"/>
            </w:pPr>
            <w:r>
              <w:rPr>
                <w:rFonts w:ascii="simsun" w:hAnsi="simsun" w:cs="simsun" w:eastAsia="simsun"/>
                <w:sz w:val="32"/>
                <w:color w:val="000000"/>
              </w:rPr>
              <w:t>3.宿舍内桌椅床维修、窗纱更换：施工单位负责维修材料，需将桌椅床维修至可正常使用状态。</w:t>
            </w:r>
          </w:p>
          <w:p>
            <w:pPr>
              <w:pStyle w:val="null3"/>
              <w:ind w:firstLine="640"/>
              <w:jc w:val="both"/>
            </w:pPr>
            <w:r>
              <w:rPr>
                <w:rFonts w:ascii="simsun" w:hAnsi="simsun" w:cs="simsun" w:eastAsia="simsun"/>
                <w:sz w:val="32"/>
                <w:color w:val="000000"/>
              </w:rPr>
              <w:t>4.施工过程中不允许踩踏宿舍内桌椅床，做好宿舍内设施保护，施工结束清扫现场，施工过程中垃圾由施工方清运至校外。</w:t>
            </w:r>
          </w:p>
          <w:p>
            <w:pPr>
              <w:pStyle w:val="null3"/>
              <w:jc w:val="both"/>
            </w:pPr>
            <w:r>
              <w:rPr>
                <w:rFonts w:ascii="simsun" w:hAnsi="simsun" w:cs="simsun" w:eastAsia="simsun"/>
                <w:sz w:val="32"/>
                <w:color w:val="000000"/>
              </w:rPr>
              <w:t>八、工程质量</w:t>
            </w:r>
          </w:p>
          <w:p>
            <w:pPr>
              <w:pStyle w:val="null3"/>
              <w:ind w:firstLine="640"/>
              <w:jc w:val="both"/>
            </w:pPr>
            <w:r>
              <w:rPr>
                <w:rFonts w:ascii="simsun" w:hAnsi="simsun" w:cs="simsun" w:eastAsia="simsun"/>
                <w:sz w:val="32"/>
                <w:color w:val="000000"/>
              </w:rPr>
              <w:t>质量满足《建筑装饰装修工程质量验收标准》（GB50210-2018）要求，达到合格标准。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质量满足《建筑装饰装修工程质量验收标准》（GB50210-2018）要求，达到合格标准。</w:t>
      </w:r>
    </w:p>
    <w:p>
      <w:pPr>
        <w:pStyle w:val="null3"/>
        <w:ind w:firstLine="480"/>
      </w:pPr>
      <w:r>
        <w:rPr/>
        <w:t>三、针对本项目的其他技术服务要求：</w:t>
      </w:r>
    </w:p>
    <w:p>
      <w:pPr>
        <w:pStyle w:val="null3"/>
      </w:pPr>
      <w:r>
        <w:rPr/>
        <w:t>详见采购内容及要求。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1、为顺利推进政府采购电子化交易平台试点应用工作，供应商需要在线提交所有通过电子化交易平台实施的政府采购项目的投标文件，同时，线下提交响应文件正本 壹 份、副本 贰套、电子版壹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供应商资质</w:t>
            </w:r>
          </w:p>
        </w:tc>
        <w:tc>
          <w:tcPr>
            <w:tcW w:type="dxa" w:w="3322"/>
          </w:tcPr>
          <w:p>
            <w:pPr>
              <w:pStyle w:val="null3"/>
            </w:pPr>
            <w:r>
              <w:rPr/>
              <w:t>供应商具备建筑工程施工总承包三级或以上资质或建筑装修装饰工程专业承包二级或以上资质，及有效的安全生产许可证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拟派项目负责人资质及专业要求</w:t>
            </w:r>
          </w:p>
        </w:tc>
        <w:tc>
          <w:tcPr>
            <w:tcW w:type="dxa" w:w="3322"/>
          </w:tcPr>
          <w:p>
            <w:pPr>
              <w:pStyle w:val="null3"/>
            </w:pPr>
            <w:r>
              <w:rPr/>
              <w:t>项目经理需具备建筑工程专业二级或以上注册建造师证书和安全生产考核合格证（B证），且无在建工程项目（提供承诺函）；</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供应商及项目经理信息在“陕西省建筑市场监管与诚信信息发布平台”可查询；</w:t>
            </w:r>
          </w:p>
        </w:tc>
        <w:tc>
          <w:tcPr>
            <w:tcW w:type="dxa" w:w="3322"/>
          </w:tcPr>
          <w:p>
            <w:pPr>
              <w:pStyle w:val="null3"/>
            </w:pPr>
            <w:r>
              <w:rPr/>
              <w:t>供应商及项目经理信息在“陕西省建筑市场监管与诚信信息发布平台”可查询；</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本项目专门面向中小企业采购，供应商应为中小微企业或监狱企业或残疾人福利性单位。</w:t>
            </w:r>
          </w:p>
        </w:tc>
        <w:tc>
          <w:tcPr>
            <w:tcW w:type="dxa" w:w="1661"/>
          </w:tcPr>
          <w:p>
            <w:pPr>
              <w:pStyle w:val="null3"/>
            </w:pPr>
            <w:r>
              <w:rPr/>
              <w:t>残疾人福利性单位声明函 中小企业声明函 监狱企业的证明文件</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供应商应授权合法的人员参加磋商全过程，其中法定代表人直接参加磋商的，须出具法定代表人身份证，并与营业执照上信息一致。法定代表人授权代表参加磋商的，须出具法定代表人授权书及授权代表身份证；</w:t>
            </w:r>
          </w:p>
        </w:tc>
        <w:tc>
          <w:tcPr>
            <w:tcW w:type="dxa" w:w="1661"/>
          </w:tcPr>
          <w:p>
            <w:pPr>
              <w:pStyle w:val="null3"/>
            </w:pPr>
            <w:r>
              <w:rPr/>
              <w:t>资格响应表</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报价函 标的清单 磋商报价表及预算书</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20日历天</w:t>
            </w:r>
          </w:p>
        </w:tc>
        <w:tc>
          <w:tcPr>
            <w:tcW w:type="dxa" w:w="1661"/>
          </w:tcPr>
          <w:p>
            <w:pPr>
              <w:pStyle w:val="null3"/>
            </w:pPr>
            <w:r>
              <w:rPr/>
              <w:t>磋商报价表及预算书 响应函 商务技术偏离表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两年</w:t>
            </w:r>
          </w:p>
        </w:tc>
        <w:tc>
          <w:tcPr>
            <w:tcW w:type="dxa" w:w="1661"/>
          </w:tcPr>
          <w:p>
            <w:pPr>
              <w:pStyle w:val="null3"/>
            </w:pPr>
            <w:r>
              <w:rPr/>
              <w:t>磋商报价表及预算书 响应函 商务技术偏离表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验收合格后一次性支付合同款的50%，工程结算后支付至合同结算价款的100%，质保期为经甲方验收合格后2年。工程决算与采购验收所产生的费用由乙方承担。</w:t>
            </w:r>
          </w:p>
        </w:tc>
        <w:tc>
          <w:tcPr>
            <w:tcW w:type="dxa" w:w="1661"/>
          </w:tcPr>
          <w:p>
            <w:pPr>
              <w:pStyle w:val="null3"/>
            </w:pPr>
            <w:r>
              <w:rPr/>
              <w:t>磋商报价表及预算书 响应函 商务技术偏离表</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磋商报价表及预算书 响应函 技术方案及实施保障</w:t>
            </w:r>
          </w:p>
        </w:tc>
      </w:tr>
      <w:tr>
        <w:tc>
          <w:tcPr>
            <w:tcW w:type="dxa" w:w="831"/>
          </w:tcPr>
          <w:p>
            <w:pPr>
              <w:pStyle w:val="null3"/>
            </w:pPr>
            <w:r>
              <w:rPr/>
              <w:t>6</w:t>
            </w:r>
          </w:p>
        </w:tc>
        <w:tc>
          <w:tcPr>
            <w:tcW w:type="dxa" w:w="2492"/>
          </w:tcPr>
          <w:p>
            <w:pPr>
              <w:pStyle w:val="null3"/>
            </w:pPr>
            <w:r>
              <w:rPr/>
              <w:t>供应商有法律、规章、规范性文件和采购文件规定的其他无效情形，按无效响应处理。</w:t>
            </w:r>
          </w:p>
        </w:tc>
        <w:tc>
          <w:tcPr>
            <w:tcW w:type="dxa" w:w="3322"/>
          </w:tcPr>
          <w:p>
            <w:pPr>
              <w:pStyle w:val="null3"/>
            </w:pPr>
            <w:r>
              <w:rPr/>
              <w:t>供应商有法律、规章、规范性文件和采购文件规定的其他无效情形，按无效响应处理。</w:t>
            </w:r>
          </w:p>
        </w:tc>
        <w:tc>
          <w:tcPr>
            <w:tcW w:type="dxa" w:w="1661"/>
          </w:tcPr>
          <w:p>
            <w:pPr>
              <w:pStyle w:val="null3"/>
            </w:pPr>
            <w:r>
              <w:rPr/>
              <w:t>响应文件封面 磋商报价表及预算书 响应函 商务技术偏离表 强制优先采购产品承诺函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项目实施方案（10分） A.实施方案完整详细、有针对性，完全满足项目实施，具有优化建议的得10分； B.实施方案完整，可行，有针对性，能满足项目实施的全部要求的得8分； C.实施方案非专门针对本项目，存在逻辑漏洞或前后内容不一致的得5分； D.实施方案有较大缺陷，或完全套用其他项目且内容较少的得2分;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应急预案及售后服务</w:t>
            </w:r>
          </w:p>
          <w:p>
            <w:pPr>
              <w:pStyle w:val="null3"/>
            </w:pPr>
            <w:r>
              <w:rPr/>
              <w:t>拟投入项目负责人及主要人员简历表</w:t>
            </w:r>
          </w:p>
          <w:p>
            <w:pPr>
              <w:pStyle w:val="null3"/>
            </w:pPr>
            <w:r>
              <w:rPr/>
              <w:t>承诺书</w:t>
            </w:r>
          </w:p>
          <w:p>
            <w:pPr>
              <w:pStyle w:val="null3"/>
            </w:pPr>
            <w:r>
              <w:rPr/>
              <w:t>技术方案及实施保障</w:t>
            </w:r>
          </w:p>
        </w:tc>
      </w:tr>
      <w:tr>
        <w:tc>
          <w:tcPr>
            <w:tcW w:type="dxa" w:w="831"/>
            <w:vMerge/>
          </w:tcPr>
          <w:p/>
        </w:tc>
        <w:tc>
          <w:tcPr>
            <w:tcW w:type="dxa" w:w="1661"/>
          </w:tcPr>
          <w:p>
            <w:pPr>
              <w:pStyle w:val="null3"/>
            </w:pPr>
            <w:r>
              <w:rPr/>
              <w:t>安全作业管理</w:t>
            </w:r>
          </w:p>
        </w:tc>
        <w:tc>
          <w:tcPr>
            <w:tcW w:type="dxa" w:w="2492"/>
          </w:tcPr>
          <w:p>
            <w:pPr>
              <w:pStyle w:val="null3"/>
            </w:pPr>
            <w:r>
              <w:rPr/>
              <w:t>安全作业管理（10分） 针对本项目提供具体的安全作业方案及安全配套措施进行综合评审。 A.提供具体详细、有针对性的安全作业方案及安全配套措施，完全符合采购人安全作业要求且具有优化建议的，得10分； B.提供安全作业方案及安全配套措施，符合采购人安全作业的要求，得8分； C.提供的安全作业方案及安全配套措施非专门针对本项目，套用其他项目内容，存在逻辑漏洞或前后内容不一致的得5分； D.提供的安全作业方案及安全配套措施简陋，存在不利于采购人安全作业要求实现的，得2分。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技术方案及实施保障</w:t>
            </w:r>
          </w:p>
          <w:p>
            <w:pPr>
              <w:pStyle w:val="null3"/>
            </w:pPr>
            <w:r>
              <w:rPr/>
              <w:t>应急预案及售后服务</w:t>
            </w:r>
          </w:p>
          <w:p>
            <w:pPr>
              <w:pStyle w:val="null3"/>
            </w:pPr>
            <w:r>
              <w:rPr/>
              <w:t>拟投入项目负责人及主要人员简历表</w:t>
            </w:r>
          </w:p>
          <w:p>
            <w:pPr>
              <w:pStyle w:val="null3"/>
            </w:pPr>
            <w:r>
              <w:rPr/>
              <w:t>承诺书</w:t>
            </w:r>
          </w:p>
        </w:tc>
      </w:tr>
      <w:tr>
        <w:tc>
          <w:tcPr>
            <w:tcW w:type="dxa" w:w="831"/>
            <w:vMerge/>
          </w:tcPr>
          <w:p/>
        </w:tc>
        <w:tc>
          <w:tcPr>
            <w:tcW w:type="dxa" w:w="1661"/>
          </w:tcPr>
          <w:p>
            <w:pPr>
              <w:pStyle w:val="null3"/>
            </w:pPr>
            <w:r>
              <w:rPr/>
              <w:t>文明施工措施计划</w:t>
            </w:r>
          </w:p>
        </w:tc>
        <w:tc>
          <w:tcPr>
            <w:tcW w:type="dxa" w:w="2492"/>
          </w:tcPr>
          <w:p>
            <w:pPr>
              <w:pStyle w:val="null3"/>
            </w:pPr>
            <w:r>
              <w:rPr/>
              <w:t>文明施工措施计划（10分） 针对本项目提供的文明施工措施计划进行综合评审。 A.措施计划详细齐全、合理且切实可行，完全满足采购人需求，具有优化建议的得10分； B.措施计划齐全、合理、切实可行，满足采购人需求得8分； C.措施计划非专门针对本项目，存在逻辑漏洞或前后内容不一致的得5分； D.措施计划有较大缺陷，或完全套用其他项目且内容较少的得2分；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承诺书</w:t>
            </w:r>
          </w:p>
          <w:p>
            <w:pPr>
              <w:pStyle w:val="null3"/>
            </w:pPr>
            <w:r>
              <w:rPr/>
              <w:t>技术方案及实施保障</w:t>
            </w:r>
          </w:p>
          <w:p>
            <w:pPr>
              <w:pStyle w:val="null3"/>
            </w:pPr>
            <w:r>
              <w:rPr/>
              <w:t>拟投入项目负责人及主要人员简历表</w:t>
            </w:r>
          </w:p>
          <w:p>
            <w:pPr>
              <w:pStyle w:val="null3"/>
            </w:pPr>
            <w:r>
              <w:rPr/>
              <w:t>应急预案及售后服务</w:t>
            </w:r>
          </w:p>
        </w:tc>
      </w:tr>
      <w:tr>
        <w:tc>
          <w:tcPr>
            <w:tcW w:type="dxa" w:w="831"/>
            <w:vMerge/>
          </w:tcPr>
          <w:p/>
        </w:tc>
        <w:tc>
          <w:tcPr>
            <w:tcW w:type="dxa" w:w="1661"/>
          </w:tcPr>
          <w:p>
            <w:pPr>
              <w:pStyle w:val="null3"/>
            </w:pPr>
            <w:r>
              <w:rPr/>
              <w:t>技术组织措施</w:t>
            </w:r>
          </w:p>
        </w:tc>
        <w:tc>
          <w:tcPr>
            <w:tcW w:type="dxa" w:w="2492"/>
          </w:tcPr>
          <w:p>
            <w:pPr>
              <w:pStyle w:val="null3"/>
            </w:pPr>
            <w:r>
              <w:rPr/>
              <w:t>技术组织措施（10分） 根据供应商制定的确保工程质量及工期的技术组织措施进行综合评审。 A.措施计划详细齐全、合理且切实可行，完全满足采购人需求，具有优化建议的得10分； B.措施计划齐全、合理、切实可行，满足采购人需求得8分； C.措施计划非专门针对本项目，存在逻辑漏洞或前后内容不一致的得5分； D.措施计划有较大缺陷，或完全套用其他项目且内容较少的得2分；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承诺书</w:t>
            </w:r>
          </w:p>
          <w:p>
            <w:pPr>
              <w:pStyle w:val="null3"/>
            </w:pPr>
            <w:r>
              <w:rPr/>
              <w:t>拟投入项目负责人及主要人员简历表</w:t>
            </w:r>
          </w:p>
          <w:p>
            <w:pPr>
              <w:pStyle w:val="null3"/>
            </w:pPr>
            <w:r>
              <w:rPr/>
              <w:t>技术方案及实施保障</w:t>
            </w:r>
          </w:p>
          <w:p>
            <w:pPr>
              <w:pStyle w:val="null3"/>
            </w:pPr>
            <w:r>
              <w:rPr/>
              <w:t>应急预案及售后服务</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项目组织管理机构（10分） 针对本项目的项目组织管理机构配备。 A.机构设置合理完善，人员配备齐全，技术经验丰富，人员专业性强，完全满足项目需求得10分； B.机构设置合理，人员配备齐全，且具备从业经验，满足项目需求得8分； C.机构设置非专门针对本项目，人员配备、技术经验有缺陷的得5分； D.机构设置、人员配备不完整，或无相关经验的得2分；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承诺书</w:t>
            </w:r>
          </w:p>
          <w:p>
            <w:pPr>
              <w:pStyle w:val="null3"/>
            </w:pPr>
            <w:r>
              <w:rPr/>
              <w:t>技术方案及实施保障</w:t>
            </w:r>
          </w:p>
          <w:p>
            <w:pPr>
              <w:pStyle w:val="null3"/>
            </w:pPr>
            <w:r>
              <w:rPr/>
              <w:t>拟投入项目负责人及主要人员简历表</w:t>
            </w:r>
          </w:p>
          <w:p>
            <w:pPr>
              <w:pStyle w:val="null3"/>
            </w:pPr>
            <w:r>
              <w:rPr/>
              <w:t>应急预案及售后服务</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施工机械配备和材料投入计划（10分） 根据供应商投入的施工机械配备和材料投入计划等进行评审。 A.施工机械配备合理并提供设备来源证明材料，证明材料齐全且投入材料环保性优于国家标准的得10分； B.施工机械配备合理和材料环保性较好，提供了设备来源证明材料的得8分； C.施工机械配备和材料投入计划基本合理、可行，但未提供其他证明材料的得5分； D.施工机械配备和材料投入计划较差，不利于本项目实施的得2分；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承诺书</w:t>
            </w:r>
          </w:p>
          <w:p>
            <w:pPr>
              <w:pStyle w:val="null3"/>
            </w:pPr>
            <w:r>
              <w:rPr/>
              <w:t>技术方案及实施保障</w:t>
            </w:r>
          </w:p>
          <w:p>
            <w:pPr>
              <w:pStyle w:val="null3"/>
            </w:pPr>
            <w:r>
              <w:rPr/>
              <w:t>应急预案及售后服务</w:t>
            </w:r>
          </w:p>
          <w:p>
            <w:pPr>
              <w:pStyle w:val="null3"/>
            </w:pPr>
            <w:r>
              <w:rPr/>
              <w:t>拟投入项目负责人及主要人员简历表</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承诺书</w:t>
            </w:r>
          </w:p>
          <w:p>
            <w:pPr>
              <w:pStyle w:val="null3"/>
            </w:pPr>
            <w:r>
              <w:rPr/>
              <w:t>技术方案及实施保障</w:t>
            </w:r>
          </w:p>
          <w:p>
            <w:pPr>
              <w:pStyle w:val="null3"/>
            </w:pPr>
            <w:r>
              <w:rPr/>
              <w:t>拟投入项目负责人及主要人员简历表</w:t>
            </w:r>
          </w:p>
          <w:p>
            <w:pPr>
              <w:pStyle w:val="null3"/>
            </w:pPr>
            <w:r>
              <w:rPr/>
              <w:t>应急预案及售后服务</w:t>
            </w:r>
          </w:p>
        </w:tc>
      </w:tr>
      <w:tr>
        <w:tc>
          <w:tcPr>
            <w:tcW w:type="dxa" w:w="831"/>
            <w:vMerge/>
          </w:tcPr>
          <w:p/>
        </w:tc>
        <w:tc>
          <w:tcPr>
            <w:tcW w:type="dxa" w:w="1661"/>
          </w:tcPr>
          <w:p>
            <w:pPr>
              <w:pStyle w:val="null3"/>
            </w:pPr>
            <w:r>
              <w:rPr/>
              <w:t>业绩</w:t>
            </w:r>
          </w:p>
        </w:tc>
        <w:tc>
          <w:tcPr>
            <w:tcW w:type="dxa" w:w="2492"/>
          </w:tcPr>
          <w:p>
            <w:pPr>
              <w:pStyle w:val="null3"/>
            </w:pPr>
            <w:r>
              <w:rPr/>
              <w:t>供应商2021年1月至截标时间前同类施工项目业绩；每提供1份计1分，最高得5分。业绩证明（以合同或中标/成交通知书为准）。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文件，其最终报价为有效报价。本项目专门面向中小企业采购，根据财政部发布《政府采购促进中小企业发展政策问答》的规定，专门面向中小企业采购的项目或者采购包，不再执行价格评审优惠的扶持政策。 2、有效最低报价为基准价得30分。 3、按（磋商基准价/有效最终磋商报价）×30的公式计算报价得分。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磋商报价表及预算书</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详见附件：磋商报价表及预算书</w:t>
      </w:r>
    </w:p>
    <w:p>
      <w:pPr>
        <w:pStyle w:val="null3"/>
        <w:ind w:firstLine="960"/>
      </w:pPr>
      <w:r>
        <w:rPr/>
        <w:t>详见附件：承诺书</w:t>
      </w:r>
    </w:p>
    <w:p>
      <w:pPr>
        <w:pStyle w:val="null3"/>
        <w:ind w:firstLine="960"/>
      </w:pPr>
      <w:r>
        <w:rPr/>
        <w:t>详见附件：商务技术偏离表</w:t>
      </w:r>
    </w:p>
    <w:p>
      <w:pPr>
        <w:pStyle w:val="null3"/>
        <w:ind w:firstLine="960"/>
      </w:pPr>
      <w:r>
        <w:rPr/>
        <w:t>详见附件：技术方案及实施保障</w:t>
      </w:r>
    </w:p>
    <w:p>
      <w:pPr>
        <w:pStyle w:val="null3"/>
        <w:ind w:firstLine="960"/>
      </w:pPr>
      <w:r>
        <w:rPr/>
        <w:t>详见附件：应急预案及售后服务</w:t>
      </w:r>
    </w:p>
    <w:p>
      <w:pPr>
        <w:pStyle w:val="null3"/>
        <w:ind w:firstLine="960"/>
      </w:pPr>
      <w:r>
        <w:rPr/>
        <w:t>详见附件：业绩表</w:t>
      </w:r>
    </w:p>
    <w:p>
      <w:pPr>
        <w:pStyle w:val="null3"/>
        <w:ind w:firstLine="960"/>
      </w:pPr>
      <w:r>
        <w:rPr/>
        <w:t>详见附件：拟投入项目负责人及主要人员简历表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