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超级微波化学平台采购项目</w:t>
      </w:r>
    </w:p>
    <w:p>
      <w:pPr>
        <w:pStyle w:val="null3"/>
        <w:jc w:val="center"/>
        <w:outlineLvl w:val="2"/>
      </w:pPr>
      <w:r>
        <w:rPr>
          <w:sz w:val="28"/>
          <w:b/>
        </w:rPr>
        <w:t>采购项目编号：</w:t>
      </w:r>
      <w:r>
        <w:rPr>
          <w:sz w:val="28"/>
          <w:b/>
        </w:rPr>
        <w:t>SZT2024-SN-XC-ZC-HW-0396。</w:t>
      </w:r>
      <w:r>
        <w:br/>
      </w:r>
      <w:r>
        <w:br/>
      </w:r>
      <w:r>
        <w:br/>
      </w:r>
    </w:p>
    <w:p>
      <w:pPr>
        <w:pStyle w:val="null3"/>
        <w:jc w:val="center"/>
        <w:outlineLvl w:val="2"/>
      </w:pPr>
      <w:r>
        <w:rPr>
          <w:sz w:val="28"/>
          <w:b/>
        </w:rPr>
        <w:t>西安市农产品质量安全检验检测中心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2024年07月05日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陕西中技招标有限公司</w:t>
      </w:r>
      <w:r>
        <w:rPr/>
        <w:t>（以下简称“代理机构”）受</w:t>
      </w:r>
      <w:r>
        <w:rPr/>
        <w:t>西安市农产品质量安全检验检测中心</w:t>
      </w:r>
      <w:r>
        <w:rPr/>
        <w:t>委托，拟对</w:t>
      </w:r>
      <w:r>
        <w:rPr/>
        <w:t>超级微波化学平台采购项目</w:t>
      </w:r>
      <w:r>
        <w:rPr/>
        <w:t>采用竞争性谈判采购方式进行采购，兹邀请供应商参加本项目的竞争性谈判。</w:t>
      </w:r>
    </w:p>
    <w:p>
      <w:pPr>
        <w:pStyle w:val="null3"/>
        <w:outlineLvl w:val="2"/>
      </w:pPr>
      <w:r>
        <w:rPr>
          <w:sz w:val="28"/>
          <w:b/>
        </w:rPr>
        <w:t>一、项目编号：</w:t>
      </w:r>
      <w:r>
        <w:rPr>
          <w:sz w:val="28"/>
          <w:b/>
        </w:rPr>
        <w:t>SZT2024-SN-XC-ZC-HW-0396。</w:t>
      </w:r>
    </w:p>
    <w:p>
      <w:pPr>
        <w:pStyle w:val="null3"/>
        <w:outlineLvl w:val="2"/>
      </w:pPr>
      <w:r>
        <w:rPr>
          <w:sz w:val="28"/>
          <w:b/>
        </w:rPr>
        <w:t>二、项目名称：</w:t>
      </w:r>
      <w:r>
        <w:rPr>
          <w:sz w:val="28"/>
          <w:b/>
        </w:rPr>
        <w:t>超级微波化学平台采购项目</w:t>
      </w:r>
    </w:p>
    <w:p>
      <w:pPr>
        <w:pStyle w:val="null3"/>
        <w:outlineLvl w:val="2"/>
      </w:pPr>
      <w:r>
        <w:rPr>
          <w:sz w:val="28"/>
          <w:b/>
        </w:rPr>
        <w:t>三、谈判项目简介：</w:t>
      </w:r>
    </w:p>
    <w:p>
      <w:pPr>
        <w:pStyle w:val="null3"/>
        <w:ind w:firstLine="480"/>
      </w:pPr>
      <w:r>
        <w:rPr/>
        <w:t>超级微波化学平台采购。</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产品授权书或声明函：（1）供应商为代理商的，须提供产品厂家授权书或总代理商授权书。（如提供总代理商授权的须同时提供总代理商具有有效授权权限的相关证明文件，证明文件需能显示产品制造厂家对所响应产品授权链条的完整性）；（2）供应商为制造商的需提供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西安市农产品质量安全检验检测中心</w:t>
      </w:r>
    </w:p>
    <w:p>
      <w:pPr>
        <w:pStyle w:val="null3"/>
      </w:pPr>
      <w:r>
        <w:rPr/>
        <w:t xml:space="preserve"> 地址： </w:t>
      </w:r>
      <w:r>
        <w:rPr/>
        <w:t>西安市莲湖区西二环193号</w:t>
      </w:r>
    </w:p>
    <w:p>
      <w:pPr>
        <w:pStyle w:val="null3"/>
      </w:pPr>
      <w:r>
        <w:rPr/>
        <w:t xml:space="preserve"> 邮编： </w:t>
      </w:r>
      <w:r>
        <w:rPr/>
        <w:t xml:space="preserve"> 710077</w:t>
      </w:r>
    </w:p>
    <w:p>
      <w:pPr>
        <w:pStyle w:val="null3"/>
      </w:pPr>
      <w:r>
        <w:rPr/>
        <w:t xml:space="preserve"> 联系人： </w:t>
      </w:r>
      <w:r>
        <w:rPr/>
        <w:t>王文思</w:t>
      </w:r>
    </w:p>
    <w:p>
      <w:pPr>
        <w:pStyle w:val="null3"/>
      </w:pPr>
      <w:r>
        <w:rPr/>
        <w:t xml:space="preserve"> 联系电话： </w:t>
      </w:r>
      <w:r>
        <w:rPr/>
        <w:t>029-84285411</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710000</w:t>
      </w:r>
    </w:p>
    <w:p>
      <w:pPr>
        <w:pStyle w:val="null3"/>
      </w:pPr>
      <w:r>
        <w:rPr/>
        <w:t xml:space="preserve"> 联系人： </w:t>
      </w:r>
      <w:r>
        <w:rPr/>
        <w:t>连杰、马帅</w:t>
      </w:r>
    </w:p>
    <w:p>
      <w:pPr>
        <w:pStyle w:val="null3"/>
      </w:pPr>
      <w:r>
        <w:rPr/>
        <w:t xml:space="preserve"> 联系电话： </w:t>
      </w:r>
      <w:r>
        <w:rPr/>
        <w:t xml:space="preserve"> 029-88364979-849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 开户名称：陕西中技招标有限公司 开户行名称：招商银行西安分行营业部 账号：129916812810001 转账事由：(编号后四位）项目招标代理服务费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西安市农产品质量安全检验检测中心</w:t>
      </w:r>
      <w:r>
        <w:rPr/>
        <w:t>和</w:t>
      </w:r>
      <w:r>
        <w:rPr/>
        <w:t>陕西中技招标有限公司</w:t>
      </w:r>
      <w:r>
        <w:rPr/>
        <w:t>享有。竞争性谈判文件中供应商参加本次政府采购活动应当具备的条件、技术清单、参数、商务及其他要求由</w:t>
      </w:r>
      <w:r>
        <w:rPr/>
        <w:t>西安市农产品质量安全检验检测中心</w:t>
      </w:r>
      <w:r>
        <w:rPr/>
        <w:t>负责解释。除上述竞争性谈判文件内容，其他内容由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西安市农产品质量安全检验检测中心</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详见采购文件。</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超级微波化学平台采购</w:t>
      </w:r>
    </w:p>
    <w:p>
      <w:pPr>
        <w:pStyle w:val="null3"/>
        <w:outlineLvl w:val="2"/>
      </w:pPr>
      <w:r>
        <w:rPr>
          <w:sz w:val="28"/>
          <w:b/>
        </w:rPr>
        <w:t>3.2采购内容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超级微波化学平台</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标的名称：超级微波化学平台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用途</w:t>
            </w:r>
            <w:r>
              <w:rPr>
                <w:rFonts w:ascii="宋体" w:hAnsi="宋体" w:cs="宋体" w:eastAsia="宋体"/>
                <w:sz w:val="24"/>
              </w:rPr>
              <w:t>：</w:t>
            </w:r>
            <w:r>
              <w:rPr>
                <w:rFonts w:ascii="宋体" w:hAnsi="宋体" w:cs="宋体" w:eastAsia="宋体"/>
                <w:sz w:val="24"/>
              </w:rPr>
              <w:t>用于各种土壤、农产品、畜产品等复杂样品的消解。</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2、技术指标：</w:t>
            </w:r>
          </w:p>
          <w:p>
            <w:pPr>
              <w:pStyle w:val="null3"/>
              <w:ind w:firstLine="480"/>
              <w:jc w:val="both"/>
            </w:pPr>
            <w:r>
              <w:rPr>
                <w:rFonts w:ascii="宋体" w:hAnsi="宋体" w:cs="宋体" w:eastAsia="宋体"/>
                <w:sz w:val="24"/>
              </w:rPr>
              <w:t>（1）</w:t>
            </w:r>
            <w:r>
              <w:rPr>
                <w:rFonts w:ascii="宋体" w:hAnsi="宋体" w:cs="宋体" w:eastAsia="宋体"/>
                <w:sz w:val="24"/>
              </w:rPr>
              <w:t>产品操作压力</w:t>
            </w:r>
            <w:r>
              <w:rPr>
                <w:rFonts w:ascii="宋体" w:hAnsi="宋体" w:cs="宋体" w:eastAsia="宋体"/>
                <w:sz w:val="24"/>
              </w:rPr>
              <w:t>≥20MPa（最大使用压力需提供技术验证资料）、硝酸消耗量≤3mL，样品处理量：消解罐体积≥12mL的消解位数≥60位；消解罐体积≥18mLl的消解位数≥40位；</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预加压单反应腔体体积</w:t>
            </w:r>
            <w:r>
              <w:rPr>
                <w:rFonts w:ascii="宋体" w:hAnsi="宋体" w:cs="宋体" w:eastAsia="宋体"/>
                <w:sz w:val="24"/>
              </w:rPr>
              <w:t>≥3500mL。</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单反应腔预加压式超级微波系统，微波功率</w:t>
            </w:r>
            <w:r>
              <w:rPr>
                <w:rFonts w:ascii="宋体" w:hAnsi="宋体" w:cs="宋体" w:eastAsia="宋体"/>
                <w:sz w:val="24"/>
              </w:rPr>
              <w:t>≥1200W。</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操作温度：</w:t>
            </w:r>
            <w:r>
              <w:rPr>
                <w:rFonts w:ascii="宋体" w:hAnsi="宋体" w:cs="宋体" w:eastAsia="宋体"/>
                <w:sz w:val="24"/>
              </w:rPr>
              <w:t>≥300℃。（最高使用温度需提供技术验证资料）</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具有多重定位传感器，配备反应釜压力传感器和温度传感器，且能够实时在控制终端显示相应的数值。反应釜自动升降系统：电子位置感应控制</w:t>
            </w:r>
            <w:r>
              <w:rPr>
                <w:rFonts w:ascii="宋体" w:hAnsi="宋体" w:cs="宋体" w:eastAsia="宋体"/>
                <w:sz w:val="24"/>
              </w:rPr>
              <w:t>≥3500mL的单反应腔自动升降，升降过程中电子马达精确控制定位，可在任意位置固定。</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color w:val="000000"/>
              </w:rPr>
              <w:t>反应釜自动升降系统：电子位置感应控制</w:t>
            </w:r>
            <w:r>
              <w:rPr>
                <w:rFonts w:ascii="宋体" w:hAnsi="宋体" w:cs="宋体" w:eastAsia="宋体"/>
                <w:sz w:val="24"/>
              </w:rPr>
              <w:t>≥3500mL</w:t>
            </w:r>
            <w:r>
              <w:rPr>
                <w:rFonts w:ascii="宋体" w:hAnsi="宋体" w:cs="宋体" w:eastAsia="宋体"/>
                <w:sz w:val="24"/>
                <w:color w:val="000000"/>
              </w:rPr>
              <w:t>的单反应腔自动升降，升降过程中电子马达精确控制定位，可在任意位置固定。具有</w:t>
            </w:r>
            <w:r>
              <w:rPr>
                <w:rFonts w:ascii="宋体" w:hAnsi="宋体" w:cs="宋体" w:eastAsia="宋体"/>
                <w:sz w:val="24"/>
                <w:color w:val="000000"/>
              </w:rPr>
              <w:t>≥4处定位传感器，全方位保障安全。样品架自动升降，具有内置式排酸气系统。</w:t>
            </w:r>
          </w:p>
          <w:p>
            <w:pPr>
              <w:pStyle w:val="null3"/>
              <w:ind w:firstLine="48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w:t>
            </w:r>
            <w:r>
              <w:rPr>
                <w:rFonts w:ascii="宋体" w:hAnsi="宋体" w:cs="宋体" w:eastAsia="宋体"/>
                <w:sz w:val="24"/>
              </w:rPr>
              <w:t>具有分体冷却系统，反应结束后能够快速冷却降温，能够实现智能控温，能显示冷却水温度和压力。</w:t>
            </w:r>
          </w:p>
          <w:p>
            <w:pPr>
              <w:pStyle w:val="null3"/>
              <w:ind w:firstLine="480"/>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8</w:t>
            </w:r>
            <w:r>
              <w:rPr>
                <w:rFonts w:ascii="宋体" w:hAnsi="宋体" w:cs="宋体" w:eastAsia="宋体"/>
                <w:sz w:val="24"/>
              </w:rPr>
              <w:t>）</w:t>
            </w:r>
            <w:r>
              <w:rPr>
                <w:rFonts w:ascii="宋体" w:hAnsi="宋体" w:cs="宋体" w:eastAsia="宋体"/>
                <w:sz w:val="24"/>
              </w:rPr>
              <w:t>数字温度和压力控制，直接测量反应腔体的温度和压力</w:t>
            </w:r>
            <w:r>
              <w:rPr>
                <w:rFonts w:ascii="宋体" w:hAnsi="宋体" w:cs="宋体" w:eastAsia="宋体"/>
                <w:sz w:val="24"/>
              </w:rPr>
              <w:t>, 仪器内部有≥4套数字温度控制系统（不包含水循环温度），实时监控磁控管温度，微波发射天线温度，单反应室腔体温度和反应溶液温度，4个温度均可在控制终端上同时数字和曲线显示。</w:t>
            </w:r>
          </w:p>
          <w:p>
            <w:pPr>
              <w:pStyle w:val="null3"/>
              <w:ind w:firstLine="480"/>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w:t>
            </w:r>
            <w:r>
              <w:rPr>
                <w:rFonts w:ascii="宋体" w:hAnsi="宋体" w:cs="宋体" w:eastAsia="宋体"/>
                <w:sz w:val="24"/>
                <w:color w:val="000000"/>
              </w:rPr>
              <w:t>高精度插入式热电偶温度控制系统：仪器内部有</w:t>
            </w:r>
            <w:r>
              <w:rPr>
                <w:rFonts w:ascii="宋体" w:hAnsi="宋体" w:cs="宋体" w:eastAsia="宋体"/>
                <w:sz w:val="24"/>
                <w:color w:val="000000"/>
              </w:rPr>
              <w:t>≥4个温度传感器(冷却水机温度除外)，在反应过程中实施监控不同部位的状态， ≥4个温度均可在控制终端上同时数字和曲线显示，提供软件界面截图并做功能描述</w:t>
            </w:r>
            <w:r>
              <w:rPr>
                <w:rFonts w:ascii="宋体" w:hAnsi="宋体" w:cs="宋体" w:eastAsia="宋体"/>
                <w:sz w:val="24"/>
              </w:rPr>
              <w:t>，控温范围：</w:t>
            </w:r>
            <w:r>
              <w:rPr>
                <w:rFonts w:ascii="宋体" w:hAnsi="宋体" w:cs="宋体" w:eastAsia="宋体"/>
                <w:sz w:val="24"/>
              </w:rPr>
              <w:t>0-500℃，控温精度：±1℃，连续实时测温，要求能在控制终端上显示控温精度 。</w:t>
            </w:r>
          </w:p>
          <w:p>
            <w:pPr>
              <w:pStyle w:val="null3"/>
              <w:ind w:firstLine="480"/>
              <w:jc w:val="both"/>
            </w:pPr>
            <w:r>
              <w:rPr>
                <w:rFonts w:ascii="宋体" w:hAnsi="宋体" w:cs="宋体" w:eastAsia="宋体"/>
                <w:sz w:val="24"/>
              </w:rPr>
              <w:t>（</w:t>
            </w:r>
            <w:r>
              <w:rPr>
                <w:rFonts w:ascii="宋体" w:hAnsi="宋体" w:cs="宋体" w:eastAsia="宋体"/>
                <w:sz w:val="24"/>
              </w:rPr>
              <w:t>10</w:t>
            </w:r>
            <w:r>
              <w:rPr>
                <w:rFonts w:ascii="宋体" w:hAnsi="宋体" w:cs="宋体" w:eastAsia="宋体"/>
                <w:sz w:val="24"/>
              </w:rPr>
              <w:t>）</w:t>
            </w:r>
            <w:r>
              <w:rPr>
                <w:rFonts w:ascii="宋体" w:hAnsi="宋体" w:cs="宋体" w:eastAsia="宋体"/>
                <w:sz w:val="24"/>
              </w:rPr>
              <w:t>可实现所有样品罐的温度和压力精确控制，保证样品处理的平行性，不同位置相同样品测量结果</w:t>
            </w:r>
            <w:r>
              <w:rPr>
                <w:rFonts w:ascii="宋体" w:hAnsi="宋体" w:cs="宋体" w:eastAsia="宋体"/>
                <w:sz w:val="24"/>
              </w:rPr>
              <w:t>RSD≤5%。</w:t>
            </w:r>
          </w:p>
          <w:p>
            <w:pPr>
              <w:pStyle w:val="null3"/>
              <w:ind w:firstLine="480"/>
              <w:jc w:val="both"/>
            </w:pPr>
            <w:r>
              <w:rPr>
                <w:rFonts w:ascii="宋体" w:hAnsi="宋体" w:cs="宋体" w:eastAsia="宋体"/>
                <w:sz w:val="24"/>
              </w:rPr>
              <w:t>（</w:t>
            </w:r>
            <w:r>
              <w:rPr>
                <w:rFonts w:ascii="宋体" w:hAnsi="宋体" w:cs="宋体" w:eastAsia="宋体"/>
                <w:sz w:val="24"/>
              </w:rPr>
              <w:t>11</w:t>
            </w:r>
            <w:r>
              <w:rPr>
                <w:rFonts w:ascii="宋体" w:hAnsi="宋体" w:cs="宋体" w:eastAsia="宋体"/>
                <w:sz w:val="24"/>
              </w:rPr>
              <w:t>）</w:t>
            </w:r>
            <w:r>
              <w:rPr>
                <w:rFonts w:ascii="宋体" w:hAnsi="宋体" w:cs="宋体" w:eastAsia="宋体"/>
                <w:sz w:val="24"/>
              </w:rPr>
              <w:t>具有智能程序升温、梯度升温功能，实时精确显示反应罐内的温度、压力。</w:t>
            </w:r>
          </w:p>
          <w:p>
            <w:pPr>
              <w:pStyle w:val="null3"/>
              <w:ind w:firstLine="480"/>
              <w:jc w:val="both"/>
            </w:pPr>
            <w:r>
              <w:rPr>
                <w:rFonts w:ascii="宋体" w:hAnsi="宋体" w:cs="宋体" w:eastAsia="宋体"/>
                <w:sz w:val="24"/>
              </w:rPr>
              <w:t>（</w:t>
            </w:r>
            <w:r>
              <w:rPr>
                <w:rFonts w:ascii="宋体" w:hAnsi="宋体" w:cs="宋体" w:eastAsia="宋体"/>
                <w:sz w:val="24"/>
              </w:rPr>
              <w:t>12</w:t>
            </w:r>
            <w:r>
              <w:rPr>
                <w:rFonts w:ascii="宋体" w:hAnsi="宋体" w:cs="宋体" w:eastAsia="宋体"/>
                <w:sz w:val="24"/>
              </w:rPr>
              <w:t>）</w:t>
            </w:r>
            <w:r>
              <w:rPr>
                <w:rFonts w:ascii="宋体" w:hAnsi="宋体" w:cs="宋体" w:eastAsia="宋体"/>
                <w:sz w:val="24"/>
              </w:rPr>
              <w:t>软件应具有用户权限管理，电子签名，审计追踪功能。</w:t>
            </w:r>
          </w:p>
          <w:p>
            <w:pPr>
              <w:pStyle w:val="null3"/>
              <w:ind w:firstLine="480"/>
              <w:jc w:val="both"/>
            </w:pPr>
            <w:r>
              <w:rPr>
                <w:rFonts w:ascii="宋体" w:hAnsi="宋体" w:cs="宋体" w:eastAsia="宋体"/>
                <w:sz w:val="24"/>
              </w:rPr>
              <w:t>（</w:t>
            </w:r>
            <w:r>
              <w:rPr>
                <w:rFonts w:ascii="宋体" w:hAnsi="宋体" w:cs="宋体" w:eastAsia="宋体"/>
                <w:sz w:val="24"/>
              </w:rPr>
              <w:t>13</w:t>
            </w:r>
            <w:r>
              <w:rPr>
                <w:rFonts w:ascii="宋体" w:hAnsi="宋体" w:cs="宋体" w:eastAsia="宋体"/>
                <w:sz w:val="24"/>
              </w:rPr>
              <w:t>）</w:t>
            </w:r>
            <w:r>
              <w:rPr>
                <w:rFonts w:ascii="宋体" w:hAnsi="宋体" w:cs="宋体" w:eastAsia="宋体"/>
                <w:sz w:val="24"/>
              </w:rPr>
              <w:t>方法与工作数据可同步保存到控制器和其他电脑、智能终端中。</w:t>
            </w:r>
          </w:p>
          <w:p>
            <w:pPr>
              <w:pStyle w:val="null3"/>
              <w:ind w:firstLine="480"/>
              <w:jc w:val="both"/>
            </w:pPr>
            <w:r>
              <w:rPr>
                <w:rFonts w:ascii="宋体" w:hAnsi="宋体" w:cs="宋体" w:eastAsia="宋体"/>
                <w:sz w:val="24"/>
              </w:rPr>
              <w:t>（</w:t>
            </w:r>
            <w:r>
              <w:rPr>
                <w:rFonts w:ascii="宋体" w:hAnsi="宋体" w:cs="宋体" w:eastAsia="宋体"/>
                <w:sz w:val="24"/>
              </w:rPr>
              <w:t>14</w:t>
            </w:r>
            <w:r>
              <w:rPr>
                <w:rFonts w:ascii="宋体" w:hAnsi="宋体" w:cs="宋体" w:eastAsia="宋体"/>
                <w:sz w:val="24"/>
              </w:rPr>
              <w:t>）</w:t>
            </w:r>
            <w:r>
              <w:rPr>
                <w:rFonts w:ascii="宋体" w:hAnsi="宋体" w:cs="宋体" w:eastAsia="宋体"/>
                <w:sz w:val="24"/>
              </w:rPr>
              <w:t>配备中文操作界面。</w:t>
            </w:r>
          </w:p>
          <w:p>
            <w:pPr>
              <w:pStyle w:val="null3"/>
              <w:ind w:firstLine="480"/>
              <w:jc w:val="both"/>
            </w:pPr>
            <w:r>
              <w:rPr>
                <w:rFonts w:ascii="宋体" w:hAnsi="宋体" w:cs="宋体" w:eastAsia="宋体"/>
                <w:sz w:val="24"/>
              </w:rPr>
              <w:t>（</w:t>
            </w:r>
            <w:r>
              <w:rPr>
                <w:rFonts w:ascii="宋体" w:hAnsi="宋体" w:cs="宋体" w:eastAsia="宋体"/>
                <w:sz w:val="24"/>
              </w:rPr>
              <w:t>15</w:t>
            </w:r>
            <w:r>
              <w:rPr>
                <w:rFonts w:ascii="宋体" w:hAnsi="宋体" w:cs="宋体" w:eastAsia="宋体"/>
                <w:sz w:val="24"/>
              </w:rPr>
              <w:t>）</w:t>
            </w:r>
            <w:r>
              <w:rPr>
                <w:rFonts w:ascii="宋体" w:hAnsi="宋体" w:cs="宋体" w:eastAsia="宋体"/>
                <w:sz w:val="24"/>
              </w:rPr>
              <w:t>消解罐</w:t>
            </w:r>
            <w:r>
              <w:rPr>
                <w:rFonts w:ascii="宋体" w:hAnsi="宋体" w:cs="宋体" w:eastAsia="宋体"/>
                <w:sz w:val="24"/>
              </w:rPr>
              <w:t>:可配备玻璃、石英、聚四氟乙烯等材质的消解罐。</w:t>
            </w:r>
          </w:p>
          <w:p>
            <w:pPr>
              <w:pStyle w:val="null3"/>
              <w:ind w:firstLine="480"/>
              <w:jc w:val="both"/>
            </w:pPr>
            <w:r>
              <w:rPr>
                <w:rFonts w:ascii="宋体" w:hAnsi="宋体" w:cs="宋体" w:eastAsia="宋体"/>
                <w:sz w:val="24"/>
              </w:rPr>
              <w:t>★（</w:t>
            </w:r>
            <w:r>
              <w:rPr>
                <w:rFonts w:ascii="宋体" w:hAnsi="宋体" w:cs="宋体" w:eastAsia="宋体"/>
                <w:sz w:val="24"/>
              </w:rPr>
              <w:t>16</w:t>
            </w:r>
            <w:r>
              <w:rPr>
                <w:rFonts w:ascii="宋体" w:hAnsi="宋体" w:cs="宋体" w:eastAsia="宋体"/>
                <w:sz w:val="24"/>
              </w:rPr>
              <w:t>）</w:t>
            </w:r>
            <w:r>
              <w:rPr>
                <w:rFonts w:ascii="宋体" w:hAnsi="宋体" w:cs="宋体" w:eastAsia="宋体"/>
                <w:sz w:val="24"/>
              </w:rPr>
              <w:t>同型号仪器在国内拥有成熟的使用经验，必须为在国内销售</w:t>
            </w:r>
            <w:r>
              <w:rPr>
                <w:rFonts w:ascii="宋体" w:hAnsi="宋体" w:cs="宋体" w:eastAsia="宋体"/>
                <w:sz w:val="24"/>
              </w:rPr>
              <w:t>2年以上的成熟</w:t>
            </w:r>
            <w:r>
              <w:rPr>
                <w:rFonts w:ascii="宋体" w:hAnsi="宋体" w:cs="宋体" w:eastAsia="宋体"/>
                <w:sz w:val="24"/>
                <w:color w:val="000000"/>
              </w:rPr>
              <w:t>产品。</w:t>
            </w:r>
          </w:p>
          <w:p>
            <w:pPr>
              <w:pStyle w:val="null3"/>
              <w:ind w:firstLine="480"/>
              <w:jc w:val="both"/>
            </w:pPr>
            <w:r>
              <w:rPr>
                <w:rFonts w:ascii="宋体" w:hAnsi="宋体" w:cs="宋体" w:eastAsia="宋体"/>
                <w:sz w:val="24"/>
              </w:rPr>
              <w:t>（</w:t>
            </w:r>
            <w:r>
              <w:rPr>
                <w:rFonts w:ascii="宋体" w:hAnsi="宋体" w:cs="宋体" w:eastAsia="宋体"/>
                <w:sz w:val="24"/>
              </w:rPr>
              <w:t>17</w:t>
            </w:r>
            <w:r>
              <w:rPr>
                <w:rFonts w:ascii="宋体" w:hAnsi="宋体" w:cs="宋体" w:eastAsia="宋体"/>
                <w:sz w:val="24"/>
              </w:rPr>
              <w:t>）</w:t>
            </w:r>
            <w:r>
              <w:rPr>
                <w:rFonts w:ascii="宋体" w:hAnsi="宋体" w:cs="宋体" w:eastAsia="宋体"/>
                <w:sz w:val="24"/>
              </w:rPr>
              <w:t>外置循环水冷却系统：</w:t>
            </w:r>
          </w:p>
          <w:p>
            <w:pPr>
              <w:pStyle w:val="null3"/>
              <w:ind w:firstLine="960"/>
              <w:jc w:val="both"/>
            </w:pPr>
            <w:r>
              <w:rPr>
                <w:rFonts w:ascii="宋体" w:hAnsi="宋体" w:cs="宋体" w:eastAsia="宋体"/>
                <w:sz w:val="24"/>
              </w:rPr>
              <w:t>①</w:t>
            </w:r>
            <w:r>
              <w:rPr>
                <w:rFonts w:ascii="宋体" w:hAnsi="宋体" w:cs="宋体" w:eastAsia="宋体"/>
                <w:sz w:val="24"/>
              </w:rPr>
              <w:t>控温范围：</w:t>
            </w:r>
            <w:r>
              <w:rPr>
                <w:rFonts w:ascii="宋体" w:hAnsi="宋体" w:cs="宋体" w:eastAsia="宋体"/>
                <w:sz w:val="24"/>
              </w:rPr>
              <w:t>8℃～35℃；</w:t>
            </w:r>
          </w:p>
          <w:p>
            <w:pPr>
              <w:pStyle w:val="null3"/>
              <w:ind w:firstLine="960"/>
              <w:jc w:val="both"/>
            </w:pPr>
            <w:r>
              <w:rPr>
                <w:rFonts w:ascii="宋体" w:hAnsi="宋体" w:cs="宋体" w:eastAsia="宋体"/>
                <w:sz w:val="24"/>
              </w:rPr>
              <w:t>②</w:t>
            </w:r>
            <w:r>
              <w:rPr>
                <w:rFonts w:ascii="宋体" w:hAnsi="宋体" w:cs="宋体" w:eastAsia="宋体"/>
                <w:sz w:val="24"/>
              </w:rPr>
              <w:t>控温精度：</w:t>
            </w:r>
            <w:r>
              <w:rPr>
                <w:rFonts w:ascii="宋体" w:hAnsi="宋体" w:cs="宋体" w:eastAsia="宋体"/>
                <w:sz w:val="24"/>
              </w:rPr>
              <w:t>±1℃；</w:t>
            </w:r>
          </w:p>
          <w:p>
            <w:pPr>
              <w:pStyle w:val="null3"/>
              <w:ind w:firstLine="960"/>
              <w:jc w:val="both"/>
            </w:pPr>
            <w:r>
              <w:rPr>
                <w:rFonts w:ascii="宋体" w:hAnsi="宋体" w:cs="宋体" w:eastAsia="宋体"/>
                <w:sz w:val="24"/>
              </w:rPr>
              <w:t>③</w:t>
            </w:r>
            <w:r>
              <w:rPr>
                <w:rFonts w:ascii="宋体" w:hAnsi="宋体" w:cs="宋体" w:eastAsia="宋体"/>
                <w:sz w:val="24"/>
              </w:rPr>
              <w:t>LCD彩色触摸屏显示，操作主界面可实现实时数字显示设定温度、实际温度、水压力、设备总运行时间等信息；</w:t>
            </w:r>
          </w:p>
          <w:p>
            <w:pPr>
              <w:pStyle w:val="null3"/>
              <w:ind w:firstLine="960"/>
              <w:jc w:val="both"/>
            </w:pPr>
            <w:r>
              <w:rPr>
                <w:rFonts w:ascii="宋体" w:hAnsi="宋体" w:cs="宋体" w:eastAsia="宋体"/>
                <w:sz w:val="24"/>
              </w:rPr>
              <w:t>④</w:t>
            </w:r>
            <w:r>
              <w:rPr>
                <w:rFonts w:ascii="宋体" w:hAnsi="宋体" w:cs="宋体" w:eastAsia="宋体"/>
                <w:sz w:val="24"/>
              </w:rPr>
              <w:t>冷却方式：压缩机制冷</w:t>
            </w:r>
          </w:p>
          <w:p>
            <w:pPr>
              <w:pStyle w:val="null3"/>
              <w:ind w:firstLine="960"/>
              <w:jc w:val="both"/>
            </w:pPr>
            <w:r>
              <w:rPr>
                <w:rFonts w:ascii="宋体" w:hAnsi="宋体" w:cs="宋体" w:eastAsia="宋体"/>
                <w:sz w:val="24"/>
              </w:rPr>
              <w:t>⑤</w:t>
            </w:r>
            <w:r>
              <w:rPr>
                <w:rFonts w:ascii="宋体" w:hAnsi="宋体" w:cs="宋体" w:eastAsia="宋体"/>
                <w:sz w:val="24"/>
              </w:rPr>
              <w:t>制冷功率</w:t>
            </w:r>
            <w:r>
              <w:rPr>
                <w:rFonts w:ascii="宋体" w:hAnsi="宋体" w:cs="宋体" w:eastAsia="宋体"/>
                <w:sz w:val="24"/>
              </w:rPr>
              <w:t>≥800W@25℃</w:t>
            </w:r>
          </w:p>
          <w:p>
            <w:pPr>
              <w:pStyle w:val="null3"/>
              <w:ind w:firstLine="960"/>
              <w:jc w:val="both"/>
            </w:pPr>
            <w:r>
              <w:rPr>
                <w:rFonts w:ascii="宋体" w:hAnsi="宋体" w:cs="宋体" w:eastAsia="宋体"/>
                <w:sz w:val="24"/>
              </w:rPr>
              <w:t>⑥</w:t>
            </w:r>
            <w:r>
              <w:rPr>
                <w:rFonts w:ascii="宋体" w:hAnsi="宋体" w:cs="宋体" w:eastAsia="宋体"/>
                <w:sz w:val="24"/>
              </w:rPr>
              <w:t>泵流量：</w:t>
            </w:r>
            <w:r>
              <w:rPr>
                <w:rFonts w:ascii="宋体" w:hAnsi="宋体" w:cs="宋体" w:eastAsia="宋体"/>
                <w:sz w:val="24"/>
              </w:rPr>
              <w:t>≥5L/min，泵压：≥3bar</w:t>
            </w:r>
          </w:p>
          <w:p>
            <w:pPr>
              <w:pStyle w:val="null3"/>
              <w:ind w:firstLine="960"/>
              <w:jc w:val="both"/>
            </w:pPr>
            <w:r>
              <w:rPr>
                <w:rFonts w:ascii="宋体" w:hAnsi="宋体" w:cs="宋体" w:eastAsia="宋体"/>
                <w:sz w:val="24"/>
              </w:rPr>
              <w:t>备注：加</w:t>
            </w:r>
            <w:r>
              <w:rPr>
                <w:rFonts w:ascii="宋体" w:hAnsi="宋体" w:cs="宋体" w:eastAsia="宋体"/>
                <w:sz w:val="24"/>
              </w:rPr>
              <w:t>★项</w:t>
            </w:r>
            <w:r>
              <w:rPr>
                <w:rFonts w:ascii="宋体" w:hAnsi="宋体" w:cs="宋体" w:eastAsia="宋体"/>
                <w:sz w:val="24"/>
              </w:rPr>
              <w:t>需</w:t>
            </w:r>
            <w:r>
              <w:rPr>
                <w:rFonts w:ascii="宋体" w:hAnsi="宋体" w:cs="宋体" w:eastAsia="宋体"/>
                <w:sz w:val="24"/>
              </w:rPr>
              <w:t>提供</w:t>
            </w:r>
            <w:r>
              <w:rPr>
                <w:rFonts w:ascii="宋体" w:hAnsi="宋体" w:cs="宋体" w:eastAsia="宋体"/>
                <w:sz w:val="24"/>
              </w:rPr>
              <w:t>加盖公章的</w:t>
            </w:r>
            <w:r>
              <w:rPr>
                <w:rFonts w:ascii="宋体" w:hAnsi="宋体" w:cs="宋体" w:eastAsia="宋体"/>
                <w:sz w:val="24"/>
              </w:rPr>
              <w:t>佐证材料，包括但不限于检测报告、官网截图、制造商出具的说明书等</w:t>
            </w:r>
            <w:r>
              <w:rPr>
                <w:rFonts w:ascii="宋体" w:hAnsi="宋体" w:cs="宋体" w:eastAsia="宋体"/>
                <w:sz w:val="24"/>
              </w:rPr>
              <w:t>，未提供视为不响应。</w:t>
            </w:r>
          </w:p>
        </w:tc>
      </w:tr>
      <w:tr>
        <w:tc>
          <w:tcPr>
            <w:tcW w:type="dxa" w:w="2769"/>
          </w:tcPr>
          <w:p/>
        </w:tc>
        <w:tc>
          <w:tcPr>
            <w:tcW w:type="dxa" w:w="2769"/>
          </w:tcPr>
          <w:p>
            <w:pPr>
              <w:pStyle w:val="null3"/>
            </w:pPr>
            <w:r>
              <w:rPr/>
              <w:t>3</w:t>
            </w:r>
          </w:p>
        </w:tc>
        <w:tc>
          <w:tcPr>
            <w:tcW w:type="dxa" w:w="2769"/>
          </w:tcPr>
          <w:p>
            <w:pPr>
              <w:pStyle w:val="null3"/>
              <w:ind w:firstLine="480"/>
              <w:jc w:val="both"/>
            </w:pPr>
            <w:r>
              <w:rPr>
                <w:rFonts w:ascii="宋体" w:hAnsi="宋体" w:cs="宋体" w:eastAsia="宋体"/>
                <w:sz w:val="24"/>
              </w:rPr>
              <w:t>3</w:t>
            </w:r>
            <w:r>
              <w:rPr>
                <w:rFonts w:ascii="宋体" w:hAnsi="宋体" w:cs="宋体" w:eastAsia="宋体"/>
                <w:sz w:val="24"/>
              </w:rPr>
              <w:t>、仪器配置</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超级微波消解仪主机</w:t>
            </w:r>
            <w:r>
              <w:rPr>
                <w:rFonts w:ascii="宋体" w:hAnsi="宋体" w:cs="宋体" w:eastAsia="宋体"/>
                <w:sz w:val="24"/>
              </w:rPr>
              <w:t>1台</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消解罐体积</w:t>
            </w:r>
            <w:r>
              <w:rPr>
                <w:rFonts w:ascii="宋体" w:hAnsi="宋体" w:cs="宋体" w:eastAsia="宋体"/>
                <w:sz w:val="24"/>
              </w:rPr>
              <w:t>≥18mL的消解位数≥40位的消解支架1个，定位盘1个，对应消解位数的聚四氟乙烯材质消解管及盖子各2套，对应消解位数的玻璃材质消解管各1套</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消解罐体积</w:t>
            </w:r>
            <w:r>
              <w:rPr>
                <w:rFonts w:ascii="宋体" w:hAnsi="宋体" w:cs="宋体" w:eastAsia="宋体"/>
                <w:sz w:val="24"/>
              </w:rPr>
              <w:t>≥12mL的消解位数≥60位的消解支架1个，定位盘1个对应消解位数的聚四氟乙烯材质消解管及盖子各2套，对应消解位数的玻璃材质消解管各1套</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控制终端</w:t>
            </w:r>
            <w:r>
              <w:rPr>
                <w:rFonts w:ascii="宋体" w:hAnsi="宋体" w:cs="宋体" w:eastAsia="宋体"/>
                <w:sz w:val="24"/>
              </w:rPr>
              <w:t>1套</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高精度热电偶插入式控温系统</w:t>
            </w:r>
            <w:r>
              <w:rPr>
                <w:rFonts w:ascii="宋体" w:hAnsi="宋体" w:cs="宋体" w:eastAsia="宋体"/>
                <w:sz w:val="24"/>
              </w:rPr>
              <w:t>1套</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自动压力控制系统</w:t>
            </w:r>
            <w:r>
              <w:rPr>
                <w:rFonts w:ascii="宋体" w:hAnsi="宋体" w:cs="宋体" w:eastAsia="宋体"/>
                <w:sz w:val="24"/>
              </w:rPr>
              <w:t>1套</w:t>
            </w:r>
          </w:p>
          <w:p>
            <w:pPr>
              <w:pStyle w:val="null3"/>
              <w:ind w:firstLine="48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w:t>
            </w:r>
            <w:r>
              <w:rPr>
                <w:rFonts w:ascii="宋体" w:hAnsi="宋体" w:cs="宋体" w:eastAsia="宋体"/>
                <w:sz w:val="24"/>
              </w:rPr>
              <w:t>循环水冷却系统</w:t>
            </w:r>
            <w:r>
              <w:rPr>
                <w:rFonts w:ascii="宋体" w:hAnsi="宋体" w:cs="宋体" w:eastAsia="宋体"/>
                <w:sz w:val="24"/>
              </w:rPr>
              <w:t>1台</w:t>
            </w:r>
          </w:p>
          <w:p>
            <w:pPr>
              <w:pStyle w:val="null3"/>
              <w:ind w:firstLine="480"/>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w:t>
            </w:r>
            <w:r>
              <w:rPr>
                <w:rFonts w:ascii="宋体" w:hAnsi="宋体" w:cs="宋体" w:eastAsia="宋体"/>
                <w:sz w:val="24"/>
              </w:rPr>
              <w:t>备件及消耗件</w:t>
            </w:r>
            <w:r>
              <w:rPr>
                <w:rFonts w:ascii="宋体" w:hAnsi="宋体" w:cs="宋体" w:eastAsia="宋体"/>
                <w:sz w:val="24"/>
              </w:rPr>
              <w:t>1套</w:t>
            </w:r>
          </w:p>
          <w:p>
            <w:pPr>
              <w:pStyle w:val="null3"/>
              <w:ind w:firstLine="480"/>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w:t>
            </w:r>
            <w:r>
              <w:rPr>
                <w:rFonts w:ascii="宋体" w:hAnsi="宋体" w:cs="宋体" w:eastAsia="宋体"/>
                <w:sz w:val="24"/>
              </w:rPr>
              <w:t>与消解罐体积配套的赶酸器</w:t>
            </w:r>
            <w:r>
              <w:rPr>
                <w:rFonts w:ascii="宋体" w:hAnsi="宋体" w:cs="宋体" w:eastAsia="宋体"/>
                <w:sz w:val="24"/>
              </w:rPr>
              <w:t>2套</w:t>
            </w:r>
          </w:p>
        </w:tc>
      </w:tr>
      <w:tr>
        <w:tc>
          <w:tcPr>
            <w:tcW w:type="dxa" w:w="2769"/>
          </w:tcPr>
          <w:p/>
        </w:tc>
        <w:tc>
          <w:tcPr>
            <w:tcW w:type="dxa" w:w="2769"/>
          </w:tcPr>
          <w:p>
            <w:pPr>
              <w:pStyle w:val="null3"/>
            </w:pPr>
            <w:r>
              <w:rPr/>
              <w:t>4</w:t>
            </w:r>
          </w:p>
        </w:tc>
        <w:tc>
          <w:tcPr>
            <w:tcW w:type="dxa" w:w="2769"/>
          </w:tcPr>
          <w:p>
            <w:pPr>
              <w:pStyle w:val="null3"/>
              <w:ind w:firstLine="480"/>
              <w:jc w:val="both"/>
            </w:pPr>
            <w:r>
              <w:rPr>
                <w:rFonts w:ascii="宋体" w:hAnsi="宋体" w:cs="宋体" w:eastAsia="宋体"/>
                <w:sz w:val="24"/>
              </w:rPr>
              <w:t>4</w:t>
            </w:r>
            <w:r>
              <w:rPr>
                <w:rFonts w:ascii="宋体" w:hAnsi="宋体" w:cs="宋体" w:eastAsia="宋体"/>
                <w:sz w:val="24"/>
              </w:rPr>
              <w:t>、技术服务</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设备安装、调试和验收：仪器到达最终用户现场并且实验室条件合格后，在接到用户通知后需安排有经验的工程技术人员到用户现场安装、调试仪器，设备安装调试需在</w:t>
            </w:r>
            <w:r>
              <w:rPr>
                <w:rFonts w:ascii="宋体" w:hAnsi="宋体" w:cs="宋体" w:eastAsia="宋体"/>
                <w:sz w:val="24"/>
              </w:rPr>
              <w:t>15日内完成。</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培训要求：安装验收期间，在用户所在地对用户进行仪器操作和日常维护的现场培训，包括仪器原理、使用方法和维护方法等。</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维修响应要求：</w:t>
            </w:r>
          </w:p>
          <w:p>
            <w:pPr>
              <w:pStyle w:val="null3"/>
              <w:ind w:firstLine="480"/>
              <w:jc w:val="both"/>
            </w:pPr>
            <w:r>
              <w:rPr>
                <w:rFonts w:ascii="宋体" w:hAnsi="宋体" w:cs="宋体" w:eastAsia="宋体"/>
                <w:sz w:val="24"/>
              </w:rPr>
              <w:t>①</w:t>
            </w:r>
            <w:r>
              <w:rPr>
                <w:rFonts w:ascii="宋体" w:hAnsi="宋体" w:cs="宋体" w:eastAsia="宋体"/>
                <w:sz w:val="24"/>
              </w:rPr>
              <w:t>接到用户维修信息后，在</w:t>
            </w:r>
            <w:r>
              <w:rPr>
                <w:rFonts w:ascii="宋体" w:hAnsi="宋体" w:cs="宋体" w:eastAsia="宋体"/>
                <w:sz w:val="24"/>
              </w:rPr>
              <w:t>4小时内给予答复。</w:t>
            </w:r>
          </w:p>
          <w:p>
            <w:pPr>
              <w:pStyle w:val="null3"/>
              <w:ind w:firstLine="480"/>
              <w:jc w:val="both"/>
            </w:pPr>
            <w:r>
              <w:rPr>
                <w:rFonts w:ascii="宋体" w:hAnsi="宋体" w:cs="宋体" w:eastAsia="宋体"/>
                <w:sz w:val="24"/>
              </w:rPr>
              <w:t>②</w:t>
            </w:r>
            <w:r>
              <w:rPr>
                <w:rFonts w:ascii="宋体" w:hAnsi="宋体" w:cs="宋体" w:eastAsia="宋体"/>
                <w:sz w:val="24"/>
              </w:rPr>
              <w:t>在给用户答复后，根据客户要求，需到现场维修时，到达时间：</w:t>
            </w:r>
          </w:p>
          <w:p>
            <w:pPr>
              <w:pStyle w:val="null3"/>
              <w:ind w:firstLine="480"/>
              <w:jc w:val="both"/>
            </w:pPr>
            <w:r>
              <w:rPr>
                <w:rFonts w:ascii="宋体" w:hAnsi="宋体" w:cs="宋体" w:eastAsia="宋体"/>
                <w:sz w:val="24"/>
              </w:rPr>
              <w:t>A：工程师驻地：1-3个工作日，或双方协商；</w:t>
            </w:r>
          </w:p>
          <w:p>
            <w:pPr>
              <w:pStyle w:val="null3"/>
              <w:ind w:firstLine="480"/>
              <w:jc w:val="both"/>
            </w:pPr>
            <w:r>
              <w:rPr>
                <w:rFonts w:ascii="宋体" w:hAnsi="宋体" w:cs="宋体" w:eastAsia="宋体"/>
                <w:sz w:val="24"/>
              </w:rPr>
              <w:t>B：其它地区：3-5个工作日，或双方协商。</w:t>
            </w:r>
          </w:p>
          <w:p>
            <w:pPr>
              <w:pStyle w:val="null3"/>
              <w:ind w:firstLine="480"/>
              <w:jc w:val="both"/>
            </w:pPr>
            <w:r>
              <w:rPr>
                <w:rFonts w:ascii="宋体" w:hAnsi="宋体" w:cs="宋体" w:eastAsia="宋体"/>
                <w:sz w:val="24"/>
              </w:rPr>
              <w:t>因自然灾害，疫情等原因导致出行受阻，失效不在以上范围之内。</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质量保证期为验收合格后不少于</w:t>
            </w:r>
            <w:r>
              <w:rPr>
                <w:rFonts w:ascii="宋体" w:hAnsi="宋体" w:cs="宋体" w:eastAsia="宋体"/>
                <w:sz w:val="24"/>
              </w:rPr>
              <w:t>1年。</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质量保证期结束后，</w:t>
            </w:r>
            <w:r>
              <w:rPr>
                <w:rFonts w:ascii="宋体" w:hAnsi="宋体" w:cs="宋体" w:eastAsia="宋体"/>
                <w:sz w:val="24"/>
              </w:rPr>
              <w:t>供应商</w:t>
            </w:r>
            <w:r>
              <w:rPr>
                <w:rFonts w:ascii="宋体" w:hAnsi="宋体" w:cs="宋体" w:eastAsia="宋体"/>
                <w:sz w:val="24"/>
              </w:rPr>
              <w:t>有责任对采购人的设备提供良好的维保服务。</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供应商应在投标文件中声明终身售后服务承诺、售后服务的方式和能力。</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15日内完成设备安装与调试。</w:t>
      </w:r>
    </w:p>
    <w:p>
      <w:pPr>
        <w:pStyle w:val="null3"/>
        <w:outlineLvl w:val="3"/>
      </w:pPr>
      <w:r>
        <w:rPr>
          <w:sz w:val="24"/>
          <w:b/>
        </w:rPr>
        <w:t>3.4.2交货地点和方式</w:t>
      </w:r>
    </w:p>
    <w:p>
      <w:pPr>
        <w:pStyle w:val="null3"/>
      </w:pPr>
      <w:r>
        <w:rPr/>
        <w:t>采购包1：</w:t>
      </w:r>
    </w:p>
    <w:p>
      <w:pPr>
        <w:pStyle w:val="null3"/>
      </w:pPr>
      <w:r>
        <w:rPr/>
        <w:t>西安市农产品质量安全检验监测中心指定地点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交货完成并验收合格后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（1）外观验收：产品/设备及其备附件到达甲方指定地点后，甲方根据合同要求，在乙方和甲方相关负责人双方同时在场的情况下，进行外观验收，确认产地、规格、型号和数量。 （2）安装调试：乙方应配合甲方的工期要求，负责在现场对产品/设备进行安装、调试和试运行，直至验收合格。乙方应提供全部安装、调试过程中所需的材料、设施设备、人工等。试运行应当在甲方的监督下进行。 （3）最终验收：产品/设备安装调试和运行后，由乙方向甲方递交产品/设备安装调试记录和竣工通知书，经甲方确认后，组织乙方进行系统验收（必要时甲方可委托具有相关资质的第三方检测机构/技术专家对产品/设备进行系统验收，由此产生的相关费用由乙方承担，需要国家法定检验 部门进行检验或验收的由乙方负责联系）。验收合格后，填写政府釆购项目履约验收单（一式伍份）作为对产品/设备的最终认可。政府釆购项目履约验收单（原件）送釆购代理机构一份，并据此退还履约保证金。 （4）验收依据 ①谈判文件、响应文件、澄清表（函）； ②本合同及附件文本； ③合同签订时国家及行业现行的标准和技术规范。 （5）乙方应向甲方提交项目实施过程中的所有资料，以便甲方日后管理和维护。 （6）双方拟定的其他条款。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验收合格后不少于1年。</w:t>
      </w:r>
    </w:p>
    <w:p>
      <w:pPr>
        <w:pStyle w:val="null3"/>
        <w:outlineLvl w:val="3"/>
      </w:pPr>
      <w:r>
        <w:rPr>
          <w:sz w:val="24"/>
          <w:b/>
        </w:rPr>
        <w:t>3.4.8违约责任及解决争议的方法</w:t>
      </w:r>
    </w:p>
    <w:p>
      <w:pPr>
        <w:pStyle w:val="null3"/>
      </w:pPr>
      <w:r>
        <w:rPr/>
        <w:t>采购包1：</w:t>
      </w:r>
    </w:p>
    <w:p>
      <w:pPr>
        <w:pStyle w:val="null3"/>
      </w:pPr>
      <w:r>
        <w:rPr/>
        <w:t>详见合同。</w:t>
      </w:r>
    </w:p>
    <w:p>
      <w:pPr>
        <w:pStyle w:val="null3"/>
        <w:jc w:val="left"/>
        <w:outlineLvl w:val="3"/>
      </w:pPr>
      <w:r>
        <w:rPr>
          <w:sz w:val="24"/>
          <w:b/>
        </w:rPr>
        <w:t>3.5其他要求</w:t>
      </w:r>
    </w:p>
    <w:p>
      <w:pPr>
        <w:pStyle w:val="null3"/>
      </w:pPr>
      <w:r>
        <w:rPr/>
        <w:t>采购包1：</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产品授权书或声明函</w:t>
            </w:r>
          </w:p>
        </w:tc>
        <w:tc>
          <w:tcPr>
            <w:tcW w:type="dxa" w:w="3322"/>
          </w:tcPr>
          <w:p>
            <w:pPr>
              <w:pStyle w:val="null3"/>
            </w:pPr>
            <w:r>
              <w:rPr/>
              <w:t>（1）供应商为代理商的，须提供产品厂家授权书或总代理商授权书。（如提供总代理商授权的须同时提供总代理商具有有效授权权限的相关证明文件，证明文件需能显示产品制造厂家对所响应产品授权链条的完整性）；（2）供应商为制造商的需提供声明函。</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交货期、付款方式、质保期、响应文件有效期</w:t>
            </w:r>
          </w:p>
        </w:tc>
        <w:tc>
          <w:tcPr>
            <w:tcW w:type="dxa" w:w="3322"/>
          </w:tcPr>
          <w:p>
            <w:pPr>
              <w:pStyle w:val="null3"/>
            </w:pPr>
            <w:r>
              <w:rPr/>
              <w:t>符合谈判文件要求</w:t>
            </w:r>
          </w:p>
        </w:tc>
        <w:tc>
          <w:tcPr>
            <w:tcW w:type="dxa" w:w="1661"/>
          </w:tcPr>
          <w:p>
            <w:pPr>
              <w:pStyle w:val="null3"/>
            </w:pPr>
            <w:r>
              <w:rPr/>
              <w:t>商务及技术要求偏离表 资格响应表</w:t>
            </w:r>
          </w:p>
        </w:tc>
      </w:tr>
      <w:tr>
        <w:tc>
          <w:tcPr>
            <w:tcW w:type="dxa" w:w="831"/>
          </w:tcPr>
          <w:p>
            <w:pPr>
              <w:pStyle w:val="null3"/>
            </w:pPr>
            <w:r>
              <w:rPr/>
              <w:t>3</w:t>
            </w:r>
          </w:p>
        </w:tc>
        <w:tc>
          <w:tcPr>
            <w:tcW w:type="dxa" w:w="2492"/>
          </w:tcPr>
          <w:p>
            <w:pPr>
              <w:pStyle w:val="null3"/>
            </w:pPr>
            <w:r>
              <w:rPr/>
              <w:t>技术响应性审查</w:t>
            </w:r>
          </w:p>
        </w:tc>
        <w:tc>
          <w:tcPr>
            <w:tcW w:type="dxa" w:w="3322"/>
          </w:tcPr>
          <w:p>
            <w:pPr>
              <w:pStyle w:val="null3"/>
            </w:pPr>
            <w:r>
              <w:rPr/>
              <w:t>谈判响应文件的技术指标是否满足采购要求。</w:t>
            </w:r>
          </w:p>
        </w:tc>
        <w:tc>
          <w:tcPr>
            <w:tcW w:type="dxa" w:w="1661"/>
          </w:tcPr>
          <w:p>
            <w:pPr>
              <w:pStyle w:val="null3"/>
            </w:pPr>
            <w:r>
              <w:rPr/>
              <w:t>商务及技术要求偏离表 供货方案 资格响应表</w:t>
            </w:r>
          </w:p>
        </w:tc>
      </w:tr>
      <w:tr>
        <w:tc>
          <w:tcPr>
            <w:tcW w:type="dxa" w:w="831"/>
          </w:tcPr>
          <w:p>
            <w:pPr>
              <w:pStyle w:val="null3"/>
            </w:pPr>
            <w:r>
              <w:rPr/>
              <w:t>4</w:t>
            </w:r>
          </w:p>
        </w:tc>
        <w:tc>
          <w:tcPr>
            <w:tcW w:type="dxa" w:w="2492"/>
          </w:tcPr>
          <w:p>
            <w:pPr>
              <w:pStyle w:val="null3"/>
            </w:pPr>
            <w:r>
              <w:rPr/>
              <w:t>谈判文件规定的其他情形</w:t>
            </w:r>
          </w:p>
        </w:tc>
        <w:tc>
          <w:tcPr>
            <w:tcW w:type="dxa" w:w="3322"/>
          </w:tcPr>
          <w:p>
            <w:pPr>
              <w:pStyle w:val="null3"/>
            </w:pPr>
            <w:r>
              <w:rPr/>
              <w:t>符合谈判文件要求</w:t>
            </w:r>
          </w:p>
        </w:tc>
        <w:tc>
          <w:tcPr>
            <w:tcW w:type="dxa" w:w="1661"/>
          </w:tcPr>
          <w:p>
            <w:pPr>
              <w:pStyle w:val="null3"/>
            </w:pPr>
            <w:r>
              <w:rPr/>
              <w:t>商务及技术要求偏离表 谈判报价表及分项报价表 供货方案 资格响应表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详见附件：供货方案</w:t>
      </w:r>
    </w:p>
    <w:p>
      <w:pPr>
        <w:pStyle w:val="null3"/>
        <w:ind w:firstLine="960"/>
      </w:pPr>
      <w:r>
        <w:rPr/>
        <w:t>详见附件：商务及技术要求偏离表</w:t>
      </w:r>
    </w:p>
    <w:p>
      <w:pPr>
        <w:pStyle w:val="null3"/>
        <w:ind w:firstLine="960"/>
      </w:pPr>
      <w:r>
        <w:rPr/>
        <w:t>详见附件：谈判报价表及分项报价表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