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6625"/>
      <w:bookmarkStart w:id="3" w:name="_Toc20132"/>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spacing w:line="360" w:lineRule="auto"/>
        <w:rPr>
          <w:rFonts w:hint="eastAsia" w:ascii="仿宋" w:eastAsia="仿宋" w:cs="仿宋"/>
          <w:b/>
          <w:bCs/>
          <w:sz w:val="24"/>
          <w:szCs w:val="22"/>
          <w:lang w:bidi="ar-SA"/>
        </w:rPr>
      </w:pPr>
      <w:r>
        <w:rPr>
          <w:rFonts w:hint="eastAsia" w:ascii="仿宋" w:eastAsia="仿宋" w:cs="仿宋"/>
          <w:b/>
          <w:bCs/>
          <w:sz w:val="24"/>
          <w:lang w:bidi="ar-SA"/>
        </w:rPr>
        <w:t>（1）基本资格条件：符合《中华人民共和国政府采购法》第二十二条的规定</w:t>
      </w:r>
      <w:r>
        <w:rPr>
          <w:rFonts w:hint="eastAsia" w:ascii="仿宋" w:eastAsia="仿宋" w:cs="仿宋"/>
          <w:b/>
          <w:bCs/>
          <w:sz w:val="24"/>
          <w:szCs w:val="22"/>
          <w:lang w:bidi="ar-SA"/>
        </w:rPr>
        <w:t>的供应商条件，提供以下文件：</w:t>
      </w:r>
    </w:p>
    <w:p>
      <w:pPr>
        <w:spacing w:line="360" w:lineRule="auto"/>
        <w:rPr>
          <w:rFonts w:hint="eastAsia" w:ascii="仿宋" w:eastAsia="仿宋" w:cs="仿宋"/>
          <w:sz w:val="24"/>
          <w:szCs w:val="22"/>
          <w:lang w:val="en-US" w:eastAsia="zh-CN" w:bidi="ar-SA"/>
        </w:rPr>
      </w:pPr>
      <w:r>
        <w:rPr>
          <w:rFonts w:hint="eastAsia" w:ascii="仿宋" w:eastAsia="仿宋" w:cs="仿宋"/>
          <w:sz w:val="24"/>
          <w:szCs w:val="22"/>
          <w:lang w:val="en-US" w:eastAsia="zh-CN" w:bidi="ar-SA"/>
        </w:rPr>
        <w:t>1）</w:t>
      </w:r>
      <w:r>
        <w:rPr>
          <w:rFonts w:hint="eastAsia" w:ascii="仿宋" w:eastAsia="仿宋" w:cs="仿宋"/>
          <w:bCs/>
          <w:color w:val="auto"/>
          <w:sz w:val="24"/>
          <w:szCs w:val="22"/>
        </w:rPr>
        <w:t>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2</w:t>
      </w:r>
      <w:r>
        <w:rPr>
          <w:rFonts w:hint="eastAsia" w:ascii="仿宋" w:eastAsia="仿宋" w:cs="仿宋"/>
          <w:sz w:val="24"/>
          <w:szCs w:val="22"/>
          <w:lang w:bidi="ar-SA"/>
        </w:rPr>
        <w:t>）202</w:t>
      </w:r>
      <w:r>
        <w:rPr>
          <w:rFonts w:hint="eastAsia" w:ascii="仿宋" w:eastAsia="仿宋" w:cs="仿宋"/>
          <w:sz w:val="24"/>
          <w:szCs w:val="22"/>
          <w:lang w:val="en-US" w:eastAsia="zh-CN" w:bidi="ar-SA"/>
        </w:rPr>
        <w:t>3</w:t>
      </w:r>
      <w:r>
        <w:rPr>
          <w:rFonts w:hint="eastAsia" w:ascii="仿宋" w:eastAsia="仿宋" w:cs="仿宋"/>
          <w:sz w:val="24"/>
          <w:szCs w:val="22"/>
          <w:lang w:bidi="ar-SA"/>
        </w:rPr>
        <w:t>年度经审计</w:t>
      </w:r>
      <w:r>
        <w:rPr>
          <w:rFonts w:hint="eastAsia" w:ascii="仿宋" w:eastAsia="仿宋" w:cs="仿宋"/>
          <w:sz w:val="24"/>
          <w:szCs w:val="22"/>
          <w:u w:val="single"/>
          <w:lang w:bidi="ar-SA"/>
        </w:rPr>
        <w:t>的财务报告</w:t>
      </w:r>
      <w:r>
        <w:rPr>
          <w:rFonts w:hint="eastAsia" w:ascii="仿宋" w:eastAsia="仿宋" w:cs="仿宋"/>
          <w:b/>
          <w:bCs/>
          <w:sz w:val="24"/>
          <w:szCs w:val="22"/>
          <w:lang w:bidi="ar-SA"/>
        </w:rPr>
        <w:t>或</w:t>
      </w:r>
      <w:r>
        <w:rPr>
          <w:rFonts w:hint="eastAsia" w:ascii="仿宋" w:eastAsia="仿宋" w:cs="仿宋"/>
          <w:sz w:val="24"/>
          <w:szCs w:val="22"/>
          <w:lang w:bidi="ar-SA"/>
        </w:rPr>
        <w:t>在</w:t>
      </w:r>
      <w:r>
        <w:rPr>
          <w:rFonts w:hint="eastAsia" w:ascii="仿宋" w:eastAsia="仿宋" w:cs="仿宋"/>
          <w:sz w:val="24"/>
          <w:szCs w:val="22"/>
          <w:lang w:val="en-US" w:eastAsia="zh-CN" w:bidi="ar-SA"/>
        </w:rPr>
        <w:t>谈判</w:t>
      </w:r>
      <w:r>
        <w:rPr>
          <w:rFonts w:hint="eastAsia" w:ascii="仿宋" w:eastAsia="仿宋" w:cs="仿宋"/>
          <w:sz w:val="24"/>
          <w:szCs w:val="22"/>
          <w:lang w:bidi="ar-SA"/>
        </w:rPr>
        <w:t>日期前12个月内</w:t>
      </w:r>
      <w:r>
        <w:rPr>
          <w:rFonts w:hint="eastAsia" w:ascii="仿宋" w:eastAsia="仿宋" w:cs="仿宋"/>
          <w:sz w:val="24"/>
          <w:szCs w:val="22"/>
          <w:u w:val="single"/>
          <w:lang w:bidi="ar-SA"/>
        </w:rPr>
        <w:t>银行出具的资信证明</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3</w:t>
      </w:r>
      <w:r>
        <w:rPr>
          <w:rFonts w:hint="eastAsia" w:ascii="仿宋" w:eastAsia="仿宋" w:cs="仿宋"/>
          <w:sz w:val="24"/>
          <w:szCs w:val="22"/>
          <w:lang w:bidi="ar-SA"/>
        </w:rPr>
        <w:t>）提供具有履行本合同所必需专业技术能力的</w:t>
      </w:r>
      <w:r>
        <w:rPr>
          <w:rFonts w:hint="eastAsia" w:ascii="仿宋" w:eastAsia="仿宋" w:cs="仿宋"/>
          <w:sz w:val="24"/>
          <w:szCs w:val="22"/>
          <w:u w:val="single"/>
          <w:lang w:bidi="ar-SA"/>
        </w:rPr>
        <w:t>说明及承诺</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4</w:t>
      </w:r>
      <w:r>
        <w:rPr>
          <w:rFonts w:hint="eastAsia" w:ascii="仿宋" w:eastAsia="仿宋" w:cs="仿宋"/>
          <w:sz w:val="24"/>
          <w:szCs w:val="22"/>
          <w:lang w:bidi="ar-SA"/>
        </w:rPr>
        <w:t>）依法缴纳税收和社会保障资金的良好记录（</w:t>
      </w:r>
      <w:r>
        <w:rPr>
          <w:rFonts w:hint="eastAsia" w:ascii="仿宋" w:eastAsia="仿宋" w:cs="仿宋"/>
          <w:sz w:val="24"/>
          <w:szCs w:val="22"/>
          <w:u w:val="single"/>
          <w:lang w:bidi="ar-SA"/>
        </w:rPr>
        <w:t>截止</w:t>
      </w:r>
      <w:r>
        <w:rPr>
          <w:rFonts w:hint="eastAsia" w:ascii="仿宋" w:eastAsia="仿宋" w:cs="仿宋"/>
          <w:sz w:val="24"/>
          <w:szCs w:val="22"/>
          <w:u w:val="single"/>
          <w:lang w:val="en-US" w:eastAsia="zh-CN" w:bidi="ar-SA"/>
        </w:rPr>
        <w:t>谈判</w:t>
      </w:r>
      <w:r>
        <w:rPr>
          <w:rFonts w:hint="eastAsia" w:ascii="仿宋" w:eastAsia="仿宋" w:cs="仿宋"/>
          <w:sz w:val="24"/>
          <w:szCs w:val="22"/>
          <w:u w:val="single"/>
          <w:lang w:bidi="ar-SA"/>
        </w:rPr>
        <w:t>日期前十二个月内任意1个月的缴费凭据或提供税务部门和社保部门出具的纳税证明和社保证明</w:t>
      </w:r>
      <w:r>
        <w:rPr>
          <w:rFonts w:hint="eastAsia" w:ascii="仿宋" w:eastAsia="仿宋" w:cs="仿宋"/>
          <w:sz w:val="24"/>
          <w:szCs w:val="22"/>
          <w:lang w:bidi="ar-SA"/>
        </w:rPr>
        <w:t>）。依法免税的供应商提供相应文件证明其依法免税，依法不需要缴纳社会保障资金的供应商提供相应证明文件证明依法不需要缴纳社会保障资金；</w:t>
      </w:r>
    </w:p>
    <w:p>
      <w:pPr>
        <w:spacing w:line="360" w:lineRule="auto"/>
        <w:rPr>
          <w:rFonts w:hint="eastAsia" w:ascii="仿宋" w:eastAsia="仿宋" w:cs="仿宋"/>
          <w:sz w:val="24"/>
          <w:lang w:bidi="ar-SA"/>
        </w:rPr>
      </w:pPr>
      <w:r>
        <w:rPr>
          <w:rFonts w:hint="eastAsia" w:ascii="仿宋" w:eastAsia="仿宋" w:cs="仿宋"/>
          <w:sz w:val="24"/>
          <w:szCs w:val="22"/>
          <w:lang w:val="en-US" w:eastAsia="zh-CN" w:bidi="ar-SA"/>
        </w:rPr>
        <w:t>5</w:t>
      </w:r>
      <w:r>
        <w:rPr>
          <w:rFonts w:hint="eastAsia" w:ascii="仿宋" w:eastAsia="仿宋" w:cs="仿宋"/>
          <w:sz w:val="24"/>
          <w:szCs w:val="22"/>
          <w:lang w:bidi="ar-SA"/>
        </w:rPr>
        <w:t>）参加政府采购活动前3年内在经营活动中没有重大违法记录的</w:t>
      </w:r>
      <w:r>
        <w:rPr>
          <w:rFonts w:hint="eastAsia" w:ascii="仿宋" w:eastAsia="仿宋" w:cs="仿宋"/>
          <w:sz w:val="24"/>
          <w:szCs w:val="22"/>
          <w:u w:val="single"/>
          <w:lang w:bidi="ar-SA"/>
        </w:rPr>
        <w:t>书面声明</w:t>
      </w:r>
      <w:r>
        <w:rPr>
          <w:rFonts w:hint="eastAsia" w:ascii="仿宋" w:eastAsia="仿宋" w:cs="仿宋"/>
          <w:sz w:val="24"/>
          <w:szCs w:val="22"/>
          <w:lang w:bidi="ar-SA"/>
        </w:rPr>
        <w:t>。</w:t>
      </w:r>
    </w:p>
    <w:p>
      <w:pPr>
        <w:spacing w:line="400" w:lineRule="atLeast"/>
        <w:rPr>
          <w:rFonts w:hint="eastAsia" w:ascii="仿宋" w:eastAsia="仿宋" w:cs="仿宋"/>
          <w:lang w:bidi="ar-SA"/>
        </w:rPr>
      </w:pPr>
    </w:p>
    <w:p>
      <w:pPr>
        <w:spacing w:line="400" w:lineRule="atLeast"/>
        <w:rPr>
          <w:rFonts w:hint="eastAsia" w:ascii="仿宋" w:eastAsia="仿宋" w:cs="仿宋"/>
          <w:lang w:bidi="ar-SA"/>
        </w:rPr>
      </w:pPr>
    </w:p>
    <w:p>
      <w:pPr>
        <w:pStyle w:val="4"/>
        <w:numPr>
          <w:ilvl w:val="0"/>
          <w:numId w:val="0"/>
        </w:numPr>
        <w:adjustRightInd w:val="0"/>
        <w:spacing w:line="416" w:lineRule="atLeast"/>
        <w:textAlignment w:val="baseline"/>
        <w:rPr>
          <w:rFonts w:hint="eastAsia" w:ascii="仿宋" w:eastAsia="仿宋" w:cs="仿宋"/>
          <w:sz w:val="28"/>
          <w:szCs w:val="21"/>
          <w:lang w:bidi="ar-SA"/>
        </w:rPr>
      </w:pPr>
      <w:r>
        <w:rPr>
          <w:rFonts w:hint="eastAsia" w:ascii="仿宋" w:eastAsia="仿宋" w:cs="仿宋"/>
          <w:lang w:bidi="ar-SA"/>
        </w:rPr>
        <w:br w:type="page"/>
      </w:r>
      <w:bookmarkStart w:id="5" w:name="_Toc17739"/>
      <w:bookmarkStart w:id="6" w:name="_Toc8036"/>
      <w:r>
        <w:rPr>
          <w:rFonts w:hint="eastAsia" w:ascii="仿宋" w:eastAsia="仿宋" w:cs="仿宋"/>
          <w:sz w:val="28"/>
          <w:szCs w:val="21"/>
          <w:lang w:bidi="ar-SA"/>
        </w:rPr>
        <w:t>附件1 基本资格条件</w:t>
      </w:r>
      <w:bookmarkEnd w:id="5"/>
      <w:bookmarkEnd w:id="6"/>
    </w:p>
    <w:p>
      <w:pPr>
        <w:pStyle w:val="7"/>
        <w:tabs>
          <w:tab w:val="left" w:pos="5580"/>
        </w:tabs>
        <w:spacing w:before="120" w:line="360" w:lineRule="auto"/>
        <w:rPr>
          <w:rFonts w:hint="eastAsia" w:ascii="仿宋" w:eastAsia="仿宋" w:cs="仿宋"/>
          <w:b/>
          <w:bCs/>
          <w:sz w:val="24"/>
          <w:szCs w:val="22"/>
          <w:lang w:bidi="ar-SA"/>
        </w:rPr>
      </w:pPr>
      <w:r>
        <w:rPr>
          <w:rFonts w:hint="eastAsia" w:ascii="仿宋" w:eastAsia="仿宋" w:cs="仿宋"/>
          <w:b/>
          <w:bCs/>
          <w:sz w:val="24"/>
          <w:szCs w:val="21"/>
          <w:lang w:bidi="ar-SA"/>
        </w:rPr>
        <w:t>附件1-1供应商为合法注册的法人、其他组织或自然人，具有独立承担民事责任的能力，提供具有统一社会信用代码证的营业执照（或事业单位法人证），供应商为自然人的提供身份证；</w:t>
      </w:r>
    </w:p>
    <w:p>
      <w:pPr>
        <w:rPr>
          <w:rFonts w:hint="eastAsia" w:ascii="仿宋" w:eastAsia="仿宋" w:cs="仿宋"/>
          <w:b/>
          <w:bCs/>
          <w:szCs w:val="22"/>
          <w:lang w:bidi="ar-SA"/>
        </w:rPr>
      </w:pPr>
    </w:p>
    <w:p>
      <w:pPr>
        <w:rPr>
          <w:rFonts w:hint="eastAsia" w:ascii="仿宋" w:eastAsia="仿宋" w:cs="仿宋"/>
          <w:b/>
          <w:bCs/>
          <w:szCs w:val="22"/>
          <w:lang w:bidi="ar-SA"/>
        </w:rPr>
      </w:pPr>
      <w:r>
        <w:rPr>
          <w:rFonts w:hint="eastAsia" w:ascii="仿宋" w:eastAsia="仿宋" w:cs="仿宋"/>
          <w:b/>
          <w:bCs/>
          <w:szCs w:val="22"/>
          <w:lang w:bidi="ar-SA"/>
        </w:rPr>
        <w:br w:type="page"/>
      </w: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附件1-</w:t>
      </w:r>
      <w:r>
        <w:rPr>
          <w:rFonts w:hint="eastAsia" w:ascii="仿宋" w:eastAsia="仿宋" w:cs="仿宋"/>
          <w:b/>
          <w:bCs/>
          <w:szCs w:val="22"/>
          <w:lang w:val="en-US" w:eastAsia="zh-CN" w:bidi="ar-SA"/>
        </w:rPr>
        <w:t>2</w:t>
      </w:r>
      <w:r>
        <w:rPr>
          <w:rFonts w:hint="eastAsia" w:ascii="仿宋" w:eastAsia="仿宋" w:cs="仿宋"/>
          <w:b/>
          <w:bCs/>
          <w:szCs w:val="22"/>
          <w:lang w:bidi="ar-SA"/>
        </w:rPr>
        <w:t>财务状况</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202</w:t>
      </w:r>
      <w:r>
        <w:rPr>
          <w:rFonts w:hint="eastAsia" w:ascii="仿宋" w:eastAsia="仿宋" w:cs="仿宋"/>
          <w:bCs/>
          <w:sz w:val="24"/>
          <w:lang w:val="en-US" w:eastAsia="zh-CN" w:bidi="ar-SA"/>
        </w:rPr>
        <w:t>3</w:t>
      </w:r>
      <w:r>
        <w:rPr>
          <w:rFonts w:hint="eastAsia" w:ascii="仿宋" w:eastAsia="仿宋" w:cs="仿宋"/>
          <w:bCs/>
          <w:sz w:val="24"/>
          <w:lang w:bidi="ar-SA"/>
        </w:rPr>
        <w:t>年度经审计的</w:t>
      </w:r>
      <w:r>
        <w:rPr>
          <w:rFonts w:hint="eastAsia" w:ascii="仿宋" w:eastAsia="仿宋" w:cs="仿宋"/>
          <w:bCs/>
          <w:sz w:val="24"/>
          <w:u w:val="single"/>
          <w:lang w:bidi="ar-SA"/>
        </w:rPr>
        <w:t>财务报告</w:t>
      </w:r>
      <w:r>
        <w:rPr>
          <w:rFonts w:hint="eastAsia" w:ascii="仿宋" w:eastAsia="仿宋" w:cs="仿宋"/>
          <w:b/>
          <w:sz w:val="24"/>
          <w:lang w:bidi="ar-SA"/>
        </w:rPr>
        <w:t>或</w:t>
      </w:r>
      <w:r>
        <w:rPr>
          <w:rFonts w:hint="eastAsia" w:ascii="仿宋" w:eastAsia="仿宋" w:cs="仿宋"/>
          <w:bCs/>
          <w:sz w:val="24"/>
          <w:lang w:bidi="ar-SA"/>
        </w:rPr>
        <w:t>在</w:t>
      </w:r>
      <w:r>
        <w:rPr>
          <w:rFonts w:hint="eastAsia" w:ascii="仿宋" w:eastAsia="仿宋" w:cs="仿宋"/>
          <w:sz w:val="24"/>
          <w:szCs w:val="22"/>
          <w:lang w:val="en-US" w:eastAsia="zh-CN" w:bidi="ar-SA"/>
        </w:rPr>
        <w:t>谈判</w:t>
      </w:r>
      <w:r>
        <w:rPr>
          <w:rFonts w:hint="eastAsia" w:ascii="仿宋" w:eastAsia="仿宋" w:cs="仿宋"/>
          <w:bCs/>
          <w:sz w:val="24"/>
          <w:lang w:bidi="ar-SA"/>
        </w:rPr>
        <w:t>日期前12个月内银行出具的</w:t>
      </w:r>
      <w:r>
        <w:rPr>
          <w:rFonts w:hint="eastAsia" w:ascii="仿宋" w:eastAsia="仿宋" w:cs="仿宋"/>
          <w:bCs/>
          <w:sz w:val="24"/>
          <w:u w:val="single"/>
          <w:lang w:bidi="ar-SA"/>
        </w:rPr>
        <w:t>资信证明</w:t>
      </w:r>
      <w:r>
        <w:rPr>
          <w:rFonts w:hint="eastAsia" w:ascii="仿宋" w:eastAsia="仿宋" w:cs="仿宋"/>
          <w:bCs/>
          <w:sz w:val="24"/>
          <w:lang w:bidi="ar-SA"/>
        </w:rPr>
        <w:t>；</w:t>
      </w: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3</w:t>
      </w:r>
      <w:r>
        <w:rPr>
          <w:rFonts w:hint="eastAsia" w:ascii="仿宋" w:eastAsia="仿宋" w:cs="仿宋"/>
          <w:b/>
          <w:bCs/>
          <w:szCs w:val="22"/>
          <w:lang w:bidi="ar-SA"/>
        </w:rPr>
        <w:t>履行合同相关能力的承诺</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提供具有履行本合同所必需专业技术能力的</w:t>
      </w:r>
      <w:r>
        <w:rPr>
          <w:rFonts w:hint="eastAsia" w:ascii="仿宋" w:eastAsia="仿宋" w:cs="仿宋"/>
          <w:bCs/>
          <w:sz w:val="24"/>
          <w:u w:val="single"/>
          <w:lang w:bidi="ar-SA"/>
        </w:rPr>
        <w:t>说明及承诺</w:t>
      </w:r>
      <w:r>
        <w:rPr>
          <w:rFonts w:hint="eastAsia" w:ascii="仿宋" w:eastAsia="仿宋" w:cs="仿宋"/>
          <w:bCs/>
          <w:sz w:val="24"/>
          <w:lang w:bidi="ar-SA"/>
        </w:rPr>
        <w:t>；（参考格式）</w:t>
      </w:r>
    </w:p>
    <w:p>
      <w:pPr>
        <w:spacing w:line="360" w:lineRule="auto"/>
        <w:rPr>
          <w:rFonts w:hint="eastAsia" w:ascii="仿宋" w:eastAsia="仿宋" w:cs="仿宋"/>
          <w:spacing w:val="4"/>
          <w:sz w:val="24"/>
          <w:lang w:bidi="ar-SA"/>
        </w:rPr>
      </w:pPr>
    </w:p>
    <w:p>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spacing w:line="360" w:lineRule="auto"/>
        <w:jc w:val="center"/>
        <w:rPr>
          <w:rFonts w:hint="eastAsia" w:ascii="仿宋" w:eastAsia="仿宋" w:cs="仿宋"/>
          <w:sz w:val="24"/>
          <w:u w:val="single"/>
          <w:lang w:bidi="ar-SA"/>
        </w:rPr>
      </w:pP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4</w:t>
      </w:r>
      <w:r>
        <w:rPr>
          <w:rFonts w:hint="eastAsia" w:ascii="仿宋" w:eastAsia="仿宋" w:cs="仿宋"/>
          <w:b/>
          <w:bCs/>
          <w:szCs w:val="22"/>
          <w:lang w:bidi="ar-SA"/>
        </w:rPr>
        <w:t>税收及社会保障</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企业法人依法</w:t>
      </w:r>
      <w:r>
        <w:rPr>
          <w:rFonts w:hint="eastAsia" w:ascii="仿宋" w:eastAsia="仿宋" w:cs="仿宋"/>
          <w:b/>
          <w:sz w:val="24"/>
          <w:lang w:bidi="ar-SA"/>
        </w:rPr>
        <w:t>缴纳税收</w:t>
      </w:r>
      <w:r>
        <w:rPr>
          <w:rFonts w:hint="eastAsia" w:ascii="仿宋" w:eastAsia="仿宋" w:cs="仿宋"/>
          <w:bCs/>
          <w:sz w:val="24"/>
          <w:lang w:bidi="ar-SA"/>
        </w:rPr>
        <w:t>和</w:t>
      </w:r>
      <w:r>
        <w:rPr>
          <w:rFonts w:hint="eastAsia" w:ascii="仿宋" w:eastAsia="仿宋" w:cs="仿宋"/>
          <w:b/>
          <w:sz w:val="24"/>
          <w:lang w:bidi="ar-SA"/>
        </w:rPr>
        <w:t>社会保障资金</w:t>
      </w:r>
      <w:r>
        <w:rPr>
          <w:rFonts w:hint="eastAsia" w:ascii="仿宋" w:eastAsia="仿宋" w:cs="仿宋"/>
          <w:bCs/>
          <w:sz w:val="24"/>
          <w:lang w:bidi="ar-SA"/>
        </w:rPr>
        <w:t>的良好记录（截止</w:t>
      </w:r>
      <w:r>
        <w:rPr>
          <w:rFonts w:hint="eastAsia" w:ascii="仿宋" w:eastAsia="仿宋" w:cs="仿宋"/>
          <w:sz w:val="24"/>
          <w:szCs w:val="22"/>
          <w:lang w:val="en-US" w:eastAsia="zh-CN" w:bidi="ar-SA"/>
        </w:rPr>
        <w:t>谈判</w:t>
      </w:r>
      <w:r>
        <w:rPr>
          <w:rFonts w:hint="eastAsia" w:ascii="仿宋" w:eastAsia="仿宋" w:cs="仿宋"/>
          <w:bCs/>
          <w:sz w:val="24"/>
          <w:lang w:bidi="ar-SA"/>
        </w:rPr>
        <w:t>日期前十二个月内任意1个月的</w:t>
      </w:r>
      <w:r>
        <w:rPr>
          <w:rFonts w:hint="eastAsia" w:ascii="仿宋" w:eastAsia="仿宋" w:cs="仿宋"/>
          <w:bCs/>
          <w:sz w:val="24"/>
          <w:u w:val="single"/>
          <w:lang w:bidi="ar-SA"/>
        </w:rPr>
        <w:t>缴费凭据</w:t>
      </w:r>
      <w:r>
        <w:rPr>
          <w:rFonts w:hint="eastAsia" w:ascii="仿宋" w:eastAsia="仿宋" w:cs="仿宋"/>
          <w:b/>
          <w:sz w:val="24"/>
          <w:lang w:bidi="ar-SA"/>
        </w:rPr>
        <w:t>或</w:t>
      </w:r>
      <w:r>
        <w:rPr>
          <w:rFonts w:hint="eastAsia" w:ascii="仿宋" w:eastAsia="仿宋" w:cs="仿宋"/>
          <w:bCs/>
          <w:sz w:val="24"/>
          <w:lang w:bidi="ar-SA"/>
        </w:rPr>
        <w:t>提供税务部门和社保部门出具的</w:t>
      </w:r>
      <w:r>
        <w:rPr>
          <w:rFonts w:hint="eastAsia" w:ascii="仿宋" w:eastAsia="仿宋" w:cs="仿宋"/>
          <w:bCs/>
          <w:sz w:val="24"/>
          <w:u w:val="single"/>
          <w:lang w:bidi="ar-SA"/>
        </w:rPr>
        <w:t>纳税证明和社保证明</w:t>
      </w:r>
      <w:r>
        <w:rPr>
          <w:rFonts w:hint="eastAsia" w:ascii="仿宋" w:eastAsia="仿宋" w:cs="仿宋"/>
          <w:bCs/>
          <w:sz w:val="24"/>
          <w:lang w:bidi="ar-SA"/>
        </w:rPr>
        <w:t>）。依法免税的供应商提供相应文件证明其依法免税，依法不需要缴纳社会保障资金的供应商提供相应证明文件证明依法不需要缴纳社会保障资金；</w:t>
      </w:r>
    </w:p>
    <w:p>
      <w:pPr>
        <w:pStyle w:val="7"/>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5</w:t>
      </w:r>
      <w:r>
        <w:rPr>
          <w:rFonts w:hint="eastAsia" w:ascii="仿宋" w:eastAsia="仿宋" w:cs="仿宋"/>
          <w:b/>
          <w:bCs/>
          <w:szCs w:val="22"/>
          <w:lang w:bidi="ar-SA"/>
        </w:rPr>
        <w:t>声明函</w:t>
      </w:r>
    </w:p>
    <w:p>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eastAsia="zh-CN" w:bidi="ar-SA"/>
        </w:rPr>
        <w:t>采购项目</w:t>
      </w:r>
      <w:r>
        <w:rPr>
          <w:rFonts w:hint="eastAsia" w:ascii="仿宋" w:eastAsia="仿宋" w:cs="仿宋"/>
          <w:kern w:val="0"/>
          <w:sz w:val="24"/>
          <w:lang w:bidi="ar-SA"/>
        </w:rPr>
        <w:t>（项目编号：</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bidi="ar-SA"/>
        </w:rPr>
        <w:t>）的供应商，在此郑重声明：</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pStyle w:val="10"/>
        <w:spacing w:before="156" w:beforeLines="50" w:beforeAutospacing="0" w:after="312" w:afterLines="100" w:afterAutospacing="0" w:line="360" w:lineRule="auto"/>
        <w:jc w:val="right"/>
        <w:rPr>
          <w:rFonts w:hint="eastAsia" w:ascii="仿宋" w:eastAsia="仿宋" w:cs="仿宋"/>
          <w:lang w:bidi="ar-SA"/>
        </w:rPr>
      </w:pPr>
    </w:p>
    <w:p>
      <w:pPr>
        <w:spacing w:line="360" w:lineRule="auto"/>
        <w:jc w:val="center"/>
        <w:rPr>
          <w:rFonts w:hint="eastAsia" w:ascii="仿宋" w:hAnsi="仿宋" w:eastAsia="仿宋" w:cs="仿宋"/>
          <w:b/>
          <w:sz w:val="24"/>
          <w:szCs w:val="24"/>
        </w:rPr>
      </w:pPr>
      <w:r>
        <w:rPr>
          <w:rFonts w:hint="eastAsia" w:ascii="仿宋" w:eastAsia="仿宋" w:cs="仿宋"/>
          <w:szCs w:val="22"/>
          <w:lang w:bidi="ar-SA"/>
        </w:rPr>
        <w:br w:type="page"/>
      </w:r>
      <w:bookmarkStart w:id="7" w:name="_Toc8608"/>
      <w:r>
        <w:rPr>
          <w:rFonts w:hint="eastAsia" w:ascii="仿宋" w:hAnsi="仿宋" w:eastAsia="仿宋" w:cs="仿宋"/>
          <w:b/>
          <w:sz w:val="24"/>
          <w:szCs w:val="24"/>
          <w:lang w:val="en-US" w:eastAsia="zh-CN"/>
        </w:rPr>
        <w:t xml:space="preserve">1-6 </w:t>
      </w:r>
      <w:r>
        <w:rPr>
          <w:rFonts w:hint="eastAsia" w:ascii="仿宋" w:hAnsi="仿宋" w:eastAsia="仿宋" w:cs="仿宋"/>
          <w:b/>
          <w:sz w:val="24"/>
          <w:szCs w:val="24"/>
        </w:rPr>
        <w:t>法定代表人身份证明书</w:t>
      </w:r>
    </w:p>
    <w:p>
      <w:pPr>
        <w:spacing w:line="480" w:lineRule="auto"/>
        <w:ind w:firstLine="480" w:firstLineChars="20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pPr>
        <w:spacing w:line="360" w:lineRule="auto"/>
        <w:ind w:firstLine="360" w:firstLineChars="150"/>
        <w:rPr>
          <w:rFonts w:hint="eastAsia" w:ascii="仿宋" w:hAnsi="仿宋" w:eastAsia="仿宋" w:cs="仿宋"/>
          <w:sz w:val="24"/>
          <w:szCs w:val="24"/>
        </w:rPr>
      </w:pPr>
    </w:p>
    <w:p>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pPr>
        <w:spacing w:line="360" w:lineRule="auto"/>
        <w:rPr>
          <w:rFonts w:hint="eastAsia" w:ascii="仿宋" w:hAnsi="仿宋" w:eastAsia="仿宋" w:cs="仿宋"/>
          <w:sz w:val="24"/>
          <w:szCs w:val="24"/>
          <w:u w:val="thick"/>
        </w:rPr>
      </w:pPr>
    </w:p>
    <w:p>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rPr>
          <w:rFonts w:hint="eastAsia" w:ascii="仿宋" w:eastAsia="仿宋" w:cs="仿宋"/>
          <w:b/>
          <w:bCs/>
          <w:color w:val="auto"/>
          <w:sz w:val="28"/>
          <w:szCs w:val="22"/>
        </w:rPr>
      </w:pPr>
      <w:r>
        <w:rPr>
          <w:rFonts w:hint="eastAsia" w:ascii="仿宋" w:eastAsia="仿宋" w:cs="仿宋"/>
          <w:b/>
          <w:bCs/>
          <w:color w:val="auto"/>
          <w:sz w:val="28"/>
          <w:szCs w:val="22"/>
        </w:rPr>
        <w:br w:type="page"/>
      </w:r>
    </w:p>
    <w:p>
      <w:pPr>
        <w:pStyle w:val="7"/>
        <w:tabs>
          <w:tab w:val="left" w:pos="5580"/>
        </w:tabs>
        <w:spacing w:before="120" w:line="360" w:lineRule="auto"/>
        <w:jc w:val="center"/>
        <w:outlineLvl w:val="2"/>
        <w:rPr>
          <w:rFonts w:hint="eastAsia" w:ascii="仿宋" w:eastAsia="仿宋" w:cs="仿宋"/>
          <w:b/>
          <w:bCs/>
          <w:color w:val="auto"/>
          <w:sz w:val="24"/>
          <w:szCs w:val="24"/>
        </w:rPr>
      </w:pPr>
      <w:r>
        <w:rPr>
          <w:rFonts w:hint="eastAsia" w:ascii="仿宋" w:eastAsia="仿宋" w:cs="仿宋"/>
          <w:b/>
          <w:bCs/>
          <w:color w:val="auto"/>
          <w:sz w:val="24"/>
          <w:szCs w:val="24"/>
        </w:rPr>
        <w:t>法定代表人授权委托书</w:t>
      </w:r>
    </w:p>
    <w:p>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 （项目编号）</w:t>
      </w:r>
      <w:r>
        <w:rPr>
          <w:rFonts w:hint="eastAsia" w:ascii="仿宋" w:eastAsia="仿宋" w:cs="仿宋"/>
          <w:color w:val="auto"/>
          <w:sz w:val="24"/>
        </w:rPr>
        <w:t>的</w:t>
      </w:r>
      <w:r>
        <w:rPr>
          <w:rFonts w:hint="eastAsia" w:ascii="仿宋" w:eastAsia="仿宋" w:cs="仿宋"/>
          <w:color w:val="auto"/>
          <w:sz w:val="24"/>
          <w:lang w:val="en-US" w:eastAsia="zh-CN"/>
        </w:rPr>
        <w:t>谈判</w:t>
      </w:r>
      <w:r>
        <w:rPr>
          <w:rFonts w:hint="eastAsia" w:ascii="仿宋" w:eastAsia="仿宋" w:cs="仿宋"/>
          <w:color w:val="auto"/>
          <w:sz w:val="24"/>
        </w:rPr>
        <w:t>活动。代理人在本次</w:t>
      </w:r>
      <w:r>
        <w:rPr>
          <w:rFonts w:hint="eastAsia" w:ascii="仿宋" w:eastAsia="仿宋" w:cs="仿宋"/>
          <w:color w:val="auto"/>
          <w:sz w:val="24"/>
          <w:lang w:val="en-US" w:eastAsia="zh-CN"/>
        </w:rPr>
        <w:t>谈判</w:t>
      </w:r>
      <w:r>
        <w:rPr>
          <w:rFonts w:hint="eastAsia" w:ascii="仿宋" w:eastAsia="仿宋" w:cs="仿宋"/>
          <w:color w:val="auto"/>
          <w:sz w:val="24"/>
        </w:rPr>
        <w:t>中所签署的一切文件和处理的一切有关事物，我公司均予承认。</w:t>
      </w:r>
    </w:p>
    <w:p>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val="en-US" w:eastAsia="zh-CN"/>
        </w:rPr>
        <w:t>谈判</w:t>
      </w:r>
      <w:bookmarkStart w:id="8" w:name="_GoBack"/>
      <w:bookmarkEnd w:id="8"/>
      <w:r>
        <w:rPr>
          <w:rFonts w:hint="eastAsia" w:ascii="仿宋" w:eastAsia="仿宋" w:cs="仿宋"/>
          <w:color w:val="auto"/>
          <w:sz w:val="24"/>
        </w:rPr>
        <w:t>截止之日起90日历天；特此声明。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c>
          <w:tcPr>
            <w:tcW w:w="4502"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r>
    </w:tbl>
    <w:p>
      <w:pPr>
        <w:spacing w:line="360" w:lineRule="auto"/>
        <w:rPr>
          <w:rFonts w:hint="eastAsia" w:ascii="仿宋" w:eastAsia="仿宋" w:cs="仿宋"/>
          <w:color w:val="auto"/>
          <w:sz w:val="24"/>
        </w:rPr>
      </w:pPr>
    </w:p>
    <w:p>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pPr>
        <w:spacing w:line="360" w:lineRule="auto"/>
        <w:jc w:val="right"/>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p>
      <w:pPr>
        <w:rPr>
          <w:rFonts w:hint="eastAsia" w:ascii="仿宋" w:hAnsi="仿宋" w:eastAsia="仿宋" w:cs="仿宋"/>
          <w:b/>
          <w:bCs/>
          <w:sz w:val="24"/>
          <w:highlight w:val="none"/>
        </w:rPr>
      </w:pPr>
    </w:p>
    <w:p>
      <w:pPr>
        <w:rPr>
          <w:rFonts w:hint="eastAsia" w:ascii="仿宋" w:eastAsia="仿宋" w:cs="仿宋"/>
          <w:szCs w:val="22"/>
          <w:lang w:bidi="ar-SA"/>
        </w:rPr>
      </w:pPr>
      <w:r>
        <w:rPr>
          <w:rFonts w:hint="eastAsia" w:ascii="仿宋" w:eastAsia="仿宋" w:cs="仿宋"/>
          <w:szCs w:val="22"/>
          <w:lang w:bidi="ar-SA"/>
        </w:rPr>
        <w:br w:type="page"/>
      </w:r>
    </w:p>
    <w:p>
      <w:pPr>
        <w:pStyle w:val="4"/>
        <w:numPr>
          <w:ilvl w:val="0"/>
          <w:numId w:val="0"/>
        </w:numPr>
        <w:ind w:left="0" w:firstLine="0"/>
        <w:rPr>
          <w:rFonts w:hint="eastAsia" w:ascii="仿宋" w:hAnsi="宋体" w:eastAsia="仿宋" w:cs="仿宋"/>
          <w:b/>
          <w:bCs/>
          <w:kern w:val="2"/>
          <w:sz w:val="28"/>
          <w:szCs w:val="22"/>
          <w:lang w:val="en-US" w:eastAsia="zh-CN" w:bidi="ar-SA"/>
        </w:rPr>
      </w:pPr>
      <w:r>
        <w:rPr>
          <w:rFonts w:hint="eastAsia" w:ascii="仿宋" w:hAnsi="宋体" w:eastAsia="仿宋" w:cs="仿宋"/>
          <w:b/>
          <w:bCs/>
          <w:kern w:val="2"/>
          <w:sz w:val="28"/>
          <w:szCs w:val="22"/>
          <w:lang w:val="en-US" w:eastAsia="zh-CN" w:bidi="ar-SA"/>
        </w:rPr>
        <w:t>附件2 其他资格证明材料</w:t>
      </w:r>
      <w:bookmarkEnd w:id="7"/>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产品授权书或声明函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（1）供应商为代理商的，</w:t>
      </w:r>
      <w:r>
        <w:rPr>
          <w:rFonts w:hint="eastAsia" w:ascii="仿宋" w:hAnsi="仿宋" w:eastAsia="仿宋" w:cs="仿宋"/>
          <w:sz w:val="24"/>
          <w:szCs w:val="24"/>
        </w:rPr>
        <w:t>须提供产品厂家授权书或总代理商授权书。（如提供总代理商授权的须同时提供总代理商具有有效授权权限的相关证明文件，证明文件需能显示产品制造厂家对所响应产品授权链条的完整性）</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供应商为制造商的需提供声明函。</w:t>
      </w:r>
    </w:p>
    <w:p>
      <w:pPr>
        <w:rPr>
          <w:rFonts w:hint="eastAsia" w:ascii="仿宋" w:hAnsi="仿宋" w:eastAsia="仿宋" w:cs="仿宋"/>
          <w:b/>
          <w:bCs/>
          <w:sz w:val="24"/>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iYzM0ZWJiMWQ0ZjA5ZGEwODM1YzE1MGZkNDNhNDYifQ=="/>
  </w:docVars>
  <w:rsids>
    <w:rsidRoot w:val="00000000"/>
    <w:rsid w:val="043D3362"/>
    <w:rsid w:val="0A957236"/>
    <w:rsid w:val="0DDF0D4D"/>
    <w:rsid w:val="20CB4A75"/>
    <w:rsid w:val="26755FD3"/>
    <w:rsid w:val="277C0C52"/>
    <w:rsid w:val="2C503F6F"/>
    <w:rsid w:val="2ED21E11"/>
    <w:rsid w:val="32041BC3"/>
    <w:rsid w:val="32E04647"/>
    <w:rsid w:val="379A16BD"/>
    <w:rsid w:val="42244D4D"/>
    <w:rsid w:val="462C7307"/>
    <w:rsid w:val="4D6C52FB"/>
    <w:rsid w:val="4FCE5F50"/>
    <w:rsid w:val="53C55840"/>
    <w:rsid w:val="5D6E5F69"/>
    <w:rsid w:val="636E16E6"/>
    <w:rsid w:val="681C0F05"/>
    <w:rsid w:val="6A260A0B"/>
    <w:rsid w:val="6DD469CF"/>
    <w:rsid w:val="714E1E02"/>
    <w:rsid w:val="79B0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5">
    <w:name w:val="Body Text"/>
    <w:basedOn w:val="1"/>
    <w:next w:val="1"/>
    <w:autoRedefine/>
    <w:qFormat/>
    <w:uiPriority w:val="6"/>
    <w:rPr>
      <w:b/>
      <w:kern w:val="1"/>
      <w:sz w:val="28"/>
    </w:rPr>
  </w:style>
  <w:style w:type="paragraph" w:styleId="6">
    <w:name w:val="Body Text Indent"/>
    <w:basedOn w:val="1"/>
    <w:autoRedefine/>
    <w:qFormat/>
    <w:uiPriority w:val="6"/>
    <w:pPr>
      <w:ind w:left="1083" w:hanging="1020"/>
    </w:pPr>
    <w:rPr>
      <w:rFonts w:ascii="宋体" w:hAnsi="宋体" w:cs="宋体"/>
      <w:kern w:val="1"/>
      <w:sz w:val="24"/>
    </w:rPr>
  </w:style>
  <w:style w:type="paragraph" w:styleId="7">
    <w:name w:val="Plain Text"/>
    <w:basedOn w:val="1"/>
    <w:autoRedefine/>
    <w:qFormat/>
    <w:uiPriority w:val="6"/>
    <w:rPr>
      <w:rFonts w:ascii="宋体" w:hAnsi="宋体" w:cs="Courier New"/>
      <w:kern w:val="1"/>
      <w:sz w:val="24"/>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1683</Words>
  <Characters>1704</Characters>
  <Lines>0</Lines>
  <Paragraphs>0</Paragraphs>
  <TotalTime>1</TotalTime>
  <ScaleCrop>false</ScaleCrop>
  <LinksUpToDate>false</LinksUpToDate>
  <CharactersWithSpaces>2188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2024-07-05T06:15:49Z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