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版本号：240705001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医保报业宣传项目</w:t>
      </w:r>
    </w:p>
    <w:p>
      <w:pPr>
        <w:pStyle w:val="null3"/>
        <w:jc w:val="center"/>
        <w:outlineLvl w:val="5"/>
      </w:pPr>
      <w:r>
        <w:rPr>
          <w:sz w:val="15"/>
          <w:b/>
        </w:rPr>
        <w:t xml:space="preserve">采购项目编号: </w:t>
      </w:r>
      <w:r>
        <w:rPr>
          <w:sz w:val="15"/>
          <w:b/>
        </w:rPr>
        <w:t>SZT2024-SN-XC-ZC-FW-0596</w:t>
      </w:r>
      <w:r>
        <w:br/>
      </w:r>
      <w:r>
        <w:br/>
      </w:r>
      <w:r>
        <w:br/>
      </w:r>
    </w:p>
    <w:p>
      <w:pPr>
        <w:pStyle w:val="null3"/>
        <w:jc w:val="center"/>
        <w:outlineLvl w:val="5"/>
      </w:pPr>
      <w:r>
        <w:rPr>
          <w:sz w:val="15"/>
          <w:b/>
        </w:rPr>
        <w:t>西安市医疗保障局</w:t>
      </w:r>
    </w:p>
    <w:p>
      <w:pPr>
        <w:pStyle w:val="null3"/>
        <w:jc w:val="center"/>
        <w:outlineLvl w:val="5"/>
      </w:pPr>
      <w:r>
        <w:rPr>
          <w:sz w:val="15"/>
          <w:b/>
        </w:rPr>
        <w:t>陕西中技招标有限公司</w:t>
      </w:r>
      <w:r>
        <w:rPr>
          <w:sz w:val="15"/>
          <w:b/>
        </w:rPr>
        <w:t>共同编制</w:t>
      </w:r>
    </w:p>
    <w:p>
      <w:pPr>
        <w:pStyle w:val="null3"/>
        <w:jc w:val="center"/>
        <w:outlineLvl w:val="5"/>
      </w:pPr>
      <w:r>
        <w:rPr>
          <w:sz w:val="15"/>
          <w:b/>
        </w:rPr>
        <w:t>2024年07月05日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陕西中技招标有限公司</w:t>
      </w:r>
      <w:r>
        <w:rPr/>
        <w:t>（以下简称“代理机构”）受</w:t>
      </w:r>
      <w:r>
        <w:rPr/>
        <w:t>西安市医疗保障局</w:t>
      </w:r>
      <w:r>
        <w:rPr/>
        <w:t>委托，拟对</w:t>
      </w:r>
      <w:r>
        <w:rPr/>
        <w:t>医保报业宣传项目</w:t>
      </w:r>
      <w:r>
        <w:rPr/>
        <w:t>采用单一来源方式进行采购，现邀请贵公司参加该项目的协商。</w:t>
      </w:r>
    </w:p>
    <w:p>
      <w:pPr>
        <w:pStyle w:val="null3"/>
        <w:outlineLvl w:val="2"/>
      </w:pPr>
      <w:r>
        <w:rPr>
          <w:sz w:val="28"/>
          <w:b/>
        </w:rPr>
        <w:t xml:space="preserve"> 一、采购项目编号：</w:t>
      </w:r>
      <w:r>
        <w:rPr>
          <w:sz w:val="28"/>
          <w:b/>
        </w:rPr>
        <w:t>SZT2024-SN-XC-ZC-FW-0596</w:t>
      </w:r>
    </w:p>
    <w:p>
      <w:pPr>
        <w:pStyle w:val="null3"/>
        <w:outlineLvl w:val="2"/>
      </w:pPr>
      <w:r>
        <w:rPr>
          <w:sz w:val="28"/>
          <w:b/>
        </w:rPr>
        <w:t xml:space="preserve"> 二、采购项目名称：</w:t>
      </w:r>
      <w:r>
        <w:rPr>
          <w:sz w:val="28"/>
          <w:b/>
        </w:rPr>
        <w:t>医保报业宣传项目</w:t>
      </w:r>
    </w:p>
    <w:p>
      <w:pPr>
        <w:pStyle w:val="null3"/>
        <w:outlineLvl w:val="2"/>
      </w:pPr>
      <w:r>
        <w:rPr>
          <w:sz w:val="28"/>
          <w:b/>
        </w:rPr>
        <w:t>三、协商项目简介：</w:t>
      </w:r>
    </w:p>
    <w:p>
      <w:pPr>
        <w:pStyle w:val="null3"/>
        <w:ind w:firstLine="480"/>
      </w:pPr>
      <w:r>
        <w:rPr/>
        <w:t>医保报业宣传</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2、不接受联合体投标：本项目不接受联合体投标，（投标主体为单一供应商，无需提供声明函）</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西安市医疗保障局</w:t>
      </w:r>
    </w:p>
    <w:p>
      <w:pPr>
        <w:pStyle w:val="null3"/>
      </w:pPr>
      <w:r>
        <w:rPr/>
        <w:t xml:space="preserve"> 地址： </w:t>
      </w:r>
      <w:r>
        <w:rPr/>
        <w:t>凤城八路109号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029-86787579</w:t>
      </w:r>
    </w:p>
    <w:p>
      <w:pPr>
        <w:pStyle w:val="null3"/>
        <w:outlineLvl w:val="2"/>
      </w:pPr>
      <w:r>
        <w:rPr>
          <w:sz w:val="28"/>
          <w:b/>
        </w:rPr>
        <w:t xml:space="preserve"> 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 xml:space="preserve"> 710000</w:t>
      </w:r>
    </w:p>
    <w:p>
      <w:pPr>
        <w:pStyle w:val="null3"/>
      </w:pPr>
      <w:r>
        <w:rPr/>
        <w:t xml:space="preserve"> 联系人： </w:t>
      </w:r>
      <w:r>
        <w:rPr/>
        <w:t xml:space="preserve"> 王馨、李文俊</w:t>
      </w:r>
    </w:p>
    <w:p>
      <w:pPr>
        <w:pStyle w:val="null3"/>
      </w:pPr>
      <w:r>
        <w:rPr/>
        <w:t xml:space="preserve"> 联系电话： </w:t>
      </w:r>
      <w:r>
        <w:rPr/>
        <w:t>029-88364979-807</w:t>
      </w:r>
    </w:p>
    <w:p>
      <w:pPr>
        <w:pStyle w:val="null3"/>
        <w:outlineLvl w:val="2"/>
      </w:pPr>
      <w:r>
        <w:rPr>
          <w:sz w:val="28"/>
          <w:b/>
        </w:rPr>
        <w:t xml:space="preserve"> 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采购包1：600,000.00元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采购包1：600,000.00元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见国家计委颁布的《招标代理服务费收费管理暂行办法》（计价格[2002]1980号）中服务的收费标准，按照成交金额差额定率累进法计算收取（不足人民币肆仟元按肆仟元计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西安市医疗保障局</w:t>
      </w:r>
      <w:r>
        <w:rPr/>
        <w:t>和</w:t>
      </w:r>
      <w:r>
        <w:rPr/>
        <w:t>陕西中技招标有限公司</w:t>
      </w:r>
      <w:r>
        <w:rPr/>
        <w:t>享有。对采购文件中供应商参加本次政府采购活动应当具备的条件、项目技术、服务、商务及其他要求，评审标准由采购人负责解释。除前述采购文件内容，其他内容由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西安市医疗保障局</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验收依据 ⑴本合同及附件文本所约定的验收标准； ⑵招标文件、投标文件、澄清表（函）； ⑶国家相应的标准、规范。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提升参保群众对医保政策知晓率</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医保政策宣传，提升参保群众对医保政策知晓率</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年</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标的名称：医保政策宣传，提升参保群众对医保政策知晓率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_gb2312" w:hAnsi="仿宋_gb2312" w:cs="仿宋_gb2312" w:eastAsia="仿宋_gb2312"/>
                <w:sz w:val="21"/>
              </w:rPr>
              <w:t>技术规格：</w:t>
            </w:r>
            <w:r>
              <w:rPr>
                <w:rFonts w:ascii="仿宋_gb2312" w:hAnsi="仿宋_gb2312" w:cs="仿宋_gb2312" w:eastAsia="仿宋_gb2312"/>
                <w:sz w:val="21"/>
                <w:color w:val="222222"/>
                <w:shd w:fill="FFFFFF" w:val="clear"/>
              </w:rPr>
              <w:t>合作单位需确保刊发平台运作正常，信息推送渠道畅通，并做到及时刊发及推送。具有相关媒体资质，能独立完成承诺服务内容及形式。</w:t>
            </w:r>
          </w:p>
          <w:p>
            <w:pPr>
              <w:pStyle w:val="null3"/>
              <w:jc w:val="both"/>
            </w:pPr>
            <w:r>
              <w:rPr>
                <w:rFonts w:ascii="仿宋_gb2312" w:hAnsi="仿宋_gb2312" w:cs="仿宋_gb2312" w:eastAsia="仿宋_gb2312"/>
                <w:sz w:val="21"/>
              </w:rPr>
              <w:t>服务：</w:t>
            </w:r>
            <w:r>
              <w:rPr>
                <w:rFonts w:ascii="仿宋_gb2312" w:hAnsi="仿宋_gb2312" w:cs="仿宋_gb2312" w:eastAsia="仿宋_gb2312"/>
                <w:sz w:val="21"/>
                <w:color w:val="222222"/>
                <w:shd w:fill="FFFFFF" w:val="clear"/>
              </w:rPr>
              <w:t>遇到突发情况，能及时沟通，协调处理，确保信息推送及时有效。围绕服务内容，提供相应的宣传推广方案及实施方案。</w:t>
            </w:r>
          </w:p>
          <w:p>
            <w:pPr>
              <w:pStyle w:val="null3"/>
              <w:jc w:val="both"/>
            </w:pPr>
            <w:r>
              <w:rPr>
                <w:rFonts w:ascii="仿宋_gb2312" w:hAnsi="仿宋_gb2312" w:cs="仿宋_gb2312" w:eastAsia="仿宋_gb2312"/>
                <w:sz w:val="21"/>
              </w:rPr>
              <w:t>验收要求：以完成采购服务内容为主，合作结束附上结案报告验收。</w:t>
            </w:r>
          </w:p>
        </w:tc>
      </w:tr>
    </w:tbl>
    <w:p>
      <w:pPr>
        <w:pStyle w:val="null3"/>
        <w:outlineLvl w:val="3"/>
      </w:pPr>
      <w:r>
        <w:rPr>
          <w:sz w:val="24"/>
          <w:b/>
        </w:rPr>
        <w:t>3.2.3人员配置要求</w:t>
      </w:r>
    </w:p>
    <w:p>
      <w:pPr>
        <w:pStyle w:val="null3"/>
      </w:pPr>
      <w:r>
        <w:rPr/>
        <w:t>采购包1：</w:t>
      </w:r>
    </w:p>
    <w:p>
      <w:pPr>
        <w:pStyle w:val="null3"/>
      </w:pPr>
      <w:r>
        <w:rPr/>
        <w:t>详见采购内容及要求。</w:t>
      </w:r>
    </w:p>
    <w:p>
      <w:pPr>
        <w:pStyle w:val="null3"/>
        <w:outlineLvl w:val="3"/>
      </w:pPr>
      <w:r>
        <w:rPr>
          <w:sz w:val="24"/>
          <w:b/>
        </w:rPr>
        <w:t>3.2.4设施设备要求</w:t>
      </w:r>
    </w:p>
    <w:p>
      <w:pPr>
        <w:pStyle w:val="null3"/>
      </w:pPr>
      <w:r>
        <w:rPr/>
        <w:t>采购包1：</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详见采购文件</w:t>
      </w:r>
    </w:p>
    <w:p>
      <w:pPr>
        <w:pStyle w:val="null3"/>
        <w:outlineLvl w:val="3"/>
      </w:pPr>
      <w:r>
        <w:rPr>
          <w:sz w:val="24"/>
          <w:b/>
        </w:rPr>
        <w:t>3.3.2服务地点</w:t>
      </w:r>
    </w:p>
    <w:p>
      <w:pPr>
        <w:pStyle w:val="null3"/>
      </w:pPr>
      <w:r>
        <w:rPr/>
        <w:t>采购包1：</w:t>
      </w:r>
    </w:p>
    <w:p>
      <w:pPr>
        <w:pStyle w:val="null3"/>
      </w:pPr>
      <w:r>
        <w:rPr/>
        <w:t>西安市医疗保障局</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合同签订后支付80%</w:t>
      </w:r>
      <w:r>
        <w:rPr/>
        <w:t xml:space="preserve"> ，达到付款条件起 </w:t>
      </w:r>
      <w:r>
        <w:rPr/>
        <w:t>30</w:t>
      </w:r>
      <w:r>
        <w:rPr/>
        <w:t xml:space="preserve"> 日内，支付合同总金额的 </w:t>
      </w:r>
      <w:r>
        <w:rPr/>
        <w:t>80.00</w:t>
      </w:r>
      <w:r>
        <w:rPr/>
        <w:t>%。</w:t>
      </w:r>
    </w:p>
    <w:p>
      <w:pPr>
        <w:pStyle w:val="null3"/>
      </w:pPr>
      <w:r>
        <w:rPr/>
        <w:t>采购包1：</w:t>
      </w:r>
      <w:r>
        <w:rPr/>
        <w:t xml:space="preserve"> 付款条件说明： </w:t>
      </w:r>
      <w:r>
        <w:rPr/>
        <w:t>验收合格后支付剩余20％</w:t>
      </w:r>
      <w:r>
        <w:rPr/>
        <w:t xml:space="preserve"> ，达到付款条件起 </w:t>
      </w:r>
      <w:r>
        <w:rPr/>
        <w:t>30</w:t>
      </w:r>
      <w:r>
        <w:rPr/>
        <w:t xml:space="preserve"> 日内，支付合同总金额的 </w:t>
      </w:r>
      <w:r>
        <w:rPr/>
        <w:t>20.00</w:t>
      </w:r>
      <w:r>
        <w:rPr/>
        <w:t>%。</w:t>
      </w:r>
    </w:p>
    <w:p>
      <w:pPr>
        <w:pStyle w:val="null3"/>
        <w:outlineLvl w:val="3"/>
      </w:pPr>
      <w:r>
        <w:rPr>
          <w:sz w:val="24"/>
          <w:b/>
        </w:rPr>
        <w:t>3.3.5.验收标准和方法</w:t>
      </w:r>
    </w:p>
    <w:p>
      <w:pPr>
        <w:pStyle w:val="null3"/>
      </w:pPr>
      <w:r>
        <w:rPr/>
        <w:t>采购包1：</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sz w:val="24"/>
          <w:b/>
        </w:rPr>
        <w:t>3.3.6违约责任及解决争议的方法</w:t>
      </w:r>
    </w:p>
    <w:p>
      <w:pPr>
        <w:pStyle w:val="null3"/>
      </w:pPr>
      <w:r>
        <w:rPr/>
        <w:t>采购包1：</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outlineLvl w:val="2"/>
      </w:pPr>
      <w:r>
        <w:rPr>
          <w:sz w:val="28"/>
          <w:b/>
        </w:rPr>
        <w:t>3.4其他要求</w:t>
      </w:r>
    </w:p>
    <w:p>
      <w:pPr>
        <w:pStyle w:val="null3"/>
      </w:pPr>
      <w:r>
        <w:rPr/>
        <w:t>采购包1：</w:t>
      </w:r>
    </w:p>
    <w:p>
      <w:pPr>
        <w:pStyle w:val="null3"/>
      </w:pPr>
      <w:r>
        <w:rPr/>
        <w:t>1、为顺利推进政府采购电子化交易平台试点应用工作，供应商需要在线提交所有通过电子化交易平台实施的政府采购项目的投标文件，同时，线下提交投标文件正本 壹 份、副本 壹套（投标文件双面打印）、电子版壹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资格响应表</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供应商按照谈判文件要求上传响应文件</w:t>
            </w:r>
          </w:p>
        </w:tc>
        <w:tc>
          <w:tcPr>
            <w:tcW w:type="dxa" w:w="1661"/>
          </w:tcPr>
          <w:p>
            <w:pPr>
              <w:pStyle w:val="null3"/>
            </w:pPr>
            <w:r>
              <w:rPr/>
              <w:t>响应文件封面 残疾人福利性单位声明函 中小企业声明函 标的清单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供应商响应报价明显低于其他通过符合性审查供应商的响应报价，有可能影响产品质量或者不能诚信履约的，评标委员会应当要求其在合理的时间内在项目电子化交易系统中上传说明材料，必要时提交相关证明材料。投标人提交的相关证明材料，应当加盖供应商（法定名称）电子印章，在评标委员会要求的时间内通过项目电子化交易系统进行提交，否则提交的相关证明材料无效。供应商不能证明其投标报价合理性的，评标委员会应当将其响应文件作为无效处理。</w:t>
            </w:r>
          </w:p>
        </w:tc>
        <w:tc>
          <w:tcPr>
            <w:tcW w:type="dxa" w:w="1661"/>
          </w:tcPr>
          <w:p>
            <w:pPr>
              <w:pStyle w:val="null3"/>
            </w:pPr>
            <w:r>
              <w:rPr/>
              <w:t>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投标人按照谈判文件要求上传投标文件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合同签订后支付80%， 验收合格后支付剩余20％ 。</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一年</w:t>
            </w:r>
          </w:p>
        </w:tc>
        <w:tc>
          <w:tcPr>
            <w:tcW w:type="dxa" w:w="1661"/>
          </w:tcPr>
          <w:p>
            <w:pPr>
              <w:pStyle w:val="null3"/>
            </w:pPr>
            <w:r>
              <w:rPr/>
              <w:t>商务偏离表 报价表及分项报价表</w:t>
            </w:r>
          </w:p>
        </w:tc>
      </w:tr>
      <w:tr>
        <w:tc>
          <w:tcPr>
            <w:tcW w:type="dxa" w:w="831"/>
          </w:tcPr>
          <w:p>
            <w:pPr>
              <w:pStyle w:val="null3"/>
            </w:pPr>
            <w:r>
              <w:rPr/>
              <w:t>6</w:t>
            </w:r>
          </w:p>
        </w:tc>
        <w:tc>
          <w:tcPr>
            <w:tcW w:type="dxa" w:w="2492"/>
          </w:tcPr>
          <w:p>
            <w:pPr>
              <w:pStyle w:val="null3"/>
            </w:pPr>
            <w:r>
              <w:rPr/>
              <w:t>投标文件有效期</w:t>
            </w:r>
          </w:p>
        </w:tc>
        <w:tc>
          <w:tcPr>
            <w:tcW w:type="dxa" w:w="3322"/>
          </w:tcPr>
          <w:p>
            <w:pPr>
              <w:pStyle w:val="null3"/>
            </w:pPr>
            <w:r>
              <w:rPr/>
              <w:t>90日历天</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技术响应性审查1</w:t>
            </w:r>
          </w:p>
        </w:tc>
        <w:tc>
          <w:tcPr>
            <w:tcW w:type="dxa" w:w="3322"/>
          </w:tcPr>
          <w:p>
            <w:pPr>
              <w:pStyle w:val="null3"/>
            </w:pPr>
            <w:r>
              <w:rPr/>
              <w:t>响应内容满足谈判文件要求，无重大偏离；服务内容明确，满足采购人使用需求</w:t>
            </w:r>
          </w:p>
        </w:tc>
        <w:tc>
          <w:tcPr>
            <w:tcW w:type="dxa" w:w="1661"/>
          </w:tcPr>
          <w:p>
            <w:pPr>
              <w:pStyle w:val="null3"/>
            </w:pPr>
            <w:r>
              <w:rPr/>
              <w:t>技术实施方案及承诺 规格、技术参数偏离表</w:t>
            </w:r>
          </w:p>
        </w:tc>
      </w:tr>
      <w:tr>
        <w:tc>
          <w:tcPr>
            <w:tcW w:type="dxa" w:w="831"/>
          </w:tcPr>
          <w:p>
            <w:pPr>
              <w:pStyle w:val="null3"/>
            </w:pPr>
            <w:r>
              <w:rPr/>
              <w:t>8</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规格、技术参数偏离表</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详见附件：报价表及分项报价表</w:t>
      </w:r>
    </w:p>
    <w:p>
      <w:pPr>
        <w:pStyle w:val="null3"/>
        <w:ind w:firstLine="960"/>
      </w:pPr>
      <w:r>
        <w:rPr/>
        <w:t>详见附件：规格、技术参数偏离表</w:t>
      </w:r>
    </w:p>
    <w:p>
      <w:pPr>
        <w:pStyle w:val="null3"/>
        <w:ind w:firstLine="960"/>
      </w:pPr>
      <w:r>
        <w:rPr/>
        <w:t>详见附件：技术实施方案及承诺</w:t>
      </w:r>
    </w:p>
    <w:p>
      <w:pPr>
        <w:pStyle w:val="null3"/>
        <w:ind w:firstLine="960"/>
      </w:pPr>
      <w:r>
        <w:rPr/>
        <w:t>详见附件：商务偏离表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详见附件：合同格式与主要条款.docx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