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长安区鸣犊街道张家坡滑坡治理工程</w:t>
      </w:r>
    </w:p>
    <w:p>
      <w:pPr>
        <w:pStyle w:val="null3"/>
        <w:jc w:val="center"/>
        <w:outlineLvl w:val="2"/>
      </w:pPr>
      <w:r>
        <w:rPr>
          <w:sz w:val="28"/>
          <w:b/>
        </w:rPr>
        <w:t>采购项目编号：</w:t>
      </w:r>
      <w:r>
        <w:rPr>
          <w:sz w:val="28"/>
          <w:b/>
        </w:rPr>
        <w:t>SZT2024-SN-QC-ZC-GC-0646</w:t>
      </w:r>
      <w:r>
        <w:br/>
      </w:r>
      <w:r>
        <w:br/>
      </w:r>
      <w:r>
        <w:br/>
      </w:r>
    </w:p>
    <w:p>
      <w:pPr>
        <w:pStyle w:val="null3"/>
        <w:jc w:val="center"/>
        <w:outlineLvl w:val="2"/>
      </w:pPr>
      <w:r>
        <w:rPr>
          <w:sz w:val="28"/>
          <w:b/>
        </w:rPr>
        <w:t>西安市自然资源和规划局长安分局矿产资源管理站</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西安市自然资源和规划局长安分局矿产资源管理站</w:t>
      </w:r>
      <w:r>
        <w:rPr/>
        <w:t>委托，拟对</w:t>
      </w:r>
      <w:r>
        <w:rPr/>
        <w:t>长安区鸣犊街道张家坡滑坡治理工程</w:t>
      </w:r>
      <w:r>
        <w:rPr/>
        <w:t>采用竞争性磋商采购方式进行采购，兹邀请供应商参加本项目的竞争性磋商。</w:t>
      </w:r>
    </w:p>
    <w:p>
      <w:pPr>
        <w:pStyle w:val="null3"/>
        <w:outlineLvl w:val="2"/>
      </w:pPr>
      <w:r>
        <w:rPr>
          <w:sz w:val="28"/>
          <w:b/>
        </w:rPr>
        <w:t>一、采购项目编号：</w:t>
      </w:r>
      <w:r>
        <w:rPr>
          <w:sz w:val="28"/>
          <w:b/>
        </w:rPr>
        <w:t>SZT2024-SN-QC-ZC-GC-0646</w:t>
      </w:r>
    </w:p>
    <w:p>
      <w:pPr>
        <w:pStyle w:val="null3"/>
        <w:outlineLvl w:val="2"/>
      </w:pPr>
      <w:r>
        <w:rPr>
          <w:sz w:val="28"/>
          <w:b/>
        </w:rPr>
        <w:t>二、采购项目名称：</w:t>
      </w:r>
      <w:r>
        <w:rPr>
          <w:sz w:val="28"/>
          <w:b/>
        </w:rPr>
        <w:t>长安区鸣犊街道张家坡滑坡治理工程</w:t>
      </w:r>
    </w:p>
    <w:p>
      <w:pPr>
        <w:pStyle w:val="null3"/>
        <w:outlineLvl w:val="2"/>
      </w:pPr>
      <w:r>
        <w:rPr>
          <w:sz w:val="28"/>
          <w:b/>
        </w:rPr>
        <w:t>三、磋商项目简介</w:t>
      </w:r>
    </w:p>
    <w:p>
      <w:pPr>
        <w:pStyle w:val="null3"/>
        <w:ind w:firstLine="480"/>
      </w:pPr>
      <w:r>
        <w:rPr/>
        <w:t>长安区鸣犊街道张家坡滑坡治理工程，本项目位于西安市长安区鸣犊街道张家坡，该滑坡平面上呈簸箕形，剖面为阶梯状，平均坡度22°，滑坡宽320m，长175m，滑体厚度约20m，体积112×104m3，为大型黄土滑坡。项目建设内容主要包括:土方工程、护面墙、窑洞封堵、排水沟、散水及跌水等工程相结合。</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采购包1（长安区鸣犊街道张家坡滑坡治理工程）：属于专门面向中小企业采购。</w:t>
      </w:r>
    </w:p>
    <w:p>
      <w:pPr>
        <w:pStyle w:val="null3"/>
        <w:ind w:firstLine="480"/>
      </w:pPr>
      <w:r>
        <w:rPr/>
        <w:t>（三）本项目的特定资格要求：</w:t>
      </w:r>
    </w:p>
    <w:p>
      <w:pPr>
        <w:pStyle w:val="null3"/>
      </w:pPr>
      <w:r>
        <w:rPr/>
        <w:t>采购包1：</w:t>
      </w:r>
    </w:p>
    <w:p>
      <w:pPr>
        <w:pStyle w:val="null3"/>
      </w:pPr>
      <w:r>
        <w:rPr/>
        <w:t>1、法定代表人授权委托：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2、地质灾害防治单位资质：供应商须具备地质灾害防治单位资质施工乙级以上资质（含乙级），并具备安全生产许可证。供应商需在项目电子化交易系统中按要求上传相应证明文件并进行电子签章。</w:t>
      </w:r>
    </w:p>
    <w:p>
      <w:pPr>
        <w:pStyle w:val="null3"/>
      </w:pPr>
      <w:r>
        <w:rPr/>
        <w:t>3、拟派项目负责人资质和专业要求。：项目负责人须具有水文地质或工程地质或环境地质或地质工程专业技术高级职称，且具有相应专业的有效的安全生产考核合格证（B证），且无在建工程（承诺书）。</w:t>
      </w:r>
    </w:p>
    <w:p>
      <w:pPr>
        <w:pStyle w:val="null3"/>
      </w:pPr>
      <w:r>
        <w:rPr/>
        <w:t>4、联合体相关要求：本项目不接受联合体磋商。供应商需在项目电子化交易系统中按要求上传相应证明文件并进行电子签章。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西安市自然资源和规划局长安分局矿产资源管理站</w:t>
      </w:r>
    </w:p>
    <w:p>
      <w:pPr>
        <w:pStyle w:val="null3"/>
      </w:pPr>
      <w:r>
        <w:rPr/>
        <w:t xml:space="preserve"> 地址： </w:t>
      </w:r>
      <w:r>
        <w:rPr/>
        <w:t>长安区西长安街79号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029-85295468</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杨艳、沈肖楠、史肖霞</w:t>
      </w:r>
    </w:p>
    <w:p>
      <w:pPr>
        <w:pStyle w:val="null3"/>
      </w:pPr>
      <w:r>
        <w:rPr/>
        <w:t xml:space="preserve"> 联系电话： </w:t>
      </w:r>
      <w:r>
        <w:rPr/>
        <w:t>029-88364979-821</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招标代理机构交纳招标代理服务费。招标代理服务费的收取参见国家计委颁布的《招标代理服务收费管理暂行办法》（计价格[2002]1980号）和（发改办价格[2011]534号）中收费标准，按照中标金额差额定率累进法计算。此招标代理服务费应计入投标中，但不单列项。 开户名称：陕西中技招标有限公司 开户银行：招商银行西安分行营业部 银行账号：129916812810001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西安市自然资源和规划局长安分局矿产资源管理站</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西安市自然资源和规划局长安分局矿产资源管理站</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西安市自然资源和规划局长安分局矿产资源管理站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国家相应的标准、规范</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1,150,000.00</w:t>
      </w:r>
    </w:p>
    <w:p>
      <w:pPr>
        <w:pStyle w:val="null3"/>
      </w:pPr>
      <w:r>
        <w:rPr/>
        <w:t>采购包最高限价（元）: 925,229.00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鸣犊街道张家坡滑坡治理工程</w:t>
            </w:r>
          </w:p>
        </w:tc>
        <w:tc>
          <w:tcPr>
            <w:tcW w:type="dxa" w:w="1384"/>
          </w:tcPr>
          <w:p>
            <w:pPr>
              <w:pStyle w:val="null3"/>
              <w:jc w:val="right"/>
            </w:pPr>
            <w:r>
              <w:rPr/>
              <w:t>1.00</w:t>
            </w:r>
          </w:p>
        </w:tc>
        <w:tc>
          <w:tcPr>
            <w:tcW w:type="dxa" w:w="1384"/>
          </w:tcPr>
          <w:p>
            <w:pPr>
              <w:pStyle w:val="null3"/>
              <w:jc w:val="right"/>
            </w:pPr>
            <w:r>
              <w:rPr/>
              <w:t>1,150,000.00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标的名称：鸣犊街道张家坡滑坡治理工程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1、工程概况</w:t>
            </w:r>
          </w:p>
          <w:p>
            <w:pPr>
              <w:pStyle w:val="null3"/>
              <w:ind w:firstLine="480"/>
            </w:pPr>
            <w:r>
              <w:rPr>
                <w:rFonts w:ascii="calibri" w:hAnsi="calibri" w:cs="calibri" w:eastAsia="calibri"/>
                <w:sz w:val="21"/>
              </w:rPr>
              <w:t>长安区鸣犊街道张家坡滑坡治理工程，本项目位于西安市长安区鸣犊街道张家坡，该滑坡平面上呈簸箕形，剖面为阶梯状，平均坡度22°，滑坡宽320m，长175m，滑体厚度约20m，体积112×104m3，为大型黄土滑坡。项目建设内容主要包括:土方工程、护面墙、窑洞封堵、排水沟、散水及跌水等工程相结合。</w:t>
            </w:r>
          </w:p>
          <w:p>
            <w:pPr>
              <w:pStyle w:val="null3"/>
            </w:pPr>
            <w:r>
              <w:rPr>
                <w:rFonts w:ascii="calibri" w:hAnsi="calibri" w:cs="calibri" w:eastAsia="calibri"/>
                <w:sz w:val="21"/>
              </w:rPr>
              <w:t xml:space="preserve">2、编制依据及原则 </w:t>
            </w:r>
          </w:p>
          <w:p>
            <w:pPr>
              <w:pStyle w:val="null3"/>
            </w:pPr>
            <w:r>
              <w:rPr>
                <w:rFonts w:ascii="calibri" w:hAnsi="calibri" w:cs="calibri" w:eastAsia="calibri"/>
                <w:sz w:val="21"/>
              </w:rPr>
              <w:t>（1）执行陕发改项目[2017]1606 号关于《陕西省水利工程设计预算编制规定》、《陕西省水利建筑工程预算定额》及《水利部办公厅关于调整水利工程计价依据增值税计算标准的通知》（办财务函[2019]448 号）编制；</w:t>
            </w:r>
            <w:r>
              <w:rPr>
                <w:rFonts w:ascii="calibri" w:hAnsi="calibri" w:cs="calibri" w:eastAsia="calibri"/>
                <w:sz w:val="21"/>
              </w:rPr>
              <w:t>（2）长安区鸣犊街道张家坡滑坡治理工程相关图纸。</w:t>
            </w:r>
          </w:p>
          <w:p>
            <w:pPr>
              <w:pStyle w:val="null3"/>
            </w:pPr>
            <w:r>
              <w:rPr>
                <w:rFonts w:ascii="calibri" w:hAnsi="calibri" w:cs="calibri" w:eastAsia="calibri"/>
                <w:sz w:val="21"/>
              </w:rPr>
              <w:t>3、取费标准</w:t>
            </w:r>
          </w:p>
          <w:p>
            <w:pPr>
              <w:pStyle w:val="null3"/>
            </w:pPr>
            <w:r>
              <w:rPr>
                <w:rFonts w:ascii="calibri" w:hAnsi="calibri" w:cs="calibri" w:eastAsia="calibri"/>
                <w:sz w:val="21"/>
              </w:rPr>
              <w:t>（1）其他直接费均以基本直接费为取费基础，取 4.5％；</w:t>
            </w:r>
          </w:p>
          <w:p>
            <w:pPr>
              <w:pStyle w:val="null3"/>
            </w:pPr>
            <w:r>
              <w:rPr>
                <w:rFonts w:ascii="calibri" w:hAnsi="calibri" w:cs="calibri" w:eastAsia="calibri"/>
                <w:sz w:val="21"/>
              </w:rPr>
              <w:t>（2）间接费：均以直接费为取费基础，土方工程取 4％，石方工程、混凝土制作、疏浚工程、其他取6%，模板工程、钢筋制作安装工程取5%，钻孔灌浆及锚固工程取9%，设备安装工程取60％；</w:t>
            </w:r>
          </w:p>
          <w:p>
            <w:pPr>
              <w:pStyle w:val="null3"/>
            </w:pPr>
            <w:r>
              <w:rPr>
                <w:rFonts w:ascii="calibri" w:hAnsi="calibri" w:cs="calibri" w:eastAsia="calibri"/>
                <w:sz w:val="21"/>
              </w:rPr>
              <w:t>（3）利润取直接费与间接费之和的 5％；</w:t>
            </w:r>
          </w:p>
          <w:p>
            <w:pPr>
              <w:pStyle w:val="null3"/>
            </w:pPr>
            <w:r>
              <w:rPr>
                <w:rFonts w:ascii="calibri" w:hAnsi="calibri" w:cs="calibri" w:eastAsia="calibri"/>
                <w:sz w:val="21"/>
              </w:rPr>
              <w:t>（4）税金取增值税销项税率 9％。</w:t>
            </w:r>
          </w:p>
          <w:p>
            <w:pPr>
              <w:pStyle w:val="null3"/>
            </w:pPr>
            <w:r>
              <w:rPr>
                <w:rFonts w:ascii="calibri" w:hAnsi="calibri" w:cs="calibri" w:eastAsia="calibri"/>
                <w:sz w:val="21"/>
              </w:rPr>
              <w:t>4、特殊说明</w:t>
            </w:r>
          </w:p>
          <w:p>
            <w:pPr>
              <w:pStyle w:val="null3"/>
            </w:pPr>
            <w:r>
              <w:rPr>
                <w:rFonts w:ascii="calibri" w:hAnsi="calibri" w:cs="calibri" w:eastAsia="calibri"/>
                <w:sz w:val="21"/>
              </w:rPr>
              <w:t>（1）临时工程费取建筑工程费的3%；</w:t>
            </w:r>
          </w:p>
          <w:p>
            <w:pPr>
              <w:pStyle w:val="null3"/>
            </w:pPr>
            <w:r>
              <w:rPr>
                <w:rFonts w:ascii="calibri" w:hAnsi="calibri" w:cs="calibri" w:eastAsia="calibri"/>
                <w:sz w:val="21"/>
              </w:rPr>
              <w:t>（2）工程量清单编制采用陕西省易投造价软件。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工程质量符合国家现行有关施工质量验收规范要求“合格”标准：：</w:t>
      </w:r>
    </w:p>
    <w:p>
      <w:pPr>
        <w:pStyle w:val="null3"/>
        <w:ind w:firstLine="480"/>
      </w:pPr>
      <w:r>
        <w:rPr/>
        <w:t>三、针对本项目的其他技术服务要求：</w:t>
      </w:r>
    </w:p>
    <w:p>
      <w:pPr>
        <w:pStyle w:val="null3"/>
      </w:pPr>
      <w:r>
        <w:rPr/>
        <w:t>满足磋商文件、工程量清单、图纸要求。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中标人应向造价编制单位支付造价咨询服务费(工程量清单及最高限价编制费) 接受服务费单位名称：中科标禾工程项目管理有限公司陕西分公司 开户行名称：民生银行西安分行营业部 账号：699806042 电话：029-81137189 转账事由： （项目编号后四位） 项目服务费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供应商为本项目提供的资格证明文件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2</w:t>
            </w:r>
          </w:p>
        </w:tc>
        <w:tc>
          <w:tcPr>
            <w:tcW w:type="dxa" w:w="2492"/>
          </w:tcPr>
          <w:p>
            <w:pPr>
              <w:pStyle w:val="null3"/>
            </w:pPr>
            <w:r>
              <w:rPr/>
              <w:t>地质灾害防治单位资质</w:t>
            </w:r>
          </w:p>
        </w:tc>
        <w:tc>
          <w:tcPr>
            <w:tcW w:type="dxa" w:w="3322"/>
          </w:tcPr>
          <w:p>
            <w:pPr>
              <w:pStyle w:val="null3"/>
            </w:pPr>
            <w:r>
              <w:rPr/>
              <w:t>供应商须具备地质灾害防治单位资质施工乙级以上资质（含乙级），并具备安全生产许可证。供应商需在项目电子化交易系统中按要求上传相应证明文件并进行电子签章。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项目负责人须具有水文地质或工程地质或环境地质或地质工程专业技术高级职称，且具有相应专业的有效的安全生产考核合格证（B证），且无在建工程（承诺书）。</w:t>
            </w:r>
          </w:p>
        </w:tc>
        <w:tc>
          <w:tcPr>
            <w:tcW w:type="dxa" w:w="1661"/>
          </w:tcPr>
          <w:p>
            <w:pPr>
              <w:pStyle w:val="null3"/>
            </w:pPr>
            <w:r>
              <w:rPr/>
              <w:t>拟投入项目负责人及主要人员简历表 供应商为本项目提供的资格证明文件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供应商为本项目提供的资格证明文件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计划工期是否响应</w:t>
            </w:r>
          </w:p>
        </w:tc>
        <w:tc>
          <w:tcPr>
            <w:tcW w:type="dxa" w:w="3322"/>
          </w:tcPr>
          <w:p>
            <w:pPr>
              <w:pStyle w:val="null3"/>
            </w:pPr>
            <w:r>
              <w:rPr/>
              <w:t>计划工期是否按磋商文件要求响应</w:t>
            </w:r>
          </w:p>
        </w:tc>
        <w:tc>
          <w:tcPr>
            <w:tcW w:type="dxa" w:w="1661"/>
          </w:tcPr>
          <w:p>
            <w:pPr>
              <w:pStyle w:val="null3"/>
            </w:pPr>
            <w:r>
              <w:rPr/>
              <w:t>商务偏离表 磋商报价表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商务偏离表 磋商报价表</w:t>
            </w:r>
          </w:p>
        </w:tc>
      </w:tr>
      <w:tr>
        <w:tc>
          <w:tcPr>
            <w:tcW w:type="dxa" w:w="831"/>
          </w:tcPr>
          <w:p>
            <w:pPr>
              <w:pStyle w:val="null3"/>
            </w:pPr>
            <w:r>
              <w:rPr/>
              <w:t>4</w:t>
            </w:r>
          </w:p>
        </w:tc>
        <w:tc>
          <w:tcPr>
            <w:tcW w:type="dxa" w:w="2492"/>
          </w:tcPr>
          <w:p>
            <w:pPr>
              <w:pStyle w:val="null3"/>
            </w:pPr>
            <w:r>
              <w:rPr/>
              <w:t>工程质量是否合格</w:t>
            </w:r>
          </w:p>
        </w:tc>
        <w:tc>
          <w:tcPr>
            <w:tcW w:type="dxa" w:w="3322"/>
          </w:tcPr>
          <w:p>
            <w:pPr>
              <w:pStyle w:val="null3"/>
            </w:pPr>
            <w:r>
              <w:rPr/>
              <w:t>工程质量是否承诺合格</w:t>
            </w:r>
          </w:p>
        </w:tc>
        <w:tc>
          <w:tcPr>
            <w:tcW w:type="dxa" w:w="1661"/>
          </w:tcPr>
          <w:p>
            <w:pPr>
              <w:pStyle w:val="null3"/>
            </w:pPr>
            <w:r>
              <w:rPr/>
              <w:t>商务偏离表 磋商报价表</w:t>
            </w:r>
          </w:p>
        </w:tc>
      </w:tr>
      <w:tr>
        <w:tc>
          <w:tcPr>
            <w:tcW w:type="dxa" w:w="831"/>
          </w:tcPr>
          <w:p>
            <w:pPr>
              <w:pStyle w:val="null3"/>
            </w:pPr>
            <w:r>
              <w:rPr/>
              <w:t>5</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已标价工程量清单 商务偏离表 报价函 预算书 标的清单 磋商报价表</w:t>
            </w:r>
          </w:p>
        </w:tc>
      </w:tr>
      <w:tr>
        <w:tc>
          <w:tcPr>
            <w:tcW w:type="dxa" w:w="831"/>
          </w:tcPr>
          <w:p>
            <w:pPr>
              <w:pStyle w:val="null3"/>
            </w:pPr>
            <w:r>
              <w:rPr/>
              <w:t>6</w:t>
            </w:r>
          </w:p>
        </w:tc>
        <w:tc>
          <w:tcPr>
            <w:tcW w:type="dxa" w:w="2492"/>
          </w:tcPr>
          <w:p>
            <w:pPr>
              <w:pStyle w:val="null3"/>
            </w:pPr>
            <w:r>
              <w:rPr/>
              <w:t>质保期是否响应</w:t>
            </w:r>
          </w:p>
        </w:tc>
        <w:tc>
          <w:tcPr>
            <w:tcW w:type="dxa" w:w="3322"/>
          </w:tcPr>
          <w:p>
            <w:pPr>
              <w:pStyle w:val="null3"/>
            </w:pPr>
            <w:r>
              <w:rPr/>
              <w:t>质保期是否响应磋商文件要求</w:t>
            </w:r>
          </w:p>
        </w:tc>
        <w:tc>
          <w:tcPr>
            <w:tcW w:type="dxa" w:w="1661"/>
          </w:tcPr>
          <w:p>
            <w:pPr>
              <w:pStyle w:val="null3"/>
            </w:pPr>
            <w:r>
              <w:rPr/>
              <w:t>商务偏离表 磋商报价表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有符合本项目工程的质量管理目标和质量管理制度、主要工序的质量技术保证措施和手段。措施是否完备齐全、先进、合理、切实可行。在1.0～6.0分之间赋分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承诺书</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安全管理人员配备合理，制度健全，各道工序安全技术措施针对性强，符合实际且满足要求措施是否完备齐全、先进、合理、切实可行。在1.0～6.0分之间赋分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承诺书</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有现场文明施工计划和环境保护措施，且各项措施周全、具体、有效。在1.0～6.0分之间赋分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承诺书</w:t>
            </w:r>
          </w:p>
        </w:tc>
      </w:tr>
      <w:tr>
        <w:tc>
          <w:tcPr>
            <w:tcW w:type="dxa" w:w="831"/>
            <w:vMerge/>
          </w:tcPr>
          <w:p/>
        </w:tc>
        <w:tc>
          <w:tcPr>
            <w:tcW w:type="dxa" w:w="1661"/>
          </w:tcPr>
          <w:p>
            <w:pPr>
              <w:pStyle w:val="null3"/>
            </w:pPr>
            <w:r>
              <w:rPr/>
              <w:t>确保工期的技术组织措施</w:t>
            </w:r>
          </w:p>
        </w:tc>
        <w:tc>
          <w:tcPr>
            <w:tcW w:type="dxa" w:w="2492"/>
          </w:tcPr>
          <w:p>
            <w:pPr>
              <w:pStyle w:val="null3"/>
            </w:pPr>
            <w:r>
              <w:rPr/>
              <w:t>有保证工期的技术措施、组织措施及施工进度安排。措施是否完备齐全、先进、合理、切实可行。在1.0～6.0分之间赋分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承诺书</w:t>
            </w:r>
          </w:p>
        </w:tc>
      </w:tr>
      <w:tr>
        <w:tc>
          <w:tcPr>
            <w:tcW w:type="dxa" w:w="831"/>
            <w:vMerge/>
          </w:tcPr>
          <w:p/>
        </w:tc>
        <w:tc>
          <w:tcPr>
            <w:tcW w:type="dxa" w:w="1661"/>
          </w:tcPr>
          <w:p>
            <w:pPr>
              <w:pStyle w:val="null3"/>
            </w:pPr>
            <w:r>
              <w:rPr/>
              <w:t>施工方案</w:t>
            </w:r>
          </w:p>
        </w:tc>
        <w:tc>
          <w:tcPr>
            <w:tcW w:type="dxa" w:w="2492"/>
          </w:tcPr>
          <w:p>
            <w:pPr>
              <w:pStyle w:val="null3"/>
            </w:pPr>
            <w:r>
              <w:rPr/>
              <w:t>有完善、针对性强、切实可行的实施方案。在1.0～6.0分之间赋分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项目组织机构及项目经理部组成人员</w:t>
            </w:r>
          </w:p>
        </w:tc>
        <w:tc>
          <w:tcPr>
            <w:tcW w:type="dxa" w:w="2492"/>
          </w:tcPr>
          <w:p>
            <w:pPr>
              <w:pStyle w:val="null3"/>
            </w:pPr>
            <w:r>
              <w:rPr/>
              <w:t>人员齐备、专业配套、相关岗位证书齐全。在1.0～6.0分之间赋分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拟派项目组人员名单</w:t>
            </w:r>
          </w:p>
          <w:p>
            <w:pPr>
              <w:pStyle w:val="null3"/>
            </w:pPr>
            <w:r>
              <w:rPr/>
              <w:t>拟投入项目负责人及主要人员简历表</w:t>
            </w:r>
          </w:p>
        </w:tc>
      </w:tr>
      <w:tr>
        <w:tc>
          <w:tcPr>
            <w:tcW w:type="dxa" w:w="831"/>
            <w:vMerge/>
          </w:tcPr>
          <w:p/>
        </w:tc>
        <w:tc>
          <w:tcPr>
            <w:tcW w:type="dxa" w:w="1661"/>
          </w:tcPr>
          <w:p>
            <w:pPr>
              <w:pStyle w:val="null3"/>
            </w:pPr>
            <w:r>
              <w:rPr/>
              <w:t>施工机械配备</w:t>
            </w:r>
          </w:p>
        </w:tc>
        <w:tc>
          <w:tcPr>
            <w:tcW w:type="dxa" w:w="2492"/>
          </w:tcPr>
          <w:p>
            <w:pPr>
              <w:pStyle w:val="null3"/>
            </w:pPr>
            <w:r>
              <w:rPr/>
              <w:t>投入的施工机械、设备、机具有详细计划周密，设备数量、选型配置、进场数量、时间安排合理满足施工需求。在1.0～6.0分之间赋分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强制优先采购产品承诺函</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施工进度表或施工网络图，安排科学合理符合本项目施工实际要求。在1.0～6.0分之间赋分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劳动力安排合理妥当，时间安排合理满足施工需求。在1.0～6.0分之间赋分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拟投入项目负责人及主要人员简历表</w:t>
            </w:r>
          </w:p>
          <w:p>
            <w:pPr>
              <w:pStyle w:val="null3"/>
            </w:pPr>
            <w:r>
              <w:rPr/>
              <w:t>拟派项目组人员名单</w:t>
            </w:r>
          </w:p>
          <w:p>
            <w:pPr>
              <w:pStyle w:val="null3"/>
            </w:pPr>
            <w:r>
              <w:rPr/>
              <w:t>施工组织设计</w:t>
            </w:r>
          </w:p>
        </w:tc>
      </w:tr>
      <w:tr>
        <w:tc>
          <w:tcPr>
            <w:tcW w:type="dxa" w:w="831"/>
            <w:vMerge/>
          </w:tcPr>
          <w:p/>
        </w:tc>
        <w:tc>
          <w:tcPr>
            <w:tcW w:type="dxa" w:w="1661"/>
          </w:tcPr>
          <w:p>
            <w:pPr>
              <w:pStyle w:val="null3"/>
            </w:pPr>
            <w:r>
              <w:rPr/>
              <w:t>新技术、新产品、新工艺、新材料应用及施工现场扬尘预防措施</w:t>
            </w:r>
          </w:p>
        </w:tc>
        <w:tc>
          <w:tcPr>
            <w:tcW w:type="dxa" w:w="2492"/>
          </w:tcPr>
          <w:p>
            <w:pPr>
              <w:pStyle w:val="null3"/>
            </w:pPr>
            <w:r>
              <w:rPr/>
              <w:t>施工单位应用的技术、产品、工艺、材料等先进科学，并有合理的施工现场扬尘预防措施。在1.0～6.0分之间赋分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p>
            <w:pPr>
              <w:pStyle w:val="null3"/>
            </w:pPr>
            <w:r>
              <w:rPr/>
              <w:t>强制优先采购产品承诺函</w:t>
            </w:r>
          </w:p>
        </w:tc>
      </w:tr>
      <w:tr>
        <w:tc>
          <w:tcPr>
            <w:tcW w:type="dxa" w:w="831"/>
            <w:vMerge/>
          </w:tcPr>
          <w:p/>
        </w:tc>
        <w:tc>
          <w:tcPr>
            <w:tcW w:type="dxa" w:w="1661"/>
          </w:tcPr>
          <w:p>
            <w:pPr>
              <w:pStyle w:val="null3"/>
            </w:pPr>
            <w:r>
              <w:rPr/>
              <w:t>2021年1月1日至今业绩</w:t>
            </w:r>
          </w:p>
        </w:tc>
        <w:tc>
          <w:tcPr>
            <w:tcW w:type="dxa" w:w="2492"/>
          </w:tcPr>
          <w:p>
            <w:pPr>
              <w:pStyle w:val="null3"/>
            </w:pPr>
            <w:r>
              <w:rPr/>
              <w:t>2021年1月1日至今相关项目的业绩，提供合同复印件并加盖公章，每个业绩得2分，共10分，未提供的不得分。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（1）报价总价得分（30分） （a）本项目设最高限价，投标报价大于或等于最高限价做无效投标处理； （b）满足磋商文件要求且最终投标报价最低的报价为评审基准价，其价格分为满分30分。 投标报价得分=（评审基准价/投标报价）*价格分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磋商报价表</w:t>
            </w:r>
          </w:p>
          <w:p>
            <w:pPr>
              <w:pStyle w:val="null3"/>
            </w:pPr>
            <w:r>
              <w:rPr/>
              <w:t>预算书</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详见附件：承诺书</w:t>
      </w:r>
    </w:p>
    <w:p>
      <w:pPr>
        <w:pStyle w:val="null3"/>
        <w:ind w:firstLine="960"/>
      </w:pPr>
      <w:r>
        <w:rPr/>
        <w:t>详见附件：磋商报价表</w:t>
      </w:r>
    </w:p>
    <w:p>
      <w:pPr>
        <w:pStyle w:val="null3"/>
        <w:ind w:firstLine="960"/>
      </w:pPr>
      <w:r>
        <w:rPr/>
        <w:t>详见附件：供应商为本项目提供的资格证明文件</w:t>
      </w:r>
    </w:p>
    <w:p>
      <w:pPr>
        <w:pStyle w:val="null3"/>
        <w:ind w:firstLine="960"/>
      </w:pPr>
      <w:r>
        <w:rPr/>
        <w:t>详见附件：拟派项目组人员名单</w:t>
      </w:r>
    </w:p>
    <w:p>
      <w:pPr>
        <w:pStyle w:val="null3"/>
        <w:ind w:firstLine="960"/>
      </w:pPr>
      <w:r>
        <w:rPr/>
        <w:t>详见附件：拟投入项目负责人及主要人员简历表</w:t>
      </w:r>
    </w:p>
    <w:p>
      <w:pPr>
        <w:pStyle w:val="null3"/>
        <w:ind w:firstLine="960"/>
      </w:pPr>
      <w:r>
        <w:rPr/>
        <w:t>详见附件：商务偏离表</w:t>
      </w:r>
    </w:p>
    <w:p>
      <w:pPr>
        <w:pStyle w:val="null3"/>
        <w:ind w:firstLine="960"/>
      </w:pPr>
      <w:r>
        <w:rPr/>
        <w:t>详见附件：施工组织设计</w:t>
      </w:r>
    </w:p>
    <w:p>
      <w:pPr>
        <w:pStyle w:val="null3"/>
        <w:ind w:firstLine="960"/>
      </w:pPr>
      <w:r>
        <w:rPr/>
        <w:t>详见附件：业绩表</w:t>
      </w:r>
    </w:p>
    <w:p>
      <w:pPr>
        <w:pStyle w:val="null3"/>
        <w:ind w:firstLine="960"/>
      </w:pPr>
      <w:r>
        <w:rPr/>
        <w:t>详见附件：预算书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