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outlineLvl w:val="1"/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附件</w:t>
      </w:r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磋商报价表</w:t>
      </w:r>
      <w:bookmarkEnd w:id="0"/>
    </w:p>
    <w:tbl>
      <w:tblPr>
        <w:tblStyle w:val="6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/>
                <w:sz w:val="24"/>
                <w:highlight w:val="none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</w:t>
            </w:r>
          </w:p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元整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工程质量</w:t>
            </w:r>
          </w:p>
        </w:tc>
        <w:tc>
          <w:tcPr>
            <w:tcW w:w="6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计划工期是否响应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质保期是否响应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</w:tbl>
    <w:p>
      <w:pPr>
        <w:pStyle w:val="5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>注：1、付款方式是否响应、</w:t>
      </w:r>
      <w:r>
        <w:rPr>
          <w:rFonts w:hint="eastAsia" w:ascii="仿宋" w:hAnsi="仿宋" w:eastAsia="仿宋"/>
          <w:highlight w:val="none"/>
        </w:rPr>
        <w:t>计划工期、质保期</w:t>
      </w:r>
      <w:r>
        <w:rPr>
          <w:rFonts w:hint="eastAsia" w:ascii="仿宋" w:hAnsi="仿宋" w:eastAsia="仿宋"/>
          <w:szCs w:val="24"/>
          <w:highlight w:val="none"/>
        </w:rPr>
        <w:t>是否响应请填写“是”或者“否”。</w:t>
      </w:r>
    </w:p>
    <w:p>
      <w:pPr>
        <w:pStyle w:val="5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 xml:space="preserve">    2、工程质量请填写“合格”或其他。</w:t>
      </w: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284753E"/>
    <w:rsid w:val="0BAB3F23"/>
    <w:rsid w:val="528475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autoRedefine/>
    <w:qFormat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  <w:style w:type="paragraph" w:styleId="4">
    <w:name w:val="Body Text"/>
    <w:basedOn w:val="1"/>
    <w:next w:val="1"/>
    <w:autoRedefine/>
    <w:qFormat/>
    <w:uiPriority w:val="0"/>
    <w:rPr>
      <w:rFonts w:ascii="宋体" w:hAnsi="宋体"/>
      <w:sz w:val="30"/>
      <w:szCs w:val="20"/>
    </w:rPr>
  </w:style>
  <w:style w:type="paragraph" w:styleId="5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2024-02-28T08:59:00Z</dcterms:created>
  <dc:creator>admin</dc:creator>
  <cp:lastModifiedBy>admin</cp:lastModifiedBy>
  <dcterms:modified xsi:type="dcterms:W3CDTF">2024-02-28T09:01:19Z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3AD63CBFED2043308F05DEE8D65AE82C_11</vt:lpwstr>
  </property>
</Properties>
</file>