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流片封装服务</w:t>
      </w:r>
    </w:p>
    <w:p>
      <w:pPr>
        <w:pStyle w:val="null3"/>
        <w:jc w:val="center"/>
        <w:outlineLvl w:val="2"/>
      </w:pPr>
      <w:r>
        <w:rPr>
          <w:sz w:val="28"/>
          <w:b/>
        </w:rPr>
        <w:t>采购项目编号：</w:t>
      </w:r>
      <w:r>
        <w:rPr>
          <w:sz w:val="28"/>
          <w:b/>
        </w:rPr>
        <w:t>SZT2024-SN-SC-ZC-FW-0628</w:t>
      </w:r>
      <w:r>
        <w:br/>
      </w:r>
      <w:r>
        <w:br/>
      </w:r>
      <w:r>
        <w:br/>
      </w:r>
    </w:p>
    <w:p>
      <w:pPr>
        <w:pStyle w:val="null3"/>
        <w:jc w:val="center"/>
        <w:outlineLvl w:val="2"/>
      </w:pPr>
      <w:r>
        <w:rPr>
          <w:sz w:val="28"/>
          <w:b/>
        </w:rPr>
        <w:t>西安邮电大学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西安邮电大学</w:t>
      </w:r>
      <w:r>
        <w:rPr/>
        <w:t>委托，拟对</w:t>
      </w:r>
      <w:r>
        <w:rPr/>
        <w:t>流片封装服务</w:t>
      </w:r>
      <w:r>
        <w:rPr/>
        <w:t>采用竞争性磋商采购方式进行采购，兹邀请供应商参加本项目的竞争性磋商。</w:t>
      </w:r>
    </w:p>
    <w:p>
      <w:pPr>
        <w:pStyle w:val="null3"/>
        <w:outlineLvl w:val="2"/>
      </w:pPr>
      <w:r>
        <w:rPr>
          <w:sz w:val="28"/>
          <w:b/>
        </w:rPr>
        <w:t>一、项目编号：</w:t>
      </w:r>
      <w:r>
        <w:rPr>
          <w:sz w:val="28"/>
          <w:b/>
        </w:rPr>
        <w:t>SZT2024-SN-SC-ZC-FW-0628</w:t>
      </w:r>
    </w:p>
    <w:p>
      <w:pPr>
        <w:pStyle w:val="null3"/>
        <w:outlineLvl w:val="2"/>
      </w:pPr>
      <w:r>
        <w:rPr>
          <w:sz w:val="28"/>
          <w:b/>
        </w:rPr>
        <w:t>二、项目名称：</w:t>
      </w:r>
      <w:r>
        <w:rPr>
          <w:sz w:val="28"/>
          <w:b/>
        </w:rPr>
        <w:t>流片封装服务</w:t>
      </w:r>
    </w:p>
    <w:p>
      <w:pPr>
        <w:pStyle w:val="null3"/>
        <w:outlineLvl w:val="2"/>
      </w:pPr>
      <w:r>
        <w:rPr>
          <w:sz w:val="28"/>
          <w:b/>
        </w:rPr>
        <w:t>三、磋商项目简介</w:t>
      </w:r>
    </w:p>
    <w:p>
      <w:pPr>
        <w:pStyle w:val="null3"/>
        <w:ind w:firstLine="480"/>
      </w:pPr>
      <w:r>
        <w:rPr/>
        <w:t>55nm流片及封装服务。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采购包1（流片封装服务）：属于专门面向中小企业采购。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西安邮电大学</w:t>
      </w:r>
    </w:p>
    <w:p>
      <w:pPr>
        <w:pStyle w:val="null3"/>
      </w:pPr>
      <w:r>
        <w:rPr/>
        <w:t xml:space="preserve"> 地址： </w:t>
      </w:r>
      <w:r>
        <w:rPr/>
        <w:t>西安市长安区西长安街618号</w:t>
      </w:r>
    </w:p>
    <w:p>
      <w:pPr>
        <w:pStyle w:val="null3"/>
      </w:pPr>
      <w:r>
        <w:rPr/>
        <w:t xml:space="preserve"> 邮编： </w:t>
      </w:r>
      <w:r>
        <w:rPr/>
        <w:t>/</w:t>
      </w:r>
    </w:p>
    <w:p>
      <w:pPr>
        <w:pStyle w:val="null3"/>
      </w:pPr>
      <w:r>
        <w:rPr/>
        <w:t xml:space="preserve"> 联系人： </w:t>
      </w:r>
      <w:r>
        <w:rPr/>
        <w:t>西安邮电大学经办</w:t>
      </w:r>
    </w:p>
    <w:p>
      <w:pPr>
        <w:pStyle w:val="null3"/>
      </w:pPr>
      <w:r>
        <w:rPr/>
        <w:t xml:space="preserve"> 联系电话： </w:t>
      </w:r>
      <w:r>
        <w:rPr/>
        <w:t>029-88166850</w:t>
      </w:r>
    </w:p>
    <w:p>
      <w:pPr>
        <w:pStyle w:val="null3"/>
        <w:outlineLvl w:val="3"/>
      </w:pPr>
      <w:r>
        <w:rPr>
          <w:sz w:val="24"/>
          <w:b/>
        </w:rPr>
        <w:t>代理机构：</w:t>
      </w:r>
      <w:r>
        <w:rPr>
          <w:sz w:val="24"/>
          <w:b/>
        </w:rPr>
        <w:t>陕西中技招标有限公司</w:t>
      </w:r>
    </w:p>
    <w:p>
      <w:pPr>
        <w:pStyle w:val="null3"/>
      </w:pPr>
      <w:r>
        <w:rPr/>
        <w:t xml:space="preserve"> 地址： </w:t>
      </w:r>
      <w:r>
        <w:rPr/>
        <w:t>西安莲湖区高新四路 1 号高科广场 A 座 1001 室</w:t>
      </w:r>
    </w:p>
    <w:p>
      <w:pPr>
        <w:pStyle w:val="null3"/>
      </w:pPr>
      <w:r>
        <w:rPr/>
        <w:t xml:space="preserve"> 邮编： </w:t>
      </w:r>
      <w:r>
        <w:rPr/>
        <w:t xml:space="preserve"> 710075</w:t>
      </w:r>
    </w:p>
    <w:p>
      <w:pPr>
        <w:pStyle w:val="null3"/>
      </w:pPr>
      <w:r>
        <w:rPr/>
        <w:t xml:space="preserve"> 联系人： </w:t>
      </w:r>
      <w:r>
        <w:rPr/>
        <w:t>赵静</w:t>
      </w:r>
    </w:p>
    <w:p>
      <w:pPr>
        <w:pStyle w:val="null3"/>
      </w:pPr>
      <w:r>
        <w:rPr/>
        <w:t xml:space="preserve"> 联系电话： </w:t>
      </w:r>
      <w:r>
        <w:rPr/>
        <w:t>029-88364979-805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说明：履约保证金在合同签订前缴纳，项目验收合格后无息退还。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代理服务费收费标准：招标代理服务费的收取按照国家发展计划委员会计价格[2002]1980号文件规定的服务标准下浮20%收取。此招标代理服务费应计入报价中，但不需要单独开列。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西安邮电大学</w:t>
      </w:r>
      <w:r>
        <w:rPr/>
        <w:t>和</w:t>
      </w:r>
      <w:r>
        <w:rPr/>
        <w:t>陕西中技招标有限公司</w:t>
      </w:r>
      <w:r>
        <w:rPr/>
        <w:t>享有。对磋商文件中供应商参加本次政府采购活动应当具备的条件，磋商项目技术、服务、商务及其他要求，评审细则及标准由</w:t>
      </w:r>
      <w:r>
        <w:rPr/>
        <w:t>西安邮电大学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西安邮电大学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符合国家相关质量标准或行业标准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联系人：李艳菊</w:t>
      </w:r>
    </w:p>
    <w:p>
      <w:pPr>
        <w:pStyle w:val="null3"/>
      </w:pPr>
      <w:r>
        <w:rPr/>
        <w:t>联系电话：029-88364979-846</w:t>
      </w:r>
    </w:p>
    <w:p>
      <w:pPr>
        <w:pStyle w:val="null3"/>
      </w:pPr>
      <w:r>
        <w:rPr/>
        <w:t>地址：西安莲湖区高新四路 1 号高科广场 A 座 1001 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55nm流片及封装服务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流片封装服务</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标的名称：流片封装服务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、流片服务</w:t>
            </w:r>
          </w:p>
          <w:p>
            <w:pPr>
              <w:pStyle w:val="null3"/>
              <w:jc w:val="both"/>
            </w:pPr>
            <w:r>
              <w:rPr>
                <w:rFonts w:ascii="宋体" w:hAnsi="宋体" w:cs="宋体" w:eastAsia="宋体"/>
              </w:rPr>
              <w:t>①提供</w:t>
            </w:r>
            <w:r>
              <w:rPr>
                <w:rFonts w:ascii="calibri" w:hAnsi="calibri" w:cs="calibri" w:eastAsia="calibri"/>
              </w:rPr>
              <w:t>55nm</w:t>
            </w:r>
            <w:r>
              <w:rPr>
                <w:rFonts w:ascii="宋体" w:hAnsi="宋体" w:cs="宋体" w:eastAsia="宋体"/>
              </w:rPr>
              <w:t>工艺节点的库文件和</w:t>
            </w:r>
            <w:r>
              <w:rPr>
                <w:rFonts w:ascii="calibri" w:hAnsi="calibri" w:cs="calibri" w:eastAsia="calibri"/>
              </w:rPr>
              <w:t>ip</w:t>
            </w:r>
            <w:r>
              <w:rPr>
                <w:rFonts w:ascii="宋体" w:hAnsi="宋体" w:cs="宋体" w:eastAsia="宋体"/>
              </w:rPr>
              <w:t>；</w:t>
            </w:r>
          </w:p>
          <w:p>
            <w:pPr>
              <w:pStyle w:val="null3"/>
              <w:jc w:val="both"/>
            </w:pPr>
            <w:r>
              <w:rPr>
                <w:rFonts w:ascii="宋体" w:hAnsi="宋体" w:cs="宋体" w:eastAsia="宋体"/>
              </w:rPr>
              <w:t>②</w:t>
            </w:r>
            <w:r>
              <w:rPr>
                <w:rFonts w:ascii="calibri" w:hAnsi="calibri" w:cs="calibri" w:eastAsia="calibri"/>
              </w:rPr>
              <w:t>IO</w:t>
            </w:r>
            <w:r>
              <w:rPr>
                <w:rFonts w:ascii="宋体" w:hAnsi="宋体" w:cs="宋体" w:eastAsia="宋体"/>
              </w:rPr>
              <w:t>电压</w:t>
            </w:r>
            <w:r>
              <w:rPr>
                <w:rFonts w:ascii="calibri" w:hAnsi="calibri" w:cs="calibri" w:eastAsia="calibri"/>
              </w:rPr>
              <w:t>3.3V</w:t>
            </w:r>
            <w:r>
              <w:rPr>
                <w:rFonts w:ascii="宋体" w:hAnsi="宋体" w:cs="宋体" w:eastAsia="宋体"/>
              </w:rPr>
              <w:t>，内核电压</w:t>
            </w:r>
            <w:r>
              <w:rPr>
                <w:rFonts w:ascii="calibri" w:hAnsi="calibri" w:cs="calibri" w:eastAsia="calibri"/>
              </w:rPr>
              <w:t>1.2V</w:t>
            </w:r>
            <w:r>
              <w:rPr>
                <w:rFonts w:ascii="宋体" w:hAnsi="宋体" w:cs="宋体" w:eastAsia="宋体"/>
              </w:rPr>
              <w:t>；</w:t>
            </w:r>
          </w:p>
          <w:p>
            <w:pPr>
              <w:pStyle w:val="null3"/>
              <w:jc w:val="both"/>
            </w:pPr>
            <w:r>
              <w:rPr>
                <w:rFonts w:ascii="宋体" w:hAnsi="宋体" w:cs="宋体" w:eastAsia="宋体"/>
              </w:rPr>
              <w:t>③芯片面积：不小于</w:t>
            </w:r>
            <w:r>
              <w:rPr>
                <w:rFonts w:ascii="calibri" w:hAnsi="calibri" w:cs="calibri" w:eastAsia="calibri"/>
              </w:rPr>
              <w:t>8mm x 8mm</w:t>
            </w:r>
            <w:r>
              <w:rPr>
                <w:rFonts w:ascii="宋体" w:hAnsi="宋体" w:cs="宋体" w:eastAsia="宋体"/>
              </w:rPr>
              <w:t>；</w:t>
            </w:r>
          </w:p>
          <w:p>
            <w:pPr>
              <w:pStyle w:val="null3"/>
              <w:jc w:val="both"/>
            </w:pPr>
            <w:r>
              <w:rPr>
                <w:rFonts w:ascii="宋体" w:hAnsi="宋体" w:cs="宋体" w:eastAsia="宋体"/>
              </w:rPr>
              <w:t>④片上集成</w:t>
            </w:r>
            <w:r>
              <w:rPr>
                <w:rFonts w:ascii="calibri" w:hAnsi="calibri" w:cs="calibri" w:eastAsia="calibri"/>
              </w:rPr>
              <w:t>SRAM</w:t>
            </w:r>
            <w:r>
              <w:rPr>
                <w:rFonts w:ascii="宋体" w:hAnsi="宋体" w:cs="宋体" w:eastAsia="宋体"/>
              </w:rPr>
              <w:t>支持单口、双口读写类型；</w:t>
            </w:r>
          </w:p>
          <w:p>
            <w:pPr>
              <w:pStyle w:val="null3"/>
              <w:jc w:val="both"/>
            </w:pPr>
            <w:r>
              <w:rPr>
                <w:rFonts w:ascii="宋体" w:hAnsi="宋体" w:cs="宋体" w:eastAsia="宋体"/>
              </w:rPr>
              <w:t>⑤片上集成</w:t>
            </w:r>
            <w:r>
              <w:rPr>
                <w:rFonts w:ascii="calibri" w:hAnsi="calibri" w:cs="calibri" w:eastAsia="calibri"/>
              </w:rPr>
              <w:t>PLL</w:t>
            </w:r>
            <w:r>
              <w:rPr>
                <w:rFonts w:ascii="宋体" w:hAnsi="宋体" w:cs="宋体" w:eastAsia="宋体"/>
              </w:rPr>
              <w:t>支持</w:t>
            </w:r>
            <w:r>
              <w:rPr>
                <w:rFonts w:ascii="calibri" w:hAnsi="calibri" w:cs="calibri" w:eastAsia="calibri"/>
              </w:rPr>
              <w:t>1-2000Mhz</w:t>
            </w:r>
          </w:p>
          <w:p>
            <w:pPr>
              <w:pStyle w:val="null3"/>
              <w:jc w:val="both"/>
            </w:pPr>
            <w:r>
              <w:rPr>
                <w:rFonts w:ascii="calibri" w:hAnsi="calibri" w:cs="calibri" w:eastAsia="calibri"/>
              </w:rPr>
              <w:t>2</w:t>
            </w:r>
            <w:r>
              <w:rPr>
                <w:rFonts w:ascii="宋体" w:hAnsi="宋体" w:cs="宋体" w:eastAsia="宋体"/>
              </w:rPr>
              <w:t>、封装服务</w:t>
            </w:r>
          </w:p>
          <w:p>
            <w:pPr>
              <w:pStyle w:val="null3"/>
              <w:jc w:val="both"/>
            </w:pPr>
            <w:r>
              <w:rPr>
                <w:rFonts w:ascii="宋体" w:hAnsi="宋体" w:cs="宋体" w:eastAsia="宋体"/>
              </w:rPr>
              <w:t>①封装类型</w:t>
            </w:r>
            <w:r>
              <w:rPr>
                <w:rFonts w:ascii="calibri" w:hAnsi="calibri" w:cs="calibri" w:eastAsia="calibri"/>
              </w:rPr>
              <w:t>:</w:t>
            </w:r>
            <w:r>
              <w:rPr>
                <w:rFonts w:ascii="宋体" w:hAnsi="宋体" w:cs="宋体" w:eastAsia="宋体"/>
              </w:rPr>
              <w:t>球栅阵列</w:t>
            </w:r>
            <w:r>
              <w:rPr>
                <w:rFonts w:ascii="calibri" w:hAnsi="calibri" w:cs="calibri" w:eastAsia="calibri"/>
              </w:rPr>
              <w:t>(BGA)</w:t>
            </w:r>
            <w:r>
              <w:rPr>
                <w:rFonts w:ascii="宋体" w:hAnsi="宋体" w:cs="宋体" w:eastAsia="宋体"/>
              </w:rPr>
              <w:t>；</w:t>
            </w:r>
          </w:p>
          <w:p>
            <w:pPr>
              <w:pStyle w:val="null3"/>
              <w:jc w:val="both"/>
            </w:pPr>
            <w:r>
              <w:rPr>
                <w:rFonts w:ascii="宋体" w:hAnsi="宋体" w:cs="宋体" w:eastAsia="宋体"/>
              </w:rPr>
              <w:t>②封装数量</w:t>
            </w:r>
            <w:r>
              <w:rPr>
                <w:rFonts w:ascii="calibri" w:hAnsi="calibri" w:cs="calibri" w:eastAsia="calibri"/>
              </w:rPr>
              <w:t>: 50</w:t>
            </w:r>
            <w:r>
              <w:rPr>
                <w:rFonts w:ascii="宋体" w:hAnsi="宋体" w:cs="宋体" w:eastAsia="宋体"/>
              </w:rPr>
              <w:t>颗；</w:t>
            </w:r>
          </w:p>
          <w:p>
            <w:pPr>
              <w:pStyle w:val="null3"/>
              <w:jc w:val="both"/>
            </w:pPr>
            <w:r>
              <w:rPr>
                <w:rFonts w:ascii="宋体" w:hAnsi="宋体" w:cs="宋体" w:eastAsia="宋体"/>
              </w:rPr>
              <w:t>③线材线径：</w:t>
            </w:r>
            <w:r>
              <w:rPr>
                <w:rFonts w:ascii="calibri" w:hAnsi="calibri" w:cs="calibri" w:eastAsia="calibri"/>
              </w:rPr>
              <w:t>20um/</w:t>
            </w:r>
            <w:r>
              <w:rPr>
                <w:rFonts w:ascii="宋体" w:hAnsi="宋体" w:cs="宋体" w:eastAsia="宋体"/>
              </w:rPr>
              <w:t>金线；</w:t>
            </w:r>
          </w:p>
          <w:p>
            <w:pPr>
              <w:pStyle w:val="null3"/>
              <w:jc w:val="both"/>
            </w:pPr>
            <w:r>
              <w:rPr>
                <w:rFonts w:ascii="宋体" w:hAnsi="宋体" w:cs="宋体" w:eastAsia="宋体"/>
              </w:rPr>
              <w:t>④铝层厚度：</w:t>
            </w:r>
            <w:r>
              <w:rPr>
                <w:rFonts w:ascii="calibri" w:hAnsi="calibri" w:cs="calibri" w:eastAsia="calibri"/>
              </w:rPr>
              <w:t>1um</w:t>
            </w:r>
            <w:r>
              <w:rPr>
                <w:rFonts w:ascii="宋体" w:hAnsi="宋体" w:cs="宋体" w:eastAsia="宋体"/>
              </w:rPr>
              <w:t>；</w:t>
            </w:r>
          </w:p>
          <w:p>
            <w:pPr>
              <w:pStyle w:val="null3"/>
              <w:jc w:val="both"/>
            </w:pPr>
            <w:r>
              <w:rPr>
                <w:rFonts w:ascii="宋体" w:hAnsi="宋体" w:cs="宋体" w:eastAsia="宋体"/>
                <w:sz w:val="21"/>
              </w:rPr>
              <w:t>⑤引脚数量</w:t>
            </w:r>
            <w:r>
              <w:rPr>
                <w:rFonts w:ascii="times new roman, times, serif" w:hAnsi="times new roman, times, serif" w:cs="times new roman, times, serif" w:eastAsia="times new roman, times, serif"/>
                <w:sz w:val="21"/>
              </w:rPr>
              <w:t>: 800</w:t>
            </w:r>
            <w:r>
              <w:rPr>
                <w:rFonts w:ascii="宋体" w:hAnsi="宋体" w:cs="宋体" w:eastAsia="宋体"/>
                <w:sz w:val="21"/>
              </w:rPr>
              <w:t>引脚；</w:t>
            </w:r>
          </w:p>
        </w:tc>
      </w:tr>
    </w:tbl>
    <w:p>
      <w:pPr>
        <w:pStyle w:val="null3"/>
        <w:outlineLvl w:val="2"/>
      </w:pPr>
      <w:r>
        <w:rPr>
          <w:sz w:val="28"/>
          <w:b/>
        </w:rPr>
        <w:t>3.2.3人员配置要求</w:t>
      </w:r>
    </w:p>
    <w:p>
      <w:pPr>
        <w:pStyle w:val="null3"/>
      </w:pPr>
      <w:r>
        <w:rPr/>
        <w:t>采购包1：</w:t>
      </w:r>
    </w:p>
    <w:p>
      <w:pPr>
        <w:pStyle w:val="null3"/>
      </w:pPr>
      <w:r>
        <w:rPr/>
        <w:t>无。</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2年</w:t>
      </w:r>
    </w:p>
    <w:p>
      <w:pPr>
        <w:pStyle w:val="null3"/>
        <w:outlineLvl w:val="3"/>
      </w:pPr>
      <w:r>
        <w:rPr>
          <w:sz w:val="24"/>
          <w:b/>
        </w:rPr>
        <w:t>3.3.2服务地点</w:t>
      </w:r>
    </w:p>
    <w:p>
      <w:pPr>
        <w:pStyle w:val="null3"/>
      </w:pPr>
      <w:r>
        <w:rPr/>
        <w:t>采购包1：</w:t>
      </w:r>
    </w:p>
    <w:p>
      <w:pPr>
        <w:pStyle w:val="null3"/>
      </w:pPr>
      <w:r>
        <w:rPr/>
        <w:t>西安邮电大学长安校区</w:t>
      </w:r>
    </w:p>
    <w:p>
      <w:pPr>
        <w:pStyle w:val="null3"/>
        <w:outlineLvl w:val="3"/>
      </w:pPr>
      <w:r>
        <w:rPr>
          <w:sz w:val="24"/>
          <w:b/>
        </w:rPr>
        <w:t>3.3.3考核（验收）标准和方法</w:t>
      </w:r>
    </w:p>
    <w:p>
      <w:pPr>
        <w:pStyle w:val="null3"/>
      </w:pPr>
      <w:r>
        <w:rPr/>
        <w:t>采购包1：</w:t>
      </w:r>
    </w:p>
    <w:p>
      <w:pPr>
        <w:pStyle w:val="null3"/>
      </w:pPr>
      <w:r>
        <w:rPr/>
        <w:t>在服务完成前所发生的一切损失及费用由乙方承担。服务内容达到标书要求的，验收通过；验收不合格的，完成标书服务要求；服务内容仍达不到要求的，按本合同条款处理。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（1）因乙方行为违约造成甲方利益受到侵害或造成社会影响的，甲方有权要求乙方在一定期限内解决，逾期不解决的，甲方有权终止合同。造成甲方经济损失的，乙方应给予甲方相应的经济赔偿(5%)。 （2）双方因本合同发生争议，甲方与乙方应及时协商解决。协商不成或调解不成时，双方当事人同意向甲方所在地有管辖权的人民法院提起诉讼。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需要落实的政府采购政策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技术需求响应</w:t>
            </w:r>
          </w:p>
        </w:tc>
        <w:tc>
          <w:tcPr>
            <w:tcW w:type="dxa" w:w="2492"/>
          </w:tcPr>
          <w:p>
            <w:pPr>
              <w:pStyle w:val="null3"/>
            </w:pPr>
            <w:r>
              <w:rPr/>
              <w:t>根据磋商文件要求，项目需求及技术指标完全满足要求的得10分，每有一项负偏差扣1分，扣完为止。 注：响应文件中技术支持资料参数与服务偏离表应答不符或无技术资料支持该应答，而供应商又未在响应文件中做出说明和解释的，视为不响应该项技术参数要求。</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供应商履约能力及综合实力证明</w:t>
            </w:r>
          </w:p>
        </w:tc>
        <w:tc>
          <w:tcPr>
            <w:tcW w:type="dxa" w:w="2492"/>
          </w:tcPr>
          <w:p>
            <w:pPr>
              <w:pStyle w:val="null3"/>
            </w:pPr>
            <w:r>
              <w:rPr/>
              <w:t>供应商提供以下资格证书的，每提供一项得2分，满分8分： （1）ISO9001 质量管理体系认证证书； （2）ISO45001 职业健康安全管理体系认证证书； （3）ISO/IEC 27001 信息安全管理体系认证证书； （4）ITSS（三级或以上）信息技术服务标准符合性证书。</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服务人员方案</w:t>
            </w:r>
          </w:p>
        </w:tc>
        <w:tc>
          <w:tcPr>
            <w:tcW w:type="dxa" w:w="2492"/>
          </w:tcPr>
          <w:p>
            <w:pPr>
              <w:pStyle w:val="null3"/>
            </w:pPr>
            <w:r>
              <w:rPr/>
              <w:t>为保障项目交付质量，供应商需针对本项目配备完善的项目团队（包括但不限于专业FAE技术支持团队、设计培训团队、售后服务团队等）。 （1）拟投入的团队人员在6人及以上，人员结构安排合理，且提供近一个月的社保缴纳证明文件复印件或扫描件的，得3分。 （2）拟投入的团队人员具有国家认可的集成电路设计领域相关证书的，每1人得2分，最高得10分，同一人不累计得分。 （3）拟投入的设计培训团队人员具有集成电路的培训经验，每服务一个甲方的，得1分，最高得3分，需提供培训证明材料。</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技术服务及培训方案</w:t>
            </w:r>
          </w:p>
        </w:tc>
        <w:tc>
          <w:tcPr>
            <w:tcW w:type="dxa" w:w="2492"/>
          </w:tcPr>
          <w:p>
            <w:pPr>
              <w:pStyle w:val="null3"/>
            </w:pPr>
            <w:r>
              <w:rPr/>
              <w:t>供应商针对本项目提供技术服务及培训方案（包括但不限于培训计划、培训内容、培训方式、培训人员数量等）： （1）提供的技术服务及培训方案内容完备，培训计划清晰合理，完全满足项目需求，能针对采购需求做出明确表述且可操作性强的得10分； （2）提供的技术服务及培训方案内容基本完整、能针对采购需求的要求做出表述且有一定合理可行性的得7分； （3）提供的技术服务及培训方案内容欠完备，基本可行，针对采购需求的要求做出表述简洁的得4分； （4）未提供的不得分。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技术证明材料</w:t>
            </w:r>
          </w:p>
        </w:tc>
        <w:tc>
          <w:tcPr>
            <w:tcW w:type="dxa" w:w="2492"/>
          </w:tcPr>
          <w:p>
            <w:pPr>
              <w:pStyle w:val="null3"/>
            </w:pPr>
            <w:r>
              <w:rPr/>
              <w:t>提供供应商自2020年以来与本项目相关的技术证书或技术报告或专利证书，每提供一个的得1分，最高得6分。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售后服务机构承诺、售后服务保障措施、人员配置安排计划、故障处理响应时间安排计划、质量保证期限及质量保证的范围承诺、应急处理等）。方案完整详细、可操作性强，符合且能有效提升实际需求得10分；有方案，与实际需求有偏差得7分；方案内容不完整或响应有缺项，与实际需求不符得3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供应商提供自2021年1月1日以来同类项目业绩，每提供一项合同的计2分，最高计20分。（响应文件提供合同复印件）</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价格分采用低价优先法计算，即满足磋商文件要求且最后报价最低的供应商的价格为磋商基准价，其价格分为满分。其他供应商的价格分 统一按照下列公式计算： 磋商报价得分=20×（磋商基准价/最后磋商报价） 价格分计算：四舍五入，保留两位小数。</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详见附件：需要落实的政府采购政策</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