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版本号：SZT2025-SN-XC-ZC-FW-027220250508001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招生宣传服务项目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SZT2025-SN-XC-ZC-FW-0272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招生宣传服务项目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SZT2025-SN-XC-ZC-FW-0272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招生宣传服务项目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我院2025年招生宣传工作，招生办拟实施该项目，内容包括教育类网站、微信微博公众平台等网络宣传，招生政策宣传类报刊广告宣传，深入省内生源中学现场宣传等。通过招生宣传传播学院文化、提升学院知名度、扩大学院影响力，努力完成2025年招生目标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采购包1（招生宣传服务项目）：属于专门面向中小企业采购。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029-84492916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我院2025年招生就业服务工作，招生办拟实施该项目，内容包括设计制作招生就业宣传品、招生就业宣传视频及校园招聘会等。通过招生就业服务传播学院文化，塑造学院形象，扩大学院影响力，提升毕业生对母校的满意度，努力完成2025年招生就业目标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招生宣传服务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标的名称：招生宣传服务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为做好我院</w:t>
            </w:r>
            <w:r>
              <w:rPr>
                <w:rFonts w:ascii="仿宋_GB2312" w:hAnsi="仿宋_GB2312" w:cs="仿宋_GB2312" w:eastAsia="仿宋_GB2312"/>
                <w:sz w:val="20"/>
              </w:rPr>
              <w:t>2025年招生宣传工作，招生办拟实施该项目，内容包括教育类网站、微信微博公众平台等网络宣传，招生政策宣传类报刊广告宣传，深入省内生源中学现场宣传等。通过招生宣传传播学院文化、提升学院知名度、扩大学院影响力，努力完成2025年招生目标任务。</w:t>
            </w:r>
          </w:p>
          <w:p>
            <w:pPr>
              <w:pStyle w:val="null3"/>
              <w:ind w:firstLine="402"/>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1.通过陕西招生考试信息网、陕西普通高等教育信息网、陕西分类考试招生信息网等招生类网站发布学院LOGO图片链接，</w:t>
            </w:r>
            <w:r>
              <w:rPr>
                <w:rFonts w:ascii="仿宋_GB2312" w:hAnsi="仿宋_GB2312" w:cs="仿宋_GB2312" w:eastAsia="仿宋_GB2312"/>
                <w:sz w:val="20"/>
              </w:rPr>
              <w:t>宣传期限为</w:t>
            </w:r>
            <w:r>
              <w:rPr>
                <w:rFonts w:ascii="仿宋_GB2312" w:hAnsi="仿宋_GB2312" w:cs="仿宋_GB2312" w:eastAsia="仿宋_GB2312"/>
                <w:sz w:val="20"/>
              </w:rPr>
              <w:t>一年</w:t>
            </w:r>
            <w:r>
              <w:rPr>
                <w:rFonts w:ascii="仿宋_GB2312" w:hAnsi="仿宋_GB2312" w:cs="仿宋_GB2312" w:eastAsia="仿宋_GB2312"/>
                <w:sz w:val="20"/>
              </w:rPr>
              <w:t>，依托其微信、微博等公众平台在招生季轮番推送学院招生信息。</w:t>
            </w:r>
          </w:p>
          <w:p>
            <w:pPr>
              <w:pStyle w:val="null3"/>
              <w:ind w:firstLine="400"/>
              <w:jc w:val="both"/>
            </w:pPr>
            <w:r>
              <w:rPr>
                <w:rFonts w:ascii="仿宋_GB2312" w:hAnsi="仿宋_GB2312" w:cs="仿宋_GB2312" w:eastAsia="仿宋_GB2312"/>
                <w:sz w:val="20"/>
              </w:rPr>
              <w:t>2.在《陕西省普通高等职业教育招生院校介绍》等招生政策宣传类刊物中刊登我院招生宣传信息。</w:t>
            </w:r>
          </w:p>
          <w:p>
            <w:pPr>
              <w:pStyle w:val="null3"/>
              <w:ind w:firstLine="400"/>
              <w:jc w:val="both"/>
            </w:pPr>
            <w:r>
              <w:rPr>
                <w:rFonts w:ascii="仿宋_GB2312" w:hAnsi="仿宋_GB2312" w:cs="仿宋_GB2312" w:eastAsia="仿宋_GB2312"/>
                <w:sz w:val="20"/>
              </w:rPr>
              <w:t>3.参加进校园宣讲咨询活动。走进省内不少于40所高职、中职学校，通过宣讲会、设点咨询等方式，与考生面对面交流，引导考生报考我院。</w:t>
            </w:r>
          </w:p>
          <w:p>
            <w:pPr>
              <w:pStyle w:val="null3"/>
              <w:ind w:firstLine="400"/>
              <w:jc w:val="both"/>
            </w:pPr>
            <w:r>
              <w:rPr>
                <w:rFonts w:ascii="仿宋_GB2312" w:hAnsi="仿宋_GB2312" w:cs="仿宋_GB2312" w:eastAsia="仿宋_GB2312"/>
                <w:sz w:val="20"/>
              </w:rPr>
              <w:t>4.做好招生管理系统服务，</w:t>
            </w:r>
            <w:r>
              <w:rPr>
                <w:rFonts w:ascii="仿宋_GB2312" w:hAnsi="仿宋_GB2312" w:cs="仿宋_GB2312" w:eastAsia="仿宋_GB2312"/>
                <w:sz w:val="20"/>
              </w:rPr>
              <w:t>宣传期限为</w:t>
            </w:r>
            <w:r>
              <w:rPr>
                <w:rFonts w:ascii="仿宋_GB2312" w:hAnsi="仿宋_GB2312" w:cs="仿宋_GB2312" w:eastAsia="仿宋_GB2312"/>
                <w:sz w:val="20"/>
              </w:rPr>
              <w:t>一年</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5.选择不少于2个省外招生考试相关网站发布我院logo图片链接，</w:t>
            </w:r>
            <w:r>
              <w:rPr>
                <w:rFonts w:ascii="仿宋_GB2312" w:hAnsi="仿宋_GB2312" w:cs="仿宋_GB2312" w:eastAsia="仿宋_GB2312"/>
                <w:sz w:val="20"/>
              </w:rPr>
              <w:t>宣传期限为</w:t>
            </w:r>
            <w:r>
              <w:rPr>
                <w:rFonts w:ascii="仿宋_GB2312" w:hAnsi="仿宋_GB2312" w:cs="仿宋_GB2312" w:eastAsia="仿宋_GB2312"/>
                <w:sz w:val="20"/>
              </w:rPr>
              <w:t>一年</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须熟悉国家教育考试招生政策及陕西省教育考试招生相关规定，了解省内普通高中、中职学校基本情况，在招生宣传季安排专人提供各项服务。</w:t>
            </w:r>
          </w:p>
          <w:p>
            <w:pPr>
              <w:pStyle w:val="null3"/>
              <w:ind w:firstLine="402"/>
              <w:jc w:val="both"/>
            </w:pPr>
            <w:r>
              <w:rPr>
                <w:rFonts w:ascii="仿宋_GB2312" w:hAnsi="仿宋_GB2312" w:cs="仿宋_GB2312" w:eastAsia="仿宋_GB2312"/>
                <w:sz w:val="20"/>
                <w:b/>
              </w:rPr>
              <w:t>四</w:t>
            </w:r>
            <w:r>
              <w:rPr>
                <w:rFonts w:ascii="仿宋_GB2312" w:hAnsi="仿宋_GB2312" w:cs="仿宋_GB2312" w:eastAsia="仿宋_GB2312"/>
                <w:sz w:val="20"/>
                <w:b/>
              </w:rPr>
              <w:t>、商务要求</w:t>
            </w:r>
          </w:p>
          <w:p>
            <w:pPr>
              <w:pStyle w:val="null3"/>
              <w:ind w:firstLine="400"/>
              <w:jc w:val="both"/>
            </w:pPr>
            <w:r>
              <w:rPr>
                <w:rFonts w:ascii="仿宋_GB2312" w:hAnsi="仿宋_GB2312" w:cs="仿宋_GB2312" w:eastAsia="仿宋_GB2312"/>
                <w:sz w:val="20"/>
              </w:rPr>
              <w:t>（一）服务期限</w:t>
            </w:r>
          </w:p>
          <w:p>
            <w:pPr>
              <w:pStyle w:val="null3"/>
              <w:ind w:firstLine="560"/>
            </w:pPr>
            <w:r>
              <w:rPr>
                <w:rFonts w:ascii="仿宋_GB2312" w:hAnsi="仿宋_GB2312" w:cs="仿宋_GB2312" w:eastAsia="仿宋_GB2312"/>
                <w:sz w:val="20"/>
              </w:rPr>
              <w:t>自合同签订之日起一年</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在完成合同签订后，甲方需要支付预付款项，为总金额的</w:t>
            </w:r>
            <w:r>
              <w:rPr>
                <w:rFonts w:ascii="仿宋_GB2312" w:hAnsi="仿宋_GB2312" w:cs="仿宋_GB2312" w:eastAsia="仿宋_GB2312"/>
                <w:sz w:val="20"/>
              </w:rPr>
              <w:t>40%；在完成服务并通过甲方验收后一次性支付剩余款项，为总金额的60%。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在完成服务并通过甲方验收后 ，供应商须提供正式的税务发票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招生宣传服务内容和要求的理解提供整体服务实施方案，方案内容结合学校的办学特色、目标人群、市场需求等因素，利用网络宣传、传统媒体、线下覆盖及配套服务等方法确保方案具有针对性、吸引力和可操作性； 1、理解程度高，整体服务实施方案切实可行，完全突出学校的办学特色，对目标人群的深度洞察力强，宣传方案传播策略的水平及媒介应用能力强的，得32分； 2、理解程度较高，整体服务实施方案比较可行，能够突出学校的办学特色，对目标人群的深度洞察力较强，宣传方案传播策略的水平及媒介应用能力较强的，得27分； 3、理解程度一般，整体服务实施方案一般，基本突出学校的办学特色，对目标人群的深度洞察力一般，宣传方案传播策略的水平及媒介应用能力一般的，得22分； 未提供不得分。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有合理的阶段划分，各阶段有明确的工作目标、有可行的执行计划与时间表等； 1.方案详细、科学合理、切实可行的，得12分； 2.方案内容一般、合理可行的，得9分； 3.没有按招标文件要求提供方案（或方案被评定为不可行），得6分； 未提供不得分 。</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为保障服务质量及服务的稳定性，供应商结合本项目要求，配备具备相关项目经验且服务好、专业能力强的服务团队，人员安排科学、合理、完全满足采购需求，得12分；人员安排基本满足实际需要，得9分；人员安排需要优化后才能满足实际需要，得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合作资源</w:t>
            </w:r>
          </w:p>
        </w:tc>
        <w:tc>
          <w:tcPr>
            <w:tcW w:type="dxa" w:w="2492"/>
          </w:tcPr>
          <w:p>
            <w:pPr>
              <w:pStyle w:val="null3"/>
            </w:pPr>
            <w:r>
              <w:rPr>
                <w:rFonts w:ascii="仿宋_GB2312" w:hAnsi="仿宋_GB2312" w:cs="仿宋_GB2312" w:eastAsia="仿宋_GB2312"/>
              </w:rPr>
              <w:t>供应商拥有同类“招生宣传”合作资源的网站、微信微博公众平台等，每提供1个得1分，最多得10分，不提供的不得分。注：出具相关证明材料或截图并加盖公章，未提供不得分。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渠道资源</w:t>
            </w:r>
          </w:p>
        </w:tc>
        <w:tc>
          <w:tcPr>
            <w:tcW w:type="dxa" w:w="2492"/>
          </w:tcPr>
          <w:p>
            <w:pPr>
              <w:pStyle w:val="null3"/>
            </w:pPr>
            <w:r>
              <w:rPr>
                <w:rFonts w:ascii="仿宋_GB2312" w:hAnsi="仿宋_GB2312" w:cs="仿宋_GB2312" w:eastAsia="仿宋_GB2312"/>
              </w:rPr>
              <w:t>供应商具有与网络宣传或传统媒体的战略合作经验，每提供1份合作证明得1分，本项最高得5分. 注：需提供相关证明材料并加盖公章，未提供不得分。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风险预案1</w:t>
            </w:r>
          </w:p>
        </w:tc>
        <w:tc>
          <w:tcPr>
            <w:tcW w:type="dxa" w:w="2492"/>
          </w:tcPr>
          <w:p>
            <w:pPr>
              <w:pStyle w:val="null3"/>
            </w:pPr>
            <w:r>
              <w:rPr>
                <w:rFonts w:ascii="仿宋_GB2312" w:hAnsi="仿宋_GB2312" w:cs="仿宋_GB2312" w:eastAsia="仿宋_GB2312"/>
              </w:rPr>
              <w:t>在招生宣传执行过程中因不可抗力因素导致宣传内容临时调整或漏播，供应商应有提前告知机制，根据方案响应程度进行赋分： 方案内容详细，可执行力强，得5分； 方案内容简单，执行力较弱，得3分；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风险预案2</w:t>
            </w:r>
          </w:p>
        </w:tc>
        <w:tc>
          <w:tcPr>
            <w:tcW w:type="dxa" w:w="2492"/>
          </w:tcPr>
          <w:p>
            <w:pPr>
              <w:pStyle w:val="null3"/>
            </w:pPr>
            <w:r>
              <w:rPr>
                <w:rFonts w:ascii="仿宋_GB2312" w:hAnsi="仿宋_GB2312" w:cs="仿宋_GB2312" w:eastAsia="仿宋_GB2312"/>
              </w:rPr>
              <w:t>在招生宣传执行过程中因不可抗力因素导致宣传内容临时调整或漏播，供应商应有具体响应方案，根据方案响应程度进行赋分： 有详细的响应方案的，得4分；未提供不得分；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要求提供2022年1月1日起至今的同类服务项目业绩，需提供合同扫描盖章件；每提供一份得2分，最高得10分，未提供不得分；（注：合同扫描盖章件至少具备首页、内容页及签字盖章页）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