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ascii="仿宋" w:hAnsi="仿宋" w:eastAsia="仿宋" w:cs="仿宋_GB2312"/>
        </w:rPr>
      </w:pPr>
      <w:bookmarkStart w:id="0" w:name="_Toc29389"/>
      <w:r>
        <w:rPr>
          <w:rFonts w:hint="eastAsia" w:ascii="仿宋" w:hAnsi="仿宋" w:eastAsia="仿宋" w:cs="仿宋_GB2312"/>
        </w:rPr>
        <w:t>投标人认为有必要说明的其他资料</w:t>
      </w:r>
      <w:bookmarkEnd w:id="0"/>
    </w:p>
    <w:p/>
    <w:p>
      <w:pPr>
        <w:pStyle w:val="2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53CA4C3E"/>
    <w:rsid w:val="53CA4C3E"/>
    <w:rsid w:val="631A5C8D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陕西中技招标有限公司</cp:lastModifiedBy>
  <dcterms:modified xsi:type="dcterms:W3CDTF">2023-11-08T06:24:02Z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20A8F67EC07B43968A7EEA12DBEE0F3B_11</vt:lpwstr>
  </property>
</Properties>
</file>