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B7543">
      <w:pPr>
        <w:numPr>
          <w:ilvl w:val="0"/>
          <w:numId w:val="0"/>
        </w:numPr>
        <w:tabs>
          <w:tab w:val="left" w:pos="5580"/>
        </w:tabs>
        <w:spacing w:before="120" w:line="360" w:lineRule="auto"/>
        <w:outlineLvl w:val="0"/>
        <w:rPr>
          <w:rFonts w:hint="eastAsia" w:ascii="仿宋" w:hAnsi="仿宋" w:eastAsia="仿宋" w:cs="仿宋"/>
          <w:b/>
          <w:bCs/>
          <w:color w:val="auto"/>
          <w:kern w:val="2"/>
          <w:sz w:val="24"/>
          <w:szCs w:val="24"/>
          <w:lang w:val="en-US" w:eastAsia="zh-CN" w:bidi="ar-SA"/>
        </w:rPr>
      </w:pPr>
      <w:r>
        <w:rPr>
          <w:rFonts w:hint="eastAsia" w:ascii="仿宋" w:hAnsi="仿宋" w:eastAsia="仿宋" w:cs="仿宋"/>
          <w:b/>
          <w:bCs/>
          <w:color w:val="auto"/>
          <w:kern w:val="2"/>
          <w:sz w:val="24"/>
          <w:szCs w:val="24"/>
          <w:lang w:val="en-US" w:eastAsia="zh-CN" w:bidi="ar-SA"/>
        </w:rPr>
        <w:t>资格证明文件</w:t>
      </w:r>
    </w:p>
    <w:p w14:paraId="0ADFDB8E">
      <w:pPr>
        <w:numPr>
          <w:ilvl w:val="0"/>
          <w:numId w:val="0"/>
        </w:numPr>
        <w:tabs>
          <w:tab w:val="left" w:pos="5580"/>
        </w:tabs>
        <w:spacing w:before="120" w:line="360" w:lineRule="auto"/>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56AA7408">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2、</w:t>
      </w:r>
      <w:r>
        <w:rPr>
          <w:rFonts w:hint="eastAsia" w:ascii="仿宋" w:hAnsi="仿宋" w:eastAsia="仿宋" w:cs="仿宋"/>
          <w:color w:val="auto"/>
          <w:sz w:val="24"/>
          <w:szCs w:val="24"/>
        </w:rPr>
        <w:t>具有良好的商业信誉和健全的财务会计制度（提供202</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或202</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 xml:space="preserve">年度财务审计报告或开标前6个月内银行资信证明或财政部门认可的政府采购专业担保机构出具的投标担保函）； </w:t>
      </w:r>
    </w:p>
    <w:p w14:paraId="20120434">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3、</w:t>
      </w:r>
      <w:r>
        <w:rPr>
          <w:rFonts w:hint="eastAsia" w:ascii="仿宋" w:hAnsi="仿宋" w:eastAsia="仿宋" w:cs="仿宋"/>
          <w:color w:val="auto"/>
          <w:sz w:val="24"/>
          <w:szCs w:val="24"/>
        </w:rPr>
        <w:t xml:space="preserve">具有履行合同所必需的设备和专业技术能力的书面声明（格式详见附件）； </w:t>
      </w:r>
    </w:p>
    <w:p w14:paraId="6FF78010">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kern w:val="2"/>
          <w:sz w:val="24"/>
          <w:szCs w:val="24"/>
          <w:lang w:val="en-US" w:eastAsia="zh-CN" w:bidi="ar-SA"/>
        </w:rPr>
        <w:t>4、</w:t>
      </w:r>
      <w:r>
        <w:rPr>
          <w:rFonts w:hint="eastAsia" w:ascii="仿宋" w:hAnsi="仿宋" w:eastAsia="仿宋" w:cs="仿宋"/>
          <w:color w:val="auto"/>
          <w:sz w:val="24"/>
          <w:szCs w:val="24"/>
        </w:rPr>
        <w:t xml:space="preserve">具有依法缴纳税收和社会保障资金的良好记录（提供开标前12个月内任一月份的社保和缴纳税收的证明，依法不需要缴纳社会保障资金、免税或无须缴纳税款的供应商，应提供相关证明文件)； </w:t>
      </w:r>
    </w:p>
    <w:p w14:paraId="5ECA0F8B">
      <w:pPr>
        <w:numPr>
          <w:ilvl w:val="0"/>
          <w:numId w:val="0"/>
        </w:numPr>
        <w:tabs>
          <w:tab w:val="left" w:pos="5580"/>
        </w:tabs>
        <w:spacing w:before="120" w:line="360" w:lineRule="auto"/>
        <w:ind w:left="0" w:leftChars="0" w:firstLine="0" w:firstLineChars="0"/>
        <w:outlineLvl w:val="9"/>
        <w:rPr>
          <w:rFonts w:hint="eastAsia" w:ascii="仿宋" w:hAnsi="仿宋" w:eastAsia="仿宋" w:cs="仿宋"/>
          <w:color w:val="auto"/>
          <w:sz w:val="24"/>
          <w:szCs w:val="24"/>
          <w:lang w:eastAsia="zh-CN"/>
        </w:rPr>
      </w:pPr>
      <w:r>
        <w:rPr>
          <w:rFonts w:hint="eastAsia" w:ascii="仿宋" w:hAnsi="仿宋" w:eastAsia="仿宋" w:cs="仿宋"/>
          <w:color w:val="auto"/>
          <w:kern w:val="2"/>
          <w:sz w:val="24"/>
          <w:szCs w:val="24"/>
          <w:lang w:val="en-US" w:eastAsia="zh-CN" w:bidi="ar-SA"/>
        </w:rPr>
        <w:t>5、</w:t>
      </w:r>
      <w:r>
        <w:rPr>
          <w:rFonts w:hint="eastAsia" w:ascii="仿宋" w:hAnsi="仿宋" w:eastAsia="仿宋" w:cs="仿宋"/>
          <w:color w:val="auto"/>
          <w:sz w:val="24"/>
          <w:szCs w:val="24"/>
        </w:rPr>
        <w:t>参加政府采购活动前 3 年内在经营活动中没有重大违法记录的书面声明（格式详见附件）</w:t>
      </w:r>
      <w:r>
        <w:rPr>
          <w:rFonts w:hint="eastAsia" w:ascii="仿宋" w:hAnsi="仿宋" w:eastAsia="仿宋" w:cs="仿宋"/>
          <w:color w:val="auto"/>
          <w:sz w:val="24"/>
          <w:szCs w:val="24"/>
          <w:lang w:eastAsia="zh-CN"/>
        </w:rPr>
        <w:t>；</w:t>
      </w:r>
    </w:p>
    <w:p w14:paraId="0A1D0887">
      <w:pPr>
        <w:numPr>
          <w:ilvl w:val="0"/>
          <w:numId w:val="0"/>
        </w:numPr>
        <w:spacing w:line="360" w:lineRule="auto"/>
        <w:ind w:left="0" w:leftChars="0" w:firstLine="0" w:firstLineChars="0"/>
        <w:outlineLvl w:val="9"/>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供应商须具备测绘主管部门颁发乙级以上（含乙级）测绘资质(专业类别须涵盖本次招标内容)。</w:t>
      </w:r>
    </w:p>
    <w:p w14:paraId="27E01A75">
      <w:pPr>
        <w:rPr>
          <w:rFonts w:hint="eastAsia" w:ascii="仿宋" w:hAnsi="仿宋" w:eastAsia="仿宋" w:cs="仿宋"/>
          <w:color w:val="auto"/>
          <w:sz w:val="24"/>
          <w:szCs w:val="24"/>
        </w:rPr>
      </w:pPr>
      <w:r>
        <w:rPr>
          <w:rFonts w:hint="eastAsia" w:ascii="仿宋" w:hAnsi="仿宋" w:eastAsia="仿宋" w:cs="仿宋"/>
          <w:color w:val="auto"/>
          <w:sz w:val="24"/>
          <w:szCs w:val="24"/>
        </w:rPr>
        <w:br w:type="page"/>
      </w:r>
    </w:p>
    <w:p w14:paraId="74A85CB3">
      <w:pPr>
        <w:outlineLvl w:val="9"/>
        <w:rPr>
          <w:rFonts w:hint="eastAsia"/>
          <w:color w:val="auto"/>
        </w:rPr>
      </w:pPr>
    </w:p>
    <w:p w14:paraId="00F34576">
      <w:pPr>
        <w:numPr>
          <w:ilvl w:val="0"/>
          <w:numId w:val="0"/>
        </w:numPr>
        <w:tabs>
          <w:tab w:val="left" w:pos="5580"/>
        </w:tabs>
        <w:spacing w:before="120" w:line="360" w:lineRule="auto"/>
        <w:outlineLvl w:val="0"/>
        <w:rPr>
          <w:rFonts w:hint="eastAsia" w:ascii="仿宋" w:hAnsi="仿宋" w:eastAsia="仿宋" w:cs="仿宋"/>
          <w:bCs/>
          <w:color w:val="auto"/>
          <w:sz w:val="24"/>
        </w:rPr>
      </w:pPr>
      <w:r>
        <w:rPr>
          <w:rFonts w:hint="eastAsia" w:ascii="仿宋" w:hAnsi="仿宋" w:eastAsia="仿宋" w:cs="仿宋"/>
          <w:bCs/>
          <w:color w:val="auto"/>
          <w:sz w:val="24"/>
        </w:rPr>
        <w:t>1、</w:t>
      </w:r>
      <w:r>
        <w:rPr>
          <w:rFonts w:hint="eastAsia" w:ascii="仿宋" w:hAnsi="仿宋" w:eastAsia="仿宋" w:cs="仿宋"/>
          <w:color w:val="auto"/>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bCs/>
          <w:color w:val="auto"/>
          <w:sz w:val="24"/>
        </w:rPr>
        <w:t>；</w:t>
      </w:r>
    </w:p>
    <w:p w14:paraId="3FDF4367">
      <w:pPr>
        <w:pStyle w:val="7"/>
        <w:tabs>
          <w:tab w:val="left" w:pos="5580"/>
        </w:tabs>
        <w:spacing w:before="120" w:line="360" w:lineRule="auto"/>
        <w:ind w:firstLine="294" w:firstLineChars="147"/>
        <w:rPr>
          <w:rFonts w:ascii="仿宋" w:hAnsi="仿宋" w:eastAsia="仿宋" w:cs="仿宋"/>
          <w:bCs/>
          <w:color w:val="auto"/>
          <w:szCs w:val="24"/>
        </w:rPr>
      </w:pPr>
    </w:p>
    <w:p w14:paraId="22A5CFD1">
      <w:pPr>
        <w:tabs>
          <w:tab w:val="left" w:pos="5580"/>
        </w:tabs>
        <w:spacing w:before="120" w:line="360" w:lineRule="auto"/>
        <w:rPr>
          <w:rFonts w:hint="eastAsia" w:ascii="仿宋" w:hAnsi="仿宋" w:eastAsia="仿宋" w:cs="仿宋"/>
          <w:bCs/>
          <w:color w:val="auto"/>
          <w:sz w:val="24"/>
        </w:rPr>
      </w:pPr>
    </w:p>
    <w:p w14:paraId="1A9BB528">
      <w:pPr>
        <w:tabs>
          <w:tab w:val="left" w:pos="5580"/>
        </w:tabs>
        <w:spacing w:before="120" w:line="360" w:lineRule="auto"/>
        <w:rPr>
          <w:rFonts w:hint="eastAsia" w:ascii="仿宋" w:hAnsi="仿宋" w:eastAsia="仿宋" w:cs="仿宋"/>
          <w:bCs/>
          <w:color w:val="auto"/>
          <w:sz w:val="24"/>
        </w:rPr>
      </w:pPr>
    </w:p>
    <w:p w14:paraId="07B6147E">
      <w:pPr>
        <w:tabs>
          <w:tab w:val="left" w:pos="5580"/>
        </w:tabs>
        <w:spacing w:before="120" w:line="360" w:lineRule="auto"/>
        <w:rPr>
          <w:rFonts w:hint="eastAsia" w:ascii="仿宋" w:hAnsi="仿宋" w:eastAsia="仿宋" w:cs="仿宋"/>
          <w:bCs/>
          <w:color w:val="auto"/>
          <w:sz w:val="24"/>
        </w:rPr>
      </w:pPr>
    </w:p>
    <w:p w14:paraId="1303FC34">
      <w:pPr>
        <w:tabs>
          <w:tab w:val="left" w:pos="5580"/>
        </w:tabs>
        <w:spacing w:before="120" w:line="360" w:lineRule="auto"/>
        <w:rPr>
          <w:rFonts w:hint="eastAsia" w:ascii="仿宋" w:hAnsi="仿宋" w:eastAsia="仿宋" w:cs="仿宋"/>
          <w:bCs/>
          <w:color w:val="auto"/>
          <w:sz w:val="24"/>
        </w:rPr>
      </w:pPr>
    </w:p>
    <w:p w14:paraId="4113D609">
      <w:pPr>
        <w:tabs>
          <w:tab w:val="left" w:pos="5580"/>
        </w:tabs>
        <w:spacing w:before="120" w:line="360" w:lineRule="auto"/>
        <w:rPr>
          <w:rFonts w:hint="eastAsia" w:ascii="仿宋" w:hAnsi="仿宋" w:eastAsia="仿宋" w:cs="仿宋"/>
          <w:bCs/>
          <w:color w:val="auto"/>
          <w:sz w:val="24"/>
        </w:rPr>
      </w:pPr>
    </w:p>
    <w:p w14:paraId="451D35BB">
      <w:pPr>
        <w:tabs>
          <w:tab w:val="left" w:pos="5580"/>
        </w:tabs>
        <w:spacing w:before="120" w:line="360" w:lineRule="auto"/>
        <w:rPr>
          <w:rFonts w:hint="eastAsia" w:ascii="仿宋" w:hAnsi="仿宋" w:eastAsia="仿宋" w:cs="仿宋"/>
          <w:bCs/>
          <w:color w:val="auto"/>
          <w:sz w:val="24"/>
        </w:rPr>
      </w:pPr>
    </w:p>
    <w:p w14:paraId="4AC6FEE2">
      <w:pPr>
        <w:tabs>
          <w:tab w:val="left" w:pos="5580"/>
        </w:tabs>
        <w:spacing w:before="120" w:line="360" w:lineRule="auto"/>
        <w:rPr>
          <w:rFonts w:hint="eastAsia" w:ascii="仿宋" w:hAnsi="仿宋" w:eastAsia="仿宋" w:cs="仿宋"/>
          <w:bCs/>
          <w:color w:val="auto"/>
          <w:sz w:val="24"/>
        </w:rPr>
      </w:pPr>
    </w:p>
    <w:p w14:paraId="363CA6B1">
      <w:pPr>
        <w:tabs>
          <w:tab w:val="left" w:pos="5580"/>
        </w:tabs>
        <w:spacing w:before="120" w:line="360" w:lineRule="auto"/>
        <w:rPr>
          <w:rFonts w:hint="eastAsia" w:ascii="仿宋" w:hAnsi="仿宋" w:eastAsia="仿宋" w:cs="仿宋"/>
          <w:bCs/>
          <w:color w:val="auto"/>
          <w:sz w:val="24"/>
        </w:rPr>
      </w:pPr>
    </w:p>
    <w:p w14:paraId="015701EF">
      <w:pPr>
        <w:tabs>
          <w:tab w:val="left" w:pos="5580"/>
        </w:tabs>
        <w:spacing w:before="120" w:line="360" w:lineRule="auto"/>
        <w:rPr>
          <w:rFonts w:hint="eastAsia" w:ascii="仿宋" w:hAnsi="仿宋" w:eastAsia="仿宋" w:cs="仿宋"/>
          <w:bCs/>
          <w:color w:val="auto"/>
          <w:sz w:val="24"/>
        </w:rPr>
      </w:pPr>
    </w:p>
    <w:p w14:paraId="38E48353">
      <w:pPr>
        <w:tabs>
          <w:tab w:val="left" w:pos="5580"/>
        </w:tabs>
        <w:spacing w:before="120" w:line="360" w:lineRule="auto"/>
        <w:rPr>
          <w:rFonts w:hint="eastAsia" w:ascii="仿宋" w:hAnsi="仿宋" w:eastAsia="仿宋" w:cs="仿宋"/>
          <w:bCs/>
          <w:color w:val="auto"/>
          <w:sz w:val="24"/>
        </w:rPr>
      </w:pPr>
    </w:p>
    <w:p w14:paraId="43C2DDDD">
      <w:pPr>
        <w:tabs>
          <w:tab w:val="left" w:pos="5580"/>
        </w:tabs>
        <w:spacing w:before="120" w:line="360" w:lineRule="auto"/>
        <w:rPr>
          <w:rFonts w:hint="eastAsia" w:ascii="仿宋" w:hAnsi="仿宋" w:eastAsia="仿宋" w:cs="仿宋"/>
          <w:bCs/>
          <w:color w:val="auto"/>
          <w:sz w:val="24"/>
        </w:rPr>
      </w:pPr>
    </w:p>
    <w:p w14:paraId="55A1D672">
      <w:pPr>
        <w:adjustRightInd w:val="0"/>
        <w:spacing w:line="360" w:lineRule="auto"/>
        <w:textAlignment w:val="baseline"/>
        <w:outlineLvl w:val="0"/>
        <w:rPr>
          <w:rFonts w:hint="eastAsia" w:ascii="仿宋" w:hAnsi="仿宋" w:eastAsia="仿宋" w:cs="仿宋"/>
          <w:color w:val="auto"/>
          <w:kern w:val="1"/>
          <w:sz w:val="24"/>
          <w:szCs w:val="24"/>
        </w:rPr>
      </w:pPr>
      <w:bookmarkStart w:id="0" w:name="_Toc29033"/>
      <w:r>
        <w:rPr>
          <w:rFonts w:hint="eastAsia" w:ascii="仿宋" w:hAnsi="仿宋" w:eastAsia="仿宋" w:cs="仿宋"/>
          <w:color w:val="auto"/>
          <w:kern w:val="1"/>
          <w:sz w:val="24"/>
          <w:szCs w:val="24"/>
        </w:rPr>
        <w:br w:type="page"/>
      </w:r>
      <w:r>
        <w:rPr>
          <w:rFonts w:hint="eastAsia" w:ascii="仿宋" w:hAnsi="仿宋" w:eastAsia="仿宋" w:cs="仿宋"/>
          <w:color w:val="auto"/>
          <w:kern w:val="1"/>
          <w:sz w:val="24"/>
          <w:szCs w:val="24"/>
        </w:rPr>
        <w:t>2</w:t>
      </w:r>
      <w:bookmarkEnd w:id="0"/>
      <w:r>
        <w:rPr>
          <w:rFonts w:hint="eastAsia" w:ascii="仿宋" w:hAnsi="仿宋" w:eastAsia="仿宋" w:cs="仿宋"/>
          <w:color w:val="auto"/>
          <w:kern w:val="1"/>
          <w:sz w:val="24"/>
          <w:szCs w:val="24"/>
          <w:lang w:eastAsia="zh-CN"/>
        </w:rPr>
        <w:t>、</w:t>
      </w:r>
      <w:r>
        <w:rPr>
          <w:rFonts w:hint="eastAsia" w:ascii="仿宋" w:hAnsi="仿宋" w:eastAsia="仿宋" w:cs="仿宋"/>
          <w:color w:val="auto"/>
          <w:sz w:val="24"/>
          <w:szCs w:val="24"/>
        </w:rPr>
        <w:t>具有良好的商业信誉和健全的财务会计制度（提供202</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或202</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年度财务审计报告或开标前6个月内银行资信证明或财政部门认可的政府采购专业担保机构出具的投标担保函）</w:t>
      </w:r>
      <w:r>
        <w:rPr>
          <w:rFonts w:hint="eastAsia" w:ascii="仿宋" w:hAnsi="仿宋" w:eastAsia="仿宋" w:cs="仿宋"/>
          <w:color w:val="auto"/>
          <w:kern w:val="1"/>
          <w:sz w:val="24"/>
          <w:szCs w:val="24"/>
        </w:rPr>
        <w:t>；</w:t>
      </w:r>
    </w:p>
    <w:p w14:paraId="394A9862">
      <w:pPr>
        <w:spacing w:line="360" w:lineRule="auto"/>
        <w:outlineLvl w:val="0"/>
        <w:rPr>
          <w:rFonts w:hint="eastAsia" w:ascii="仿宋" w:hAnsi="仿宋" w:eastAsia="仿宋" w:cs="仿宋"/>
          <w:b/>
          <w:bCs/>
          <w:color w:val="auto"/>
          <w:kern w:val="1"/>
          <w:sz w:val="24"/>
          <w:szCs w:val="24"/>
        </w:rPr>
      </w:pPr>
      <w:r>
        <w:rPr>
          <w:rFonts w:hint="eastAsia" w:ascii="仿宋" w:hAnsi="仿宋" w:eastAsia="仿宋" w:cs="仿宋"/>
          <w:color w:val="auto"/>
          <w:kern w:val="1"/>
        </w:rPr>
        <w:br w:type="page"/>
      </w:r>
      <w:bookmarkStart w:id="1" w:name="_Toc13233"/>
      <w:bookmarkStart w:id="2" w:name="_Toc7791"/>
      <w:bookmarkStart w:id="3" w:name="_Toc31455"/>
      <w:bookmarkStart w:id="4" w:name="_Toc13516"/>
      <w:bookmarkStart w:id="5" w:name="_Toc30477"/>
      <w:bookmarkStart w:id="6" w:name="_Toc2910"/>
      <w:bookmarkStart w:id="7" w:name="_Toc15615"/>
      <w:bookmarkStart w:id="8" w:name="_Toc13195"/>
      <w:bookmarkStart w:id="9" w:name="_Toc5468"/>
      <w:bookmarkStart w:id="10" w:name="_Toc4788"/>
      <w:bookmarkStart w:id="11" w:name="_Toc10778"/>
      <w:bookmarkStart w:id="12" w:name="_Toc26860"/>
      <w:bookmarkStart w:id="13" w:name="_Toc27097"/>
      <w:r>
        <w:rPr>
          <w:rFonts w:hint="eastAsia" w:ascii="仿宋" w:hAnsi="仿宋" w:eastAsia="仿宋" w:cs="仿宋"/>
          <w:b w:val="0"/>
          <w:bCs w:val="0"/>
          <w:color w:val="auto"/>
          <w:kern w:val="1"/>
          <w:sz w:val="24"/>
          <w:szCs w:val="24"/>
        </w:rPr>
        <w:t>3</w:t>
      </w:r>
      <w:bookmarkEnd w:id="1"/>
      <w:bookmarkEnd w:id="2"/>
      <w:bookmarkEnd w:id="3"/>
      <w:bookmarkEnd w:id="4"/>
      <w:bookmarkEnd w:id="5"/>
      <w:bookmarkEnd w:id="6"/>
      <w:bookmarkEnd w:id="7"/>
      <w:bookmarkEnd w:id="8"/>
      <w:bookmarkEnd w:id="9"/>
      <w:bookmarkEnd w:id="10"/>
      <w:bookmarkEnd w:id="11"/>
      <w:bookmarkEnd w:id="12"/>
      <w:bookmarkEnd w:id="13"/>
      <w:r>
        <w:rPr>
          <w:rFonts w:hint="eastAsia" w:ascii="仿宋" w:hAnsi="仿宋" w:eastAsia="仿宋" w:cs="仿宋"/>
          <w:b w:val="0"/>
          <w:bCs w:val="0"/>
          <w:color w:val="auto"/>
          <w:kern w:val="1"/>
          <w:sz w:val="24"/>
          <w:szCs w:val="24"/>
          <w:lang w:eastAsia="zh-CN"/>
        </w:rPr>
        <w:t>、</w:t>
      </w:r>
      <w:r>
        <w:rPr>
          <w:rFonts w:hint="eastAsia" w:ascii="仿宋" w:hAnsi="仿宋" w:eastAsia="仿宋" w:cs="仿宋"/>
          <w:b w:val="0"/>
          <w:bCs w:val="0"/>
          <w:color w:val="auto"/>
          <w:sz w:val="24"/>
          <w:szCs w:val="24"/>
        </w:rPr>
        <w:t>具有履行合同所必需的设备和专业技术能力的书面声明（格式详见附件）</w:t>
      </w:r>
    </w:p>
    <w:p w14:paraId="31DF5EA6">
      <w:pPr>
        <w:spacing w:line="360" w:lineRule="auto"/>
        <w:outlineLvl w:val="9"/>
        <w:rPr>
          <w:rFonts w:hint="eastAsia" w:ascii="仿宋" w:hAnsi="仿宋" w:eastAsia="仿宋" w:cs="仿宋"/>
          <w:b/>
          <w:bCs/>
          <w:color w:val="auto"/>
          <w:kern w:val="1"/>
          <w:sz w:val="24"/>
          <w:szCs w:val="24"/>
        </w:rPr>
      </w:pPr>
    </w:p>
    <w:p w14:paraId="6060C090">
      <w:pPr>
        <w:spacing w:line="360" w:lineRule="auto"/>
        <w:rPr>
          <w:rFonts w:hint="default" w:ascii="仿宋" w:hAnsi="仿宋" w:eastAsia="仿宋" w:cs="仿宋"/>
          <w:color w:val="auto"/>
          <w:spacing w:val="4"/>
          <w:sz w:val="24"/>
          <w:szCs w:val="24"/>
          <w:u w:val="single"/>
          <w:lang w:val="en-US"/>
        </w:rPr>
      </w:pPr>
      <w:r>
        <w:rPr>
          <w:rFonts w:hint="eastAsia" w:ascii="仿宋" w:hAnsi="仿宋" w:eastAsia="仿宋" w:cs="仿宋"/>
          <w:color w:val="auto"/>
          <w:spacing w:val="4"/>
          <w:sz w:val="24"/>
          <w:szCs w:val="24"/>
          <w:u w:val="single"/>
          <w:lang w:val="en-US" w:eastAsia="zh-CN"/>
        </w:rPr>
        <w:t xml:space="preserve">致：                   </w:t>
      </w:r>
    </w:p>
    <w:p w14:paraId="37AAFFE5">
      <w:pPr>
        <w:spacing w:before="240" w:beforeLines="100" w:after="120" w:afterLines="50"/>
        <w:ind w:firstLine="620" w:firstLineChars="250"/>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u w:val="single"/>
        </w:rPr>
        <w:t xml:space="preserve">   （供应商名称）    </w:t>
      </w:r>
      <w:r>
        <w:rPr>
          <w:rFonts w:hint="eastAsia" w:ascii="仿宋" w:hAnsi="仿宋" w:eastAsia="仿宋" w:cs="仿宋"/>
          <w:color w:val="auto"/>
          <w:spacing w:val="4"/>
          <w:sz w:val="24"/>
          <w:szCs w:val="24"/>
        </w:rPr>
        <w:t xml:space="preserve"> 于</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年</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月</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日在中华人民共和国境内</w:t>
      </w:r>
      <w:r>
        <w:rPr>
          <w:rFonts w:hint="eastAsia" w:ascii="仿宋" w:hAnsi="仿宋" w:eastAsia="仿宋" w:cs="仿宋"/>
          <w:color w:val="auto"/>
          <w:spacing w:val="4"/>
          <w:sz w:val="24"/>
          <w:szCs w:val="24"/>
          <w:u w:val="single"/>
        </w:rPr>
        <w:t xml:space="preserve">               （详细注册地址）     </w:t>
      </w:r>
      <w:r>
        <w:rPr>
          <w:rFonts w:hint="eastAsia" w:ascii="仿宋" w:hAnsi="仿宋" w:eastAsia="仿宋" w:cs="仿宋"/>
          <w:color w:val="auto"/>
          <w:spacing w:val="4"/>
          <w:sz w:val="24"/>
          <w:szCs w:val="24"/>
        </w:rPr>
        <w:t>合法注册并经营，公司主营业务为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，营业（生产经营）面积为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 xml:space="preserve"> ，现有员工数量为</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，其中与履行本合同相关的专业技术人员有（</w:t>
      </w:r>
      <w:r>
        <w:rPr>
          <w:rFonts w:hint="eastAsia" w:ascii="仿宋" w:hAnsi="仿宋" w:eastAsia="仿宋" w:cs="仿宋"/>
          <w:color w:val="auto"/>
          <w:spacing w:val="4"/>
          <w:sz w:val="24"/>
          <w:szCs w:val="24"/>
          <w:u w:val="single"/>
        </w:rPr>
        <w:t xml:space="preserve">             专业能力、数量        </w:t>
      </w:r>
      <w:r>
        <w:rPr>
          <w:rFonts w:hint="eastAsia" w:ascii="仿宋" w:hAnsi="仿宋" w:eastAsia="仿宋" w:cs="仿宋"/>
          <w:color w:val="auto"/>
          <w:spacing w:val="4"/>
          <w:sz w:val="24"/>
          <w:szCs w:val="24"/>
        </w:rPr>
        <w:t>），本公司郑重承诺，具有履行本合同所必需的设备和专业技术能力。</w:t>
      </w:r>
    </w:p>
    <w:tbl>
      <w:tblPr>
        <w:tblStyle w:val="10"/>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5F02E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25EE623">
            <w:pPr>
              <w:jc w:val="center"/>
              <w:rPr>
                <w:rFonts w:hint="eastAsia" w:ascii="仿宋" w:hAnsi="仿宋" w:eastAsia="仿宋" w:cs="仿宋"/>
                <w:b/>
                <w:color w:val="auto"/>
                <w:sz w:val="24"/>
                <w:szCs w:val="24"/>
              </w:rPr>
            </w:pPr>
            <w:r>
              <w:rPr>
                <w:rFonts w:hint="eastAsia" w:ascii="仿宋" w:hAnsi="仿宋" w:eastAsia="仿宋" w:cs="仿宋"/>
                <w:b/>
                <w:color w:val="auto"/>
                <w:sz w:val="24"/>
                <w:szCs w:val="24"/>
              </w:rPr>
              <w:t>履行合同所必需的设备清单</w:t>
            </w:r>
          </w:p>
        </w:tc>
      </w:tr>
      <w:tr w14:paraId="64B8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36142536">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2693" w:type="dxa"/>
            <w:noWrap w:val="0"/>
            <w:vAlign w:val="center"/>
          </w:tcPr>
          <w:p w14:paraId="2A93D9FA">
            <w:pPr>
              <w:jc w:val="center"/>
              <w:rPr>
                <w:rFonts w:hint="eastAsia" w:ascii="仿宋" w:hAnsi="仿宋" w:eastAsia="仿宋" w:cs="仿宋"/>
                <w:color w:val="auto"/>
                <w:sz w:val="24"/>
                <w:szCs w:val="24"/>
              </w:rPr>
            </w:pPr>
            <w:r>
              <w:rPr>
                <w:rFonts w:hint="eastAsia" w:ascii="仿宋" w:hAnsi="仿宋" w:eastAsia="仿宋" w:cs="仿宋"/>
                <w:color w:val="auto"/>
                <w:sz w:val="24"/>
                <w:szCs w:val="24"/>
              </w:rPr>
              <w:t>设备或材料名称</w:t>
            </w:r>
          </w:p>
        </w:tc>
        <w:tc>
          <w:tcPr>
            <w:tcW w:w="2268" w:type="dxa"/>
            <w:noWrap w:val="0"/>
            <w:vAlign w:val="center"/>
          </w:tcPr>
          <w:p w14:paraId="1DAE1D2B">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品牌及型号</w:t>
            </w:r>
          </w:p>
        </w:tc>
        <w:tc>
          <w:tcPr>
            <w:tcW w:w="851" w:type="dxa"/>
            <w:noWrap w:val="0"/>
            <w:vAlign w:val="center"/>
          </w:tcPr>
          <w:p w14:paraId="25ACD4B3">
            <w:pPr>
              <w:jc w:val="center"/>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2126" w:type="dxa"/>
            <w:noWrap w:val="0"/>
            <w:vAlign w:val="center"/>
          </w:tcPr>
          <w:p w14:paraId="677ECCEE">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备注（自购/租赁）</w:t>
            </w:r>
          </w:p>
        </w:tc>
      </w:tr>
      <w:tr w14:paraId="4FAC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3D3700D9">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2693" w:type="dxa"/>
            <w:noWrap w:val="0"/>
            <w:vAlign w:val="center"/>
          </w:tcPr>
          <w:p w14:paraId="5E6E7131">
            <w:pPr>
              <w:jc w:val="center"/>
              <w:rPr>
                <w:rFonts w:hint="eastAsia" w:ascii="仿宋" w:hAnsi="仿宋" w:eastAsia="仿宋" w:cs="仿宋"/>
                <w:color w:val="auto"/>
                <w:sz w:val="24"/>
                <w:szCs w:val="24"/>
              </w:rPr>
            </w:pPr>
          </w:p>
        </w:tc>
        <w:tc>
          <w:tcPr>
            <w:tcW w:w="2268" w:type="dxa"/>
            <w:noWrap w:val="0"/>
            <w:vAlign w:val="center"/>
          </w:tcPr>
          <w:p w14:paraId="437AC814">
            <w:pPr>
              <w:jc w:val="center"/>
              <w:rPr>
                <w:rFonts w:hint="eastAsia" w:ascii="仿宋" w:hAnsi="仿宋" w:eastAsia="仿宋" w:cs="仿宋"/>
                <w:color w:val="auto"/>
                <w:sz w:val="24"/>
                <w:szCs w:val="24"/>
              </w:rPr>
            </w:pPr>
          </w:p>
        </w:tc>
        <w:tc>
          <w:tcPr>
            <w:tcW w:w="851" w:type="dxa"/>
            <w:noWrap w:val="0"/>
            <w:vAlign w:val="center"/>
          </w:tcPr>
          <w:p w14:paraId="47BBEF62">
            <w:pPr>
              <w:jc w:val="center"/>
              <w:rPr>
                <w:rFonts w:hint="eastAsia" w:ascii="仿宋" w:hAnsi="仿宋" w:eastAsia="仿宋" w:cs="仿宋"/>
                <w:color w:val="auto"/>
                <w:sz w:val="24"/>
                <w:szCs w:val="24"/>
              </w:rPr>
            </w:pPr>
          </w:p>
        </w:tc>
        <w:tc>
          <w:tcPr>
            <w:tcW w:w="2126" w:type="dxa"/>
            <w:noWrap w:val="0"/>
            <w:vAlign w:val="center"/>
          </w:tcPr>
          <w:p w14:paraId="3026309A">
            <w:pPr>
              <w:jc w:val="center"/>
              <w:rPr>
                <w:rFonts w:hint="eastAsia" w:ascii="仿宋" w:hAnsi="仿宋" w:eastAsia="仿宋" w:cs="仿宋"/>
                <w:color w:val="auto"/>
                <w:sz w:val="24"/>
                <w:szCs w:val="24"/>
              </w:rPr>
            </w:pPr>
          </w:p>
        </w:tc>
      </w:tr>
      <w:tr w14:paraId="2380D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56" w:hRule="atLeast"/>
        </w:trPr>
        <w:tc>
          <w:tcPr>
            <w:tcW w:w="709" w:type="dxa"/>
            <w:noWrap w:val="0"/>
            <w:vAlign w:val="center"/>
          </w:tcPr>
          <w:p w14:paraId="149DAAEF">
            <w:pPr>
              <w:jc w:val="center"/>
              <w:rPr>
                <w:rFonts w:hint="eastAsia" w:ascii="仿宋" w:hAnsi="仿宋" w:eastAsia="仿宋" w:cs="仿宋"/>
                <w:color w:val="auto"/>
                <w:sz w:val="24"/>
                <w:szCs w:val="24"/>
              </w:rPr>
            </w:pPr>
            <w:r>
              <w:rPr>
                <w:rFonts w:hint="eastAsia" w:ascii="仿宋" w:hAnsi="仿宋" w:eastAsia="仿宋" w:cs="仿宋"/>
                <w:color w:val="auto"/>
                <w:sz w:val="24"/>
                <w:szCs w:val="24"/>
              </w:rPr>
              <w:t>2</w:t>
            </w:r>
          </w:p>
        </w:tc>
        <w:tc>
          <w:tcPr>
            <w:tcW w:w="2693" w:type="dxa"/>
            <w:noWrap w:val="0"/>
            <w:vAlign w:val="center"/>
          </w:tcPr>
          <w:p w14:paraId="10104476">
            <w:pPr>
              <w:jc w:val="center"/>
              <w:rPr>
                <w:rFonts w:hint="eastAsia" w:ascii="仿宋" w:hAnsi="仿宋" w:eastAsia="仿宋" w:cs="仿宋"/>
                <w:color w:val="auto"/>
                <w:sz w:val="24"/>
                <w:szCs w:val="24"/>
              </w:rPr>
            </w:pPr>
          </w:p>
        </w:tc>
        <w:tc>
          <w:tcPr>
            <w:tcW w:w="2268" w:type="dxa"/>
            <w:noWrap w:val="0"/>
            <w:vAlign w:val="center"/>
          </w:tcPr>
          <w:p w14:paraId="192C39D8">
            <w:pPr>
              <w:jc w:val="center"/>
              <w:rPr>
                <w:rFonts w:hint="eastAsia" w:ascii="仿宋" w:hAnsi="仿宋" w:eastAsia="仿宋" w:cs="仿宋"/>
                <w:color w:val="auto"/>
                <w:sz w:val="24"/>
                <w:szCs w:val="24"/>
              </w:rPr>
            </w:pPr>
          </w:p>
        </w:tc>
        <w:tc>
          <w:tcPr>
            <w:tcW w:w="851" w:type="dxa"/>
            <w:noWrap w:val="0"/>
            <w:vAlign w:val="center"/>
          </w:tcPr>
          <w:p w14:paraId="400E66C2">
            <w:pPr>
              <w:jc w:val="center"/>
              <w:rPr>
                <w:rFonts w:hint="eastAsia" w:ascii="仿宋" w:hAnsi="仿宋" w:eastAsia="仿宋" w:cs="仿宋"/>
                <w:color w:val="auto"/>
                <w:sz w:val="24"/>
                <w:szCs w:val="24"/>
              </w:rPr>
            </w:pPr>
          </w:p>
        </w:tc>
        <w:tc>
          <w:tcPr>
            <w:tcW w:w="2126" w:type="dxa"/>
            <w:noWrap w:val="0"/>
            <w:vAlign w:val="center"/>
          </w:tcPr>
          <w:p w14:paraId="66CCA44F">
            <w:pPr>
              <w:jc w:val="center"/>
              <w:rPr>
                <w:rFonts w:hint="eastAsia" w:ascii="仿宋" w:hAnsi="仿宋" w:eastAsia="仿宋" w:cs="仿宋"/>
                <w:color w:val="auto"/>
                <w:sz w:val="24"/>
                <w:szCs w:val="24"/>
              </w:rPr>
            </w:pPr>
          </w:p>
        </w:tc>
      </w:tr>
      <w:tr w14:paraId="024A9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162B7635">
            <w:pPr>
              <w:jc w:val="center"/>
              <w:rPr>
                <w:rFonts w:hint="eastAsia" w:ascii="仿宋" w:hAnsi="仿宋" w:eastAsia="仿宋" w:cs="仿宋"/>
                <w:color w:val="auto"/>
                <w:sz w:val="24"/>
                <w:szCs w:val="24"/>
              </w:rPr>
            </w:pPr>
            <w:r>
              <w:rPr>
                <w:rFonts w:hint="eastAsia" w:ascii="仿宋" w:hAnsi="仿宋" w:eastAsia="仿宋" w:cs="仿宋"/>
                <w:color w:val="auto"/>
                <w:sz w:val="24"/>
                <w:szCs w:val="24"/>
              </w:rPr>
              <w:t>3</w:t>
            </w:r>
          </w:p>
        </w:tc>
        <w:tc>
          <w:tcPr>
            <w:tcW w:w="2693" w:type="dxa"/>
            <w:noWrap w:val="0"/>
            <w:vAlign w:val="center"/>
          </w:tcPr>
          <w:p w14:paraId="647FA286">
            <w:pPr>
              <w:jc w:val="center"/>
              <w:rPr>
                <w:rFonts w:hint="eastAsia" w:ascii="仿宋" w:hAnsi="仿宋" w:eastAsia="仿宋" w:cs="仿宋"/>
                <w:color w:val="auto"/>
                <w:sz w:val="24"/>
                <w:szCs w:val="24"/>
              </w:rPr>
            </w:pPr>
          </w:p>
        </w:tc>
        <w:tc>
          <w:tcPr>
            <w:tcW w:w="2268" w:type="dxa"/>
            <w:noWrap w:val="0"/>
            <w:vAlign w:val="center"/>
          </w:tcPr>
          <w:p w14:paraId="4957D31B">
            <w:pPr>
              <w:jc w:val="center"/>
              <w:rPr>
                <w:rFonts w:hint="eastAsia" w:ascii="仿宋" w:hAnsi="仿宋" w:eastAsia="仿宋" w:cs="仿宋"/>
                <w:color w:val="auto"/>
                <w:sz w:val="24"/>
                <w:szCs w:val="24"/>
              </w:rPr>
            </w:pPr>
          </w:p>
        </w:tc>
        <w:tc>
          <w:tcPr>
            <w:tcW w:w="851" w:type="dxa"/>
            <w:noWrap w:val="0"/>
            <w:vAlign w:val="center"/>
          </w:tcPr>
          <w:p w14:paraId="39621293">
            <w:pPr>
              <w:jc w:val="center"/>
              <w:rPr>
                <w:rFonts w:hint="eastAsia" w:ascii="仿宋" w:hAnsi="仿宋" w:eastAsia="仿宋" w:cs="仿宋"/>
                <w:color w:val="auto"/>
                <w:sz w:val="24"/>
                <w:szCs w:val="24"/>
              </w:rPr>
            </w:pPr>
          </w:p>
        </w:tc>
        <w:tc>
          <w:tcPr>
            <w:tcW w:w="2126" w:type="dxa"/>
            <w:noWrap w:val="0"/>
            <w:vAlign w:val="center"/>
          </w:tcPr>
          <w:p w14:paraId="562D18E2">
            <w:pPr>
              <w:jc w:val="center"/>
              <w:rPr>
                <w:rFonts w:hint="eastAsia" w:ascii="仿宋" w:hAnsi="仿宋" w:eastAsia="仿宋" w:cs="仿宋"/>
                <w:color w:val="auto"/>
                <w:sz w:val="24"/>
                <w:szCs w:val="24"/>
              </w:rPr>
            </w:pPr>
          </w:p>
        </w:tc>
      </w:tr>
      <w:tr w14:paraId="4FB39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78BDA7E8">
            <w:pPr>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693" w:type="dxa"/>
            <w:noWrap w:val="0"/>
            <w:vAlign w:val="center"/>
          </w:tcPr>
          <w:p w14:paraId="7F490CFB">
            <w:pPr>
              <w:jc w:val="center"/>
              <w:rPr>
                <w:rFonts w:hint="eastAsia" w:ascii="仿宋" w:hAnsi="仿宋" w:eastAsia="仿宋" w:cs="仿宋"/>
                <w:color w:val="auto"/>
                <w:sz w:val="24"/>
                <w:szCs w:val="24"/>
              </w:rPr>
            </w:pPr>
          </w:p>
        </w:tc>
        <w:tc>
          <w:tcPr>
            <w:tcW w:w="2268" w:type="dxa"/>
            <w:noWrap w:val="0"/>
            <w:vAlign w:val="center"/>
          </w:tcPr>
          <w:p w14:paraId="211A0A5C">
            <w:pPr>
              <w:jc w:val="center"/>
              <w:rPr>
                <w:rFonts w:hint="eastAsia" w:ascii="仿宋" w:hAnsi="仿宋" w:eastAsia="仿宋" w:cs="仿宋"/>
                <w:color w:val="auto"/>
                <w:sz w:val="24"/>
                <w:szCs w:val="24"/>
              </w:rPr>
            </w:pPr>
          </w:p>
        </w:tc>
        <w:tc>
          <w:tcPr>
            <w:tcW w:w="851" w:type="dxa"/>
            <w:noWrap w:val="0"/>
            <w:vAlign w:val="center"/>
          </w:tcPr>
          <w:p w14:paraId="0D959E4A">
            <w:pPr>
              <w:jc w:val="center"/>
              <w:rPr>
                <w:rFonts w:hint="eastAsia" w:ascii="仿宋" w:hAnsi="仿宋" w:eastAsia="仿宋" w:cs="仿宋"/>
                <w:color w:val="auto"/>
                <w:sz w:val="24"/>
                <w:szCs w:val="24"/>
              </w:rPr>
            </w:pPr>
          </w:p>
        </w:tc>
        <w:tc>
          <w:tcPr>
            <w:tcW w:w="2126" w:type="dxa"/>
            <w:noWrap w:val="0"/>
            <w:vAlign w:val="center"/>
          </w:tcPr>
          <w:p w14:paraId="63B34E76">
            <w:pPr>
              <w:jc w:val="center"/>
              <w:rPr>
                <w:rFonts w:hint="eastAsia" w:ascii="仿宋" w:hAnsi="仿宋" w:eastAsia="仿宋" w:cs="仿宋"/>
                <w:color w:val="auto"/>
                <w:sz w:val="24"/>
                <w:szCs w:val="24"/>
              </w:rPr>
            </w:pPr>
          </w:p>
        </w:tc>
      </w:tr>
    </w:tbl>
    <w:p w14:paraId="56175C3F">
      <w:pPr>
        <w:spacing w:before="240" w:beforeLines="100" w:after="120" w:afterLines="50"/>
        <w:ind w:firstLine="170"/>
        <w:rPr>
          <w:rFonts w:hint="eastAsia" w:ascii="仿宋" w:hAnsi="仿宋" w:eastAsia="仿宋" w:cs="仿宋"/>
          <w:color w:val="auto"/>
          <w:spacing w:val="4"/>
          <w:sz w:val="24"/>
          <w:szCs w:val="24"/>
        </w:rPr>
      </w:pPr>
    </w:p>
    <w:p w14:paraId="0902EB2E">
      <w:pPr>
        <w:pStyle w:val="6"/>
        <w:spacing w:line="360" w:lineRule="auto"/>
        <w:rPr>
          <w:rFonts w:hint="eastAsia" w:ascii="仿宋" w:hAnsi="仿宋" w:eastAsia="仿宋" w:cs="仿宋"/>
          <w:color w:val="auto"/>
          <w:spacing w:val="4"/>
          <w:sz w:val="24"/>
          <w:szCs w:val="24"/>
        </w:rPr>
      </w:pPr>
    </w:p>
    <w:p w14:paraId="637BD76F">
      <w:pPr>
        <w:spacing w:line="360" w:lineRule="auto"/>
        <w:rPr>
          <w:rFonts w:hint="eastAsia" w:ascii="仿宋" w:hAnsi="仿宋" w:eastAsia="仿宋" w:cs="仿宋"/>
          <w:color w:val="auto"/>
          <w:sz w:val="24"/>
          <w:szCs w:val="24"/>
        </w:rPr>
      </w:pPr>
    </w:p>
    <w:p w14:paraId="4E334902">
      <w:pPr>
        <w:spacing w:line="360" w:lineRule="auto"/>
        <w:rPr>
          <w:rFonts w:hint="eastAsia" w:ascii="仿宋" w:hAnsi="仿宋" w:eastAsia="仿宋" w:cs="仿宋"/>
          <w:color w:val="auto"/>
          <w:sz w:val="24"/>
          <w:szCs w:val="24"/>
        </w:rPr>
      </w:pPr>
    </w:p>
    <w:p w14:paraId="3A0D8ADC">
      <w:pPr>
        <w:spacing w:line="360" w:lineRule="auto"/>
        <w:rPr>
          <w:rFonts w:hint="eastAsia" w:ascii="仿宋" w:hAnsi="仿宋" w:eastAsia="仿宋" w:cs="仿宋"/>
          <w:color w:val="auto"/>
          <w:sz w:val="24"/>
          <w:szCs w:val="24"/>
        </w:rPr>
      </w:pPr>
    </w:p>
    <w:p w14:paraId="5C2A1D63">
      <w:pPr>
        <w:spacing w:line="360" w:lineRule="auto"/>
        <w:rPr>
          <w:rFonts w:hint="eastAsia" w:ascii="仿宋" w:hAnsi="仿宋" w:eastAsia="仿宋" w:cs="仿宋"/>
          <w:color w:val="auto"/>
          <w:sz w:val="24"/>
          <w:szCs w:val="24"/>
        </w:rPr>
      </w:pPr>
    </w:p>
    <w:p w14:paraId="32261295">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1C157071">
      <w:pPr>
        <w:spacing w:line="360" w:lineRule="auto"/>
        <w:ind w:firstLine="2650" w:firstLineChars="1100"/>
        <w:rPr>
          <w:rFonts w:hint="eastAsia" w:ascii="仿宋" w:hAnsi="仿宋" w:eastAsia="仿宋" w:cs="仿宋"/>
          <w:color w:val="auto"/>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3346052F">
      <w:pPr>
        <w:pStyle w:val="3"/>
        <w:spacing w:line="360" w:lineRule="auto"/>
        <w:outlineLvl w:val="0"/>
        <w:rPr>
          <w:rFonts w:hint="eastAsia" w:ascii="仿宋" w:hAnsi="仿宋" w:eastAsia="仿宋" w:cs="仿宋"/>
          <w:b w:val="0"/>
          <w:bCs/>
          <w:color w:val="auto"/>
          <w:sz w:val="24"/>
          <w:szCs w:val="24"/>
        </w:rPr>
      </w:pPr>
      <w:r>
        <w:rPr>
          <w:rFonts w:hint="eastAsia" w:ascii="仿宋" w:hAnsi="仿宋" w:eastAsia="仿宋" w:cs="仿宋"/>
          <w:b w:val="0"/>
          <w:color w:val="auto"/>
          <w:sz w:val="24"/>
          <w:szCs w:val="24"/>
        </w:rPr>
        <w:br w:type="page"/>
      </w:r>
      <w:bookmarkStart w:id="14" w:name="_Toc23489"/>
      <w:bookmarkStart w:id="15" w:name="_Toc9580"/>
      <w:bookmarkStart w:id="16" w:name="_Toc17566"/>
      <w:bookmarkStart w:id="17" w:name="_Toc22377"/>
      <w:bookmarkStart w:id="18" w:name="_Toc6368"/>
      <w:bookmarkStart w:id="19" w:name="_Toc15608"/>
      <w:bookmarkStart w:id="20" w:name="_Toc16649"/>
      <w:bookmarkStart w:id="21" w:name="_Toc22082"/>
      <w:bookmarkStart w:id="22" w:name="_Toc31770"/>
      <w:bookmarkStart w:id="23" w:name="_Toc9854"/>
      <w:bookmarkStart w:id="24" w:name="_Toc2824"/>
      <w:bookmarkStart w:id="25" w:name="_Toc6434"/>
      <w:bookmarkStart w:id="26" w:name="_Toc815"/>
      <w:bookmarkStart w:id="27" w:name="_Toc13120"/>
      <w:r>
        <w:rPr>
          <w:rFonts w:hint="eastAsia" w:ascii="仿宋" w:hAnsi="仿宋" w:eastAsia="仿宋" w:cs="仿宋"/>
          <w:b w:val="0"/>
          <w:bCs/>
          <w:color w:val="auto"/>
          <w:kern w:val="1"/>
          <w:sz w:val="24"/>
          <w:szCs w:val="24"/>
        </w:rPr>
        <w:t>4</w:t>
      </w:r>
      <w:bookmarkEnd w:id="14"/>
      <w:bookmarkEnd w:id="15"/>
      <w:bookmarkEnd w:id="16"/>
      <w:bookmarkEnd w:id="17"/>
      <w:bookmarkEnd w:id="18"/>
      <w:bookmarkEnd w:id="19"/>
      <w:bookmarkEnd w:id="20"/>
      <w:bookmarkEnd w:id="21"/>
      <w:bookmarkEnd w:id="22"/>
      <w:bookmarkEnd w:id="23"/>
      <w:bookmarkEnd w:id="24"/>
      <w:bookmarkEnd w:id="25"/>
      <w:bookmarkEnd w:id="26"/>
      <w:bookmarkEnd w:id="27"/>
      <w:r>
        <w:rPr>
          <w:rFonts w:hint="eastAsia" w:ascii="仿宋" w:hAnsi="仿宋" w:eastAsia="仿宋" w:cs="仿宋"/>
          <w:b w:val="0"/>
          <w:bCs/>
          <w:color w:val="auto"/>
          <w:kern w:val="1"/>
          <w:sz w:val="24"/>
          <w:szCs w:val="24"/>
          <w:lang w:eastAsia="zh-CN"/>
        </w:rPr>
        <w:t>、具有依法缴纳税收和社会保障资金的良好记录（提供开标前12个月内任一月份的社保和缴纳税收的证明，依法不需要缴纳社会保障资金、免税或无须缴纳税款的供应商，应提供相关证明文件)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b w:val="0"/>
          <w:bCs/>
          <w:color w:val="auto"/>
          <w:sz w:val="24"/>
          <w:szCs w:val="24"/>
        </w:rPr>
        <w:t>；</w:t>
      </w:r>
    </w:p>
    <w:p w14:paraId="6E3E039B">
      <w:pPr>
        <w:spacing w:line="360" w:lineRule="auto"/>
        <w:ind w:firstLine="480" w:firstLineChars="200"/>
        <w:jc w:val="center"/>
        <w:rPr>
          <w:rFonts w:hint="eastAsia" w:ascii="仿宋" w:hAnsi="仿宋" w:eastAsia="仿宋" w:cs="仿宋"/>
          <w:color w:val="auto"/>
          <w:sz w:val="24"/>
          <w:szCs w:val="24"/>
        </w:rPr>
      </w:pPr>
      <w:r>
        <w:rPr>
          <w:rFonts w:hint="eastAsia" w:ascii="仿宋" w:hAnsi="仿宋" w:eastAsia="仿宋" w:cs="仿宋"/>
          <w:color w:val="auto"/>
          <w:sz w:val="24"/>
          <w:szCs w:val="24"/>
        </w:rPr>
        <w:t>提供社会保障资金缴纳记录证明文件</w:t>
      </w:r>
    </w:p>
    <w:p w14:paraId="688497C0">
      <w:pPr>
        <w:spacing w:line="360" w:lineRule="auto"/>
        <w:rPr>
          <w:rFonts w:hint="eastAsia" w:ascii="仿宋" w:hAnsi="仿宋" w:eastAsia="仿宋" w:cs="仿宋"/>
          <w:color w:val="auto"/>
          <w:sz w:val="24"/>
          <w:szCs w:val="24"/>
        </w:rPr>
      </w:pPr>
    </w:p>
    <w:p w14:paraId="5D4B326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15193B0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1、供应商须依法缴纳社会保障资金，须提供开标前12个月内任一月份的社会保障资金缴纳记录复印件并加盖供应商单位公章，新开户的供应商提供社保开户证明，自行编写无效。</w:t>
      </w:r>
    </w:p>
    <w:p w14:paraId="7CA1E61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2、国家、地方工商管理部门或者其他相关管理部门对社会保障资金缴纳（如免缴）有特别政策的，须提供相关政策文件复印件以及供应商满足相关政策文件的证明文件</w:t>
      </w:r>
      <w:bookmarkStart w:id="28" w:name="_Toc109542406"/>
      <w:bookmarkStart w:id="29" w:name="_Toc109543226"/>
      <w:r>
        <w:rPr>
          <w:rFonts w:hint="eastAsia" w:ascii="仿宋" w:hAnsi="仿宋" w:eastAsia="仿宋" w:cs="仿宋"/>
          <w:color w:val="auto"/>
          <w:sz w:val="24"/>
          <w:szCs w:val="24"/>
        </w:rPr>
        <w:t>。</w:t>
      </w:r>
      <w:bookmarkEnd w:id="28"/>
      <w:bookmarkEnd w:id="29"/>
    </w:p>
    <w:p w14:paraId="348CE402">
      <w:pPr>
        <w:rPr>
          <w:rFonts w:hint="eastAsia" w:ascii="仿宋" w:hAnsi="仿宋" w:eastAsia="仿宋" w:cs="仿宋"/>
          <w:color w:val="auto"/>
          <w:sz w:val="24"/>
          <w:szCs w:val="24"/>
        </w:rPr>
      </w:pPr>
    </w:p>
    <w:p w14:paraId="59B65545">
      <w:pPr>
        <w:spacing w:line="360" w:lineRule="auto"/>
        <w:ind w:firstLine="420" w:firstLineChars="200"/>
        <w:jc w:val="center"/>
        <w:rPr>
          <w:rFonts w:hint="eastAsia" w:ascii="仿宋" w:hAnsi="仿宋" w:eastAsia="仿宋" w:cs="仿宋"/>
          <w:color w:val="auto"/>
          <w:sz w:val="24"/>
          <w:szCs w:val="24"/>
        </w:rPr>
      </w:pPr>
      <w:r>
        <w:rPr>
          <w:rFonts w:hint="eastAsia" w:ascii="仿宋" w:hAnsi="仿宋" w:eastAsia="仿宋" w:cs="仿宋"/>
          <w:color w:val="auto"/>
        </w:rPr>
        <w:br w:type="page"/>
      </w:r>
      <w:r>
        <w:rPr>
          <w:rFonts w:hint="eastAsia" w:ascii="仿宋" w:hAnsi="仿宋" w:eastAsia="仿宋" w:cs="仿宋"/>
          <w:color w:val="auto"/>
          <w:sz w:val="24"/>
          <w:szCs w:val="24"/>
        </w:rPr>
        <w:t>依法缴纳税收记录证明文件</w:t>
      </w:r>
    </w:p>
    <w:p w14:paraId="5D3A475B">
      <w:pPr>
        <w:spacing w:line="360" w:lineRule="auto"/>
        <w:ind w:firstLine="480" w:firstLineChars="200"/>
        <w:jc w:val="center"/>
        <w:rPr>
          <w:rFonts w:hint="eastAsia" w:ascii="仿宋" w:hAnsi="仿宋" w:eastAsia="仿宋" w:cs="仿宋"/>
          <w:color w:val="auto"/>
          <w:sz w:val="24"/>
          <w:szCs w:val="24"/>
        </w:rPr>
      </w:pPr>
    </w:p>
    <w:p w14:paraId="22AED859">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32E34BD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1、供应商须提供开标前12个月内任一月份的依法缴纳税收记录（依法免税或无须缴纳税款的供应商，应提供相关证明文件)。</w:t>
      </w:r>
    </w:p>
    <w:p w14:paraId="2BC8083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2、国家、地方工商管理部门或者其他相关管理部门对企业纳税有特别规定的，须提供相关政策性文件复印件和供应商满足政策文件规定的证明文件。</w:t>
      </w:r>
    </w:p>
    <w:p w14:paraId="320808C1">
      <w:pPr>
        <w:rPr>
          <w:rFonts w:hint="eastAsia" w:ascii="仿宋" w:hAnsi="仿宋" w:eastAsia="仿宋" w:cs="仿宋"/>
          <w:color w:val="auto"/>
        </w:rPr>
      </w:pPr>
    </w:p>
    <w:p w14:paraId="221DD1C8">
      <w:pPr>
        <w:rPr>
          <w:rFonts w:hint="eastAsia" w:ascii="仿宋" w:hAnsi="仿宋" w:eastAsia="仿宋" w:cs="仿宋"/>
          <w:color w:val="auto"/>
        </w:rPr>
      </w:pPr>
    </w:p>
    <w:p w14:paraId="153209D6">
      <w:pPr>
        <w:rPr>
          <w:rFonts w:hint="eastAsia" w:ascii="仿宋" w:hAnsi="仿宋" w:eastAsia="仿宋" w:cs="仿宋"/>
          <w:color w:val="auto"/>
        </w:rPr>
      </w:pPr>
    </w:p>
    <w:p w14:paraId="6F569A02">
      <w:pPr>
        <w:rPr>
          <w:rFonts w:hint="eastAsia" w:ascii="仿宋" w:hAnsi="仿宋" w:eastAsia="仿宋" w:cs="仿宋"/>
          <w:color w:val="auto"/>
        </w:rPr>
      </w:pPr>
    </w:p>
    <w:p w14:paraId="1A33957B">
      <w:pPr>
        <w:spacing w:line="360" w:lineRule="auto"/>
        <w:outlineLvl w:val="0"/>
        <w:rPr>
          <w:rFonts w:hint="eastAsia" w:ascii="仿宋" w:hAnsi="仿宋" w:eastAsia="仿宋" w:cs="仿宋"/>
          <w:b/>
          <w:bCs/>
          <w:color w:val="auto"/>
          <w:sz w:val="24"/>
          <w:szCs w:val="24"/>
        </w:rPr>
      </w:pPr>
      <w:r>
        <w:rPr>
          <w:rFonts w:hint="eastAsia" w:ascii="仿宋" w:hAnsi="仿宋" w:eastAsia="仿宋" w:cs="仿宋"/>
          <w:color w:val="auto"/>
        </w:rPr>
        <w:br w:type="page"/>
      </w:r>
      <w:bookmarkStart w:id="30" w:name="_Toc28034"/>
      <w:bookmarkStart w:id="31" w:name="_Toc4842"/>
      <w:bookmarkStart w:id="32" w:name="_Toc28669"/>
      <w:bookmarkStart w:id="33" w:name="_Toc15791"/>
      <w:bookmarkStart w:id="34" w:name="_Toc26845"/>
      <w:bookmarkStart w:id="35" w:name="_Toc14483"/>
      <w:bookmarkStart w:id="36" w:name="_Toc17072"/>
      <w:bookmarkStart w:id="37" w:name="_Toc20233"/>
      <w:bookmarkStart w:id="38" w:name="_Toc30844"/>
      <w:bookmarkStart w:id="39" w:name="_Toc7403"/>
      <w:bookmarkStart w:id="40" w:name="_Toc19143"/>
      <w:bookmarkStart w:id="41" w:name="_Toc29806"/>
      <w:bookmarkStart w:id="42" w:name="_Toc13583"/>
      <w:bookmarkStart w:id="43" w:name="_Toc2140"/>
      <w:r>
        <w:rPr>
          <w:rFonts w:hint="eastAsia" w:ascii="仿宋" w:hAnsi="仿宋" w:eastAsia="仿宋" w:cs="仿宋"/>
          <w:b/>
          <w:bCs/>
          <w:color w:val="auto"/>
          <w:kern w:val="1"/>
          <w:sz w:val="24"/>
          <w:szCs w:val="24"/>
        </w:rPr>
        <w:t>5</w:t>
      </w:r>
      <w:bookmarkEnd w:id="30"/>
      <w:bookmarkEnd w:id="31"/>
      <w:bookmarkEnd w:id="32"/>
      <w:bookmarkEnd w:id="33"/>
      <w:bookmarkEnd w:id="34"/>
      <w:bookmarkEnd w:id="35"/>
      <w:bookmarkEnd w:id="36"/>
      <w:bookmarkEnd w:id="37"/>
      <w:bookmarkEnd w:id="38"/>
      <w:bookmarkEnd w:id="39"/>
      <w:bookmarkEnd w:id="40"/>
      <w:bookmarkEnd w:id="41"/>
      <w:bookmarkEnd w:id="42"/>
      <w:bookmarkEnd w:id="43"/>
      <w:r>
        <w:rPr>
          <w:rFonts w:hint="eastAsia" w:ascii="仿宋" w:hAnsi="仿宋" w:eastAsia="仿宋" w:cs="仿宋"/>
          <w:b/>
          <w:bCs/>
          <w:color w:val="auto"/>
          <w:kern w:val="1"/>
          <w:sz w:val="24"/>
          <w:szCs w:val="24"/>
          <w:lang w:eastAsia="zh-CN"/>
        </w:rPr>
        <w:t>、</w:t>
      </w:r>
      <w:r>
        <w:rPr>
          <w:rFonts w:hint="eastAsia" w:ascii="仿宋" w:hAnsi="仿宋" w:eastAsia="仿宋" w:cs="仿宋"/>
          <w:b/>
          <w:bCs/>
          <w:color w:val="auto"/>
          <w:kern w:val="1"/>
          <w:sz w:val="24"/>
          <w:szCs w:val="24"/>
        </w:rPr>
        <w:t>参加政府采购活动前 3 年内在经营活动中没有重大违法记录的书面声明（格式详见附件）</w:t>
      </w:r>
    </w:p>
    <w:p w14:paraId="50DC8CBC">
      <w:pPr>
        <w:spacing w:line="360" w:lineRule="auto"/>
        <w:outlineLvl w:val="9"/>
        <w:rPr>
          <w:rFonts w:hint="eastAsia" w:ascii="仿宋" w:hAnsi="仿宋" w:eastAsia="仿宋" w:cs="仿宋"/>
          <w:b/>
          <w:bCs/>
          <w:color w:val="auto"/>
          <w:sz w:val="24"/>
          <w:szCs w:val="24"/>
        </w:rPr>
      </w:pPr>
    </w:p>
    <w:p w14:paraId="63CD11D7">
      <w:pPr>
        <w:pStyle w:val="9"/>
        <w:wordWrap w:val="0"/>
        <w:spacing w:before="0" w:beforeAutospacing="0" w:after="0" w:afterAutospacing="0" w:line="360" w:lineRule="auto"/>
        <w:rPr>
          <w:rFonts w:hint="eastAsia" w:ascii="仿宋" w:hAnsi="仿宋" w:eastAsia="仿宋" w:cs="仿宋"/>
          <w:color w:val="auto"/>
          <w:szCs w:val="24"/>
          <w:u w:val="single"/>
          <w:shd w:val="clear" w:color="auto" w:fill="FFFFFF"/>
        </w:rPr>
      </w:pPr>
      <w:r>
        <w:rPr>
          <w:rFonts w:hint="eastAsia" w:ascii="仿宋" w:hAnsi="仿宋" w:eastAsia="仿宋" w:cs="仿宋"/>
          <w:color w:val="auto"/>
          <w:spacing w:val="4"/>
          <w:sz w:val="24"/>
          <w:szCs w:val="24"/>
          <w:u w:val="single"/>
          <w:lang w:val="en-US" w:eastAsia="zh-CN"/>
        </w:rPr>
        <w:t xml:space="preserve">致：                   </w:t>
      </w:r>
    </w:p>
    <w:p w14:paraId="48A04B60">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我方作为项目名称</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（项目编号：</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）的投标供应商，在此郑重声明： </w:t>
      </w:r>
    </w:p>
    <w:p w14:paraId="79C216E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1、在参加本次政府采购活动前3年内的经营活动中</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012253D">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2、我方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（填“未被列入”或“被列入”）失信被执行人名单。</w:t>
      </w:r>
    </w:p>
    <w:p w14:paraId="7B97727C">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3、我方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（填“未被列入”或“被列入”）重大税收违法案件当事人名单。 </w:t>
      </w:r>
    </w:p>
    <w:p w14:paraId="7EB5F058">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4、我方</w:t>
      </w:r>
      <w:r>
        <w:rPr>
          <w:rFonts w:hint="eastAsia" w:ascii="仿宋" w:hAnsi="仿宋" w:eastAsia="仿宋" w:cs="仿宋"/>
          <w:color w:val="auto"/>
          <w:szCs w:val="24"/>
          <w:u w:val="single"/>
          <w:shd w:val="clear" w:color="auto" w:fill="FFFFFF"/>
        </w:rPr>
        <w:t xml:space="preserve">                  </w:t>
      </w:r>
      <w:r>
        <w:rPr>
          <w:rFonts w:hint="eastAsia" w:ascii="仿宋" w:hAnsi="仿宋" w:eastAsia="仿宋" w:cs="仿宋"/>
          <w:color w:val="auto"/>
          <w:szCs w:val="24"/>
          <w:shd w:val="clear" w:color="auto" w:fill="FFFFFF"/>
        </w:rPr>
        <w:t xml:space="preserve">（填“未被列入”或“被列入”）政府采购严重违法失信行为记录名单。 </w:t>
      </w:r>
    </w:p>
    <w:p w14:paraId="776EB871">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如有不实，我方将无条件地退出本项目的采购活动，并遵照《政府采购法》有关“提供虚假材料的规定”接受处罚。 </w:t>
      </w:r>
    </w:p>
    <w:p w14:paraId="69E72589">
      <w:pPr>
        <w:pStyle w:val="9"/>
        <w:wordWrap w:val="0"/>
        <w:spacing w:before="0" w:beforeAutospacing="0" w:after="0" w:afterAutospacing="0" w:line="360" w:lineRule="auto"/>
        <w:ind w:firstLine="420"/>
        <w:rPr>
          <w:rFonts w:hint="eastAsia" w:ascii="仿宋" w:hAnsi="仿宋" w:eastAsia="仿宋" w:cs="仿宋"/>
          <w:color w:val="auto"/>
          <w:szCs w:val="24"/>
        </w:rPr>
      </w:pPr>
      <w:r>
        <w:rPr>
          <w:rFonts w:hint="eastAsia" w:ascii="仿宋" w:hAnsi="仿宋" w:eastAsia="仿宋" w:cs="仿宋"/>
          <w:color w:val="auto"/>
          <w:szCs w:val="24"/>
          <w:shd w:val="clear" w:color="auto" w:fill="FFFFFF"/>
        </w:rPr>
        <w:t xml:space="preserve">特此声明。 </w:t>
      </w:r>
    </w:p>
    <w:p w14:paraId="2D06D3CC">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29C67F6A">
      <w:pPr>
        <w:pStyle w:val="9"/>
        <w:wordWrap w:val="0"/>
        <w:spacing w:before="0" w:beforeAutospacing="0" w:after="0" w:afterAutospacing="0" w:line="360" w:lineRule="auto"/>
        <w:jc w:val="both"/>
        <w:rPr>
          <w:rFonts w:hint="eastAsia" w:ascii="仿宋" w:hAnsi="仿宋" w:eastAsia="仿宋" w:cs="仿宋"/>
          <w:color w:val="auto"/>
          <w:shd w:val="clear" w:color="auto" w:fill="FFFFFF"/>
        </w:rPr>
      </w:pPr>
    </w:p>
    <w:p w14:paraId="18ACB0D9">
      <w:pPr>
        <w:spacing w:line="360" w:lineRule="auto"/>
        <w:ind w:right="-161" w:firstLine="2650" w:firstLineChars="1100"/>
        <w:rPr>
          <w:rFonts w:hint="eastAsia" w:ascii="仿宋" w:hAnsi="仿宋" w:eastAsia="仿宋" w:cs="仿宋"/>
          <w:b/>
          <w:bCs/>
          <w:color w:val="auto"/>
          <w:sz w:val="24"/>
          <w:szCs w:val="24"/>
        </w:rPr>
      </w:pPr>
      <w:r>
        <w:rPr>
          <w:rFonts w:hint="eastAsia" w:ascii="仿宋" w:hAnsi="仿宋" w:eastAsia="仿宋" w:cs="仿宋"/>
          <w:b/>
          <w:bCs/>
          <w:color w:val="auto"/>
          <w:sz w:val="24"/>
          <w:szCs w:val="24"/>
        </w:rPr>
        <w:t>供应商：</w:t>
      </w:r>
      <w:r>
        <w:rPr>
          <w:rFonts w:hint="eastAsia" w:ascii="仿宋" w:hAnsi="仿宋" w:eastAsia="仿宋" w:cs="仿宋"/>
          <w:b/>
          <w:bCs/>
          <w:color w:val="auto"/>
          <w:sz w:val="24"/>
          <w:szCs w:val="24"/>
          <w:u w:val="single"/>
        </w:rPr>
        <w:t xml:space="preserve">            （公章）                 </w:t>
      </w:r>
    </w:p>
    <w:p w14:paraId="7028FF03">
      <w:pPr>
        <w:pStyle w:val="9"/>
        <w:wordWrap w:val="0"/>
        <w:spacing w:before="0" w:beforeAutospacing="0" w:after="0" w:afterAutospacing="0" w:line="360" w:lineRule="auto"/>
        <w:ind w:firstLine="2650" w:firstLineChars="1100"/>
        <w:jc w:val="both"/>
        <w:rPr>
          <w:rFonts w:hint="eastAsia" w:ascii="仿宋" w:hAnsi="仿宋" w:eastAsia="仿宋" w:cs="仿宋"/>
          <w:b/>
          <w:bCs/>
          <w:color w:val="auto"/>
          <w:sz w:val="24"/>
          <w:szCs w:val="24"/>
          <w:u w:val="single"/>
        </w:rPr>
      </w:pPr>
      <w:r>
        <w:rPr>
          <w:rFonts w:hint="eastAsia" w:ascii="仿宋" w:hAnsi="仿宋" w:eastAsia="仿宋" w:cs="仿宋"/>
          <w:b/>
          <w:bCs/>
          <w:color w:val="auto"/>
          <w:sz w:val="24"/>
          <w:szCs w:val="24"/>
        </w:rPr>
        <w:t>日期：</w:t>
      </w:r>
      <w:r>
        <w:rPr>
          <w:rFonts w:hint="eastAsia" w:ascii="仿宋" w:hAnsi="仿宋" w:eastAsia="仿宋" w:cs="仿宋"/>
          <w:b/>
          <w:bCs/>
          <w:color w:val="auto"/>
          <w:sz w:val="24"/>
          <w:szCs w:val="24"/>
          <w:u w:val="single"/>
        </w:rPr>
        <w:t xml:space="preserve">                                       </w:t>
      </w:r>
    </w:p>
    <w:p w14:paraId="12559A61">
      <w:pPr>
        <w:rPr>
          <w:rFonts w:hint="eastAsia" w:ascii="仿宋" w:hAnsi="仿宋" w:eastAsia="仿宋" w:cs="仿宋"/>
          <w:i w:val="0"/>
          <w:iCs w:val="0"/>
          <w:color w:val="auto"/>
          <w:sz w:val="24"/>
          <w:highlight w:val="none"/>
        </w:rPr>
      </w:pPr>
      <w:r>
        <w:rPr>
          <w:rFonts w:hint="eastAsia" w:ascii="仿宋" w:hAnsi="仿宋" w:eastAsia="仿宋" w:cs="仿宋"/>
          <w:i w:val="0"/>
          <w:iCs w:val="0"/>
          <w:color w:val="auto"/>
          <w:sz w:val="24"/>
          <w:highlight w:val="none"/>
        </w:rPr>
        <w:br w:type="page"/>
      </w:r>
    </w:p>
    <w:p w14:paraId="61125887">
      <w:pPr>
        <w:spacing w:line="360" w:lineRule="auto"/>
        <w:outlineLvl w:val="0"/>
        <w:rPr>
          <w:rFonts w:hint="eastAsia" w:ascii="仿宋" w:hAnsi="仿宋" w:eastAsia="仿宋" w:cs="仿宋"/>
          <w:b/>
          <w:bCs/>
          <w:color w:val="auto"/>
          <w:kern w:val="1"/>
          <w:sz w:val="24"/>
          <w:szCs w:val="24"/>
        </w:rPr>
      </w:pPr>
      <w:r>
        <w:rPr>
          <w:rFonts w:hint="eastAsia" w:ascii="仿宋" w:hAnsi="仿宋" w:eastAsia="仿宋" w:cs="仿宋"/>
          <w:b/>
          <w:bCs/>
          <w:color w:val="auto"/>
          <w:kern w:val="1"/>
          <w:sz w:val="24"/>
          <w:szCs w:val="24"/>
          <w:lang w:val="en-US" w:eastAsia="zh-CN"/>
        </w:rPr>
        <w:t>6、</w:t>
      </w:r>
      <w:r>
        <w:rPr>
          <w:rFonts w:hint="eastAsia" w:ascii="仿宋" w:hAnsi="仿宋" w:eastAsia="仿宋" w:cs="仿宋"/>
          <w:b/>
          <w:bCs/>
          <w:color w:val="auto"/>
          <w:kern w:val="1"/>
          <w:sz w:val="24"/>
          <w:szCs w:val="24"/>
        </w:rPr>
        <w:t>供应商须具备测绘主管部门颁发乙级以上（含乙级）测绘资质(专业类别须涵盖本次招标内容)。</w:t>
      </w:r>
      <w:bookmarkStart w:id="44" w:name="_GoBack"/>
      <w:bookmarkEnd w:id="4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1MzRmNDAwNDhlOTUyZDJmMWU3MjFkZWVjMzJhZjgifQ=="/>
    <w:docVar w:name="KSO_WPS_MARK_KEY" w:val="10035043-d461-4ba9-9c50-7bfbe643e9b7"/>
  </w:docVars>
  <w:rsids>
    <w:rsidRoot w:val="486F273F"/>
    <w:rsid w:val="00641E35"/>
    <w:rsid w:val="02105134"/>
    <w:rsid w:val="023713C1"/>
    <w:rsid w:val="046E76D5"/>
    <w:rsid w:val="0F6F6D2F"/>
    <w:rsid w:val="124F1F2D"/>
    <w:rsid w:val="199B7E26"/>
    <w:rsid w:val="39EA2B7D"/>
    <w:rsid w:val="3B6A197D"/>
    <w:rsid w:val="3B6A70A7"/>
    <w:rsid w:val="3F422D66"/>
    <w:rsid w:val="486F273F"/>
    <w:rsid w:val="4B751DCD"/>
    <w:rsid w:val="4C6360CA"/>
    <w:rsid w:val="62A0377C"/>
    <w:rsid w:val="66421459"/>
    <w:rsid w:val="69CC6242"/>
    <w:rsid w:val="6ADE0ED7"/>
    <w:rsid w:val="6C7B3B2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5">
    <w:name w:val="heading 3"/>
    <w:basedOn w:val="1"/>
    <w:next w:val="1"/>
    <w:qFormat/>
    <w:uiPriority w:val="0"/>
    <w:pPr>
      <w:keepNext/>
      <w:keepLines/>
      <w:spacing w:before="260" w:after="260" w:line="415" w:lineRule="auto"/>
      <w:outlineLvl w:val="2"/>
    </w:pPr>
    <w:rPr>
      <w:b/>
      <w:sz w:val="32"/>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rPr>
      <w:b/>
      <w:sz w:val="28"/>
    </w:rPr>
  </w:style>
  <w:style w:type="paragraph" w:styleId="7">
    <w:name w:val="Plain Text"/>
    <w:basedOn w:val="1"/>
    <w:qFormat/>
    <w:uiPriority w:val="0"/>
    <w:rPr>
      <w:rFonts w:ascii="宋体" w:hAnsi="Courier New"/>
      <w:kern w:val="0"/>
      <w:sz w:val="20"/>
      <w:szCs w:val="20"/>
    </w:rPr>
  </w:style>
  <w:style w:type="paragraph" w:styleId="8">
    <w:name w:val="toc 1"/>
    <w:basedOn w:val="1"/>
    <w:next w:val="1"/>
    <w:qFormat/>
    <w:uiPriority w:val="39"/>
    <w:pPr>
      <w:spacing w:before="120" w:beforeLines="0" w:after="120" w:afterLines="0"/>
      <w:jc w:val="left"/>
    </w:pPr>
    <w:rPr>
      <w:b/>
      <w:bCs/>
      <w:caps/>
      <w:sz w:val="20"/>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HTML Preformatted"/>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1463</Words>
  <Characters>1479</Characters>
  <Lines>0</Lines>
  <Paragraphs>0</Paragraphs>
  <TotalTime>0</TotalTime>
  <ScaleCrop>false</ScaleCrop>
  <LinksUpToDate>false</LinksUpToDate>
  <CharactersWithSpaces>1863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2025-05-12T08:38:25Z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F8A8DF1BFD67441683E2C28521FEE55D_11</vt:lpwstr>
  </property>
  <property fmtid="{D5CDD505-2E9C-101B-9397-08002B2CF9AE}" pid="4" name="KSOTemplateDocerSaveRecord">
    <vt:lpwstr>eyJoZGlkIjoiNzg2NmMxNjQ3YjEwMWQ0NzY0ZGIyNjIyNDMzNDY3MjciLCJ1c2VySWQiOiI0ODM0NjExNDgifQ==</vt:lpwstr>
  </property>
</Properties>
</file>