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D9ACC">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仪器设备购置合同</w:t>
      </w:r>
    </w:p>
    <w:p w14:paraId="4BE8E882">
      <w:pPr>
        <w:keepNext w:val="0"/>
        <w:keepLines w:val="0"/>
        <w:pageBreakBefore w:val="0"/>
        <w:kinsoku/>
        <w:wordWrap/>
        <w:overflowPunct/>
        <w:topLinePunct w:val="0"/>
        <w:autoSpaceDE/>
        <w:autoSpaceDN/>
        <w:bidi w:val="0"/>
        <w:adjustRightInd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西安建筑科技大学（甲方）与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（乙方）就甲方购置的</w:t>
      </w:r>
      <w:r>
        <w:rPr>
          <w:rFonts w:hint="eastAsia" w:ascii="仿宋" w:hAnsi="仿宋" w:eastAsia="仿宋" w:cs="仿宋"/>
          <w:bCs/>
          <w:color w:val="auto"/>
          <w:sz w:val="24"/>
          <w:szCs w:val="24"/>
          <w:u w:val="single"/>
        </w:rPr>
        <w:t xml:space="preserve">                 </w:t>
      </w:r>
      <w:r>
        <w:rPr>
          <w:rFonts w:hint="eastAsia" w:ascii="仿宋" w:hAnsi="仿宋" w:eastAsia="仿宋" w:cs="仿宋"/>
          <w:color w:val="auto"/>
          <w:sz w:val="24"/>
          <w:szCs w:val="24"/>
        </w:rPr>
        <w:t>设备经双方协商达成如下合同条款：</w:t>
      </w:r>
    </w:p>
    <w:p w14:paraId="4CE595EA">
      <w:pPr>
        <w:keepNext w:val="0"/>
        <w:keepLines w:val="0"/>
        <w:pageBreakBefore w:val="0"/>
        <w:kinsoku/>
        <w:wordWrap/>
        <w:overflowPunct/>
        <w:topLinePunct w:val="0"/>
        <w:autoSpaceDE/>
        <w:autoSpaceDN/>
        <w:bidi w:val="0"/>
        <w:spacing w:beforeAutospacing="0" w:afterAutospacing="0" w:line="460" w:lineRule="exact"/>
        <w:ind w:left="555"/>
        <w:textAlignment w:val="auto"/>
        <w:outlineLvl w:val="0"/>
        <w:rPr>
          <w:rFonts w:hint="eastAsia" w:ascii="仿宋" w:hAnsi="仿宋" w:eastAsia="仿宋" w:cs="仿宋"/>
          <w:b/>
          <w:color w:val="auto"/>
          <w:sz w:val="24"/>
          <w:szCs w:val="24"/>
        </w:rPr>
      </w:pPr>
      <w:r>
        <w:rPr>
          <w:rFonts w:hint="eastAsia" w:ascii="仿宋" w:hAnsi="仿宋" w:eastAsia="仿宋" w:cs="仿宋"/>
          <w:b/>
          <w:color w:val="auto"/>
          <w:sz w:val="24"/>
          <w:szCs w:val="24"/>
        </w:rPr>
        <w:t>1</w:t>
      </w:r>
      <w:r>
        <w:rPr>
          <w:rFonts w:hint="eastAsia" w:ascii="仿宋" w:hAnsi="仿宋" w:eastAsia="仿宋" w:cs="仿宋"/>
          <w:color w:val="auto"/>
          <w:sz w:val="24"/>
          <w:szCs w:val="24"/>
        </w:rPr>
        <w:t>.</w:t>
      </w:r>
      <w:r>
        <w:rPr>
          <w:rFonts w:hint="eastAsia" w:ascii="仿宋" w:hAnsi="仿宋" w:eastAsia="仿宋" w:cs="仿宋"/>
          <w:b/>
          <w:color w:val="auto"/>
          <w:sz w:val="24"/>
          <w:szCs w:val="24"/>
        </w:rPr>
        <w:t xml:space="preserve"> 合同内容</w:t>
      </w:r>
    </w:p>
    <w:p w14:paraId="03DD0835">
      <w:pPr>
        <w:keepNext w:val="0"/>
        <w:keepLines w:val="0"/>
        <w:pageBreakBefore w:val="0"/>
        <w:kinsoku/>
        <w:wordWrap/>
        <w:overflowPunct/>
        <w:topLinePunct w:val="0"/>
        <w:autoSpaceDE/>
        <w:autoSpaceDN/>
        <w:bidi w:val="0"/>
        <w:spacing w:beforeAutospacing="0" w:afterAutospacing="0" w:line="460" w:lineRule="exact"/>
        <w:ind w:firstLine="56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在甲方组织的关于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采购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5276A10C">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 仪器设备购置清单（币种：人民币）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5EE3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6B2EE75D">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序号</w:t>
            </w:r>
          </w:p>
        </w:tc>
        <w:tc>
          <w:tcPr>
            <w:tcW w:w="1805" w:type="dxa"/>
            <w:noWrap w:val="0"/>
            <w:tcMar>
              <w:top w:w="20" w:type="dxa"/>
              <w:left w:w="20" w:type="dxa"/>
              <w:bottom w:w="0" w:type="dxa"/>
              <w:right w:w="20" w:type="dxa"/>
            </w:tcMar>
            <w:vAlign w:val="center"/>
          </w:tcPr>
          <w:p w14:paraId="1F463EBA">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设备名称</w:t>
            </w:r>
          </w:p>
        </w:tc>
        <w:tc>
          <w:tcPr>
            <w:tcW w:w="1980" w:type="dxa"/>
            <w:noWrap w:val="0"/>
            <w:tcMar>
              <w:top w:w="20" w:type="dxa"/>
              <w:left w:w="20" w:type="dxa"/>
              <w:bottom w:w="0" w:type="dxa"/>
              <w:right w:w="20" w:type="dxa"/>
            </w:tcMar>
            <w:vAlign w:val="center"/>
          </w:tcPr>
          <w:p w14:paraId="5AA6F4EE">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品牌、规格、型号</w:t>
            </w:r>
          </w:p>
        </w:tc>
        <w:tc>
          <w:tcPr>
            <w:tcW w:w="886" w:type="dxa"/>
            <w:noWrap w:val="0"/>
            <w:tcMar>
              <w:top w:w="20" w:type="dxa"/>
              <w:left w:w="20" w:type="dxa"/>
              <w:bottom w:w="0" w:type="dxa"/>
              <w:right w:w="20" w:type="dxa"/>
            </w:tcMar>
            <w:vAlign w:val="center"/>
          </w:tcPr>
          <w:p w14:paraId="78E27CFC">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数量</w:t>
            </w:r>
          </w:p>
          <w:p w14:paraId="12E1A83A">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（台、套）</w:t>
            </w:r>
          </w:p>
        </w:tc>
        <w:tc>
          <w:tcPr>
            <w:tcW w:w="985" w:type="dxa"/>
            <w:noWrap w:val="0"/>
            <w:tcMar>
              <w:top w:w="20" w:type="dxa"/>
              <w:left w:w="20" w:type="dxa"/>
              <w:bottom w:w="0" w:type="dxa"/>
              <w:right w:w="20" w:type="dxa"/>
            </w:tcMar>
            <w:vAlign w:val="center"/>
          </w:tcPr>
          <w:p w14:paraId="157A4ABD">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单价</w:t>
            </w:r>
          </w:p>
          <w:p w14:paraId="0B546230">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(万元)</w:t>
            </w:r>
          </w:p>
        </w:tc>
        <w:tc>
          <w:tcPr>
            <w:tcW w:w="984" w:type="dxa"/>
            <w:noWrap w:val="0"/>
            <w:tcMar>
              <w:top w:w="20" w:type="dxa"/>
              <w:left w:w="20" w:type="dxa"/>
              <w:bottom w:w="0" w:type="dxa"/>
              <w:right w:w="20" w:type="dxa"/>
            </w:tcMar>
            <w:vAlign w:val="center"/>
          </w:tcPr>
          <w:p w14:paraId="46D5A3F7">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合计</w:t>
            </w:r>
          </w:p>
          <w:p w14:paraId="3B1AA29B">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（万元）</w:t>
            </w:r>
          </w:p>
        </w:tc>
        <w:tc>
          <w:tcPr>
            <w:tcW w:w="978" w:type="dxa"/>
            <w:noWrap w:val="0"/>
            <w:vAlign w:val="center"/>
          </w:tcPr>
          <w:p w14:paraId="68AFFA57">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生产商</w:t>
            </w:r>
          </w:p>
        </w:tc>
        <w:tc>
          <w:tcPr>
            <w:tcW w:w="580" w:type="dxa"/>
            <w:noWrap w:val="0"/>
            <w:tcMar>
              <w:top w:w="20" w:type="dxa"/>
              <w:left w:w="20" w:type="dxa"/>
              <w:bottom w:w="0" w:type="dxa"/>
              <w:right w:w="20" w:type="dxa"/>
            </w:tcMar>
            <w:vAlign w:val="center"/>
          </w:tcPr>
          <w:p w14:paraId="7B0B6596">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备注</w:t>
            </w:r>
          </w:p>
        </w:tc>
      </w:tr>
      <w:tr w14:paraId="3485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12806456">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805" w:type="dxa"/>
            <w:noWrap w:val="0"/>
            <w:tcMar>
              <w:top w:w="20" w:type="dxa"/>
              <w:left w:w="20" w:type="dxa"/>
              <w:bottom w:w="0" w:type="dxa"/>
              <w:right w:w="20" w:type="dxa"/>
            </w:tcMar>
            <w:vAlign w:val="center"/>
          </w:tcPr>
          <w:p w14:paraId="79A95BD0">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1980" w:type="dxa"/>
            <w:noWrap w:val="0"/>
            <w:tcMar>
              <w:top w:w="20" w:type="dxa"/>
              <w:left w:w="20" w:type="dxa"/>
              <w:bottom w:w="0" w:type="dxa"/>
              <w:right w:w="20" w:type="dxa"/>
            </w:tcMar>
            <w:vAlign w:val="center"/>
          </w:tcPr>
          <w:p w14:paraId="5907B7E5">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886" w:type="dxa"/>
            <w:noWrap w:val="0"/>
            <w:tcMar>
              <w:top w:w="20" w:type="dxa"/>
              <w:left w:w="20" w:type="dxa"/>
              <w:bottom w:w="0" w:type="dxa"/>
              <w:right w:w="20" w:type="dxa"/>
            </w:tcMar>
            <w:vAlign w:val="center"/>
          </w:tcPr>
          <w:p w14:paraId="0E58A912">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5" w:type="dxa"/>
            <w:noWrap w:val="0"/>
            <w:tcMar>
              <w:top w:w="20" w:type="dxa"/>
              <w:left w:w="20" w:type="dxa"/>
              <w:bottom w:w="0" w:type="dxa"/>
              <w:right w:w="20" w:type="dxa"/>
            </w:tcMar>
            <w:vAlign w:val="center"/>
          </w:tcPr>
          <w:p w14:paraId="5C0976D2">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4" w:type="dxa"/>
            <w:noWrap w:val="0"/>
            <w:tcMar>
              <w:top w:w="20" w:type="dxa"/>
              <w:left w:w="20" w:type="dxa"/>
              <w:bottom w:w="0" w:type="dxa"/>
              <w:right w:w="20" w:type="dxa"/>
            </w:tcMar>
            <w:vAlign w:val="center"/>
          </w:tcPr>
          <w:p w14:paraId="616F0E8C">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78" w:type="dxa"/>
            <w:noWrap w:val="0"/>
            <w:vAlign w:val="center"/>
          </w:tcPr>
          <w:p w14:paraId="6167F1E2">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580" w:type="dxa"/>
            <w:noWrap w:val="0"/>
            <w:tcMar>
              <w:top w:w="20" w:type="dxa"/>
              <w:left w:w="20" w:type="dxa"/>
              <w:bottom w:w="0" w:type="dxa"/>
              <w:right w:w="20" w:type="dxa"/>
            </w:tcMar>
            <w:vAlign w:val="center"/>
          </w:tcPr>
          <w:p w14:paraId="7AAD8D21">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r>
      <w:tr w14:paraId="6141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B2E10DB">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805" w:type="dxa"/>
            <w:noWrap w:val="0"/>
            <w:tcMar>
              <w:top w:w="20" w:type="dxa"/>
              <w:left w:w="20" w:type="dxa"/>
              <w:bottom w:w="0" w:type="dxa"/>
              <w:right w:w="20" w:type="dxa"/>
            </w:tcMar>
            <w:vAlign w:val="center"/>
          </w:tcPr>
          <w:p w14:paraId="38B8E08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1980" w:type="dxa"/>
            <w:noWrap w:val="0"/>
            <w:tcMar>
              <w:top w:w="20" w:type="dxa"/>
              <w:left w:w="20" w:type="dxa"/>
              <w:bottom w:w="0" w:type="dxa"/>
              <w:right w:w="20" w:type="dxa"/>
            </w:tcMar>
            <w:vAlign w:val="center"/>
          </w:tcPr>
          <w:p w14:paraId="32A81F81">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886" w:type="dxa"/>
            <w:noWrap w:val="0"/>
            <w:tcMar>
              <w:top w:w="20" w:type="dxa"/>
              <w:left w:w="20" w:type="dxa"/>
              <w:bottom w:w="0" w:type="dxa"/>
              <w:right w:w="20" w:type="dxa"/>
            </w:tcMar>
            <w:vAlign w:val="center"/>
          </w:tcPr>
          <w:p w14:paraId="0E944D89">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5" w:type="dxa"/>
            <w:noWrap w:val="0"/>
            <w:tcMar>
              <w:top w:w="20" w:type="dxa"/>
              <w:left w:w="20" w:type="dxa"/>
              <w:bottom w:w="0" w:type="dxa"/>
              <w:right w:w="20" w:type="dxa"/>
            </w:tcMar>
            <w:vAlign w:val="center"/>
          </w:tcPr>
          <w:p w14:paraId="61636A28">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4" w:type="dxa"/>
            <w:noWrap w:val="0"/>
            <w:tcMar>
              <w:top w:w="20" w:type="dxa"/>
              <w:left w:w="20" w:type="dxa"/>
              <w:bottom w:w="0" w:type="dxa"/>
              <w:right w:w="20" w:type="dxa"/>
            </w:tcMar>
            <w:vAlign w:val="center"/>
          </w:tcPr>
          <w:p w14:paraId="7B0D06E5">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78" w:type="dxa"/>
            <w:noWrap w:val="0"/>
            <w:vAlign w:val="center"/>
          </w:tcPr>
          <w:p w14:paraId="20F2F25D">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kern w:val="0"/>
                <w:sz w:val="24"/>
                <w:szCs w:val="24"/>
              </w:rPr>
            </w:pPr>
          </w:p>
        </w:tc>
        <w:tc>
          <w:tcPr>
            <w:tcW w:w="580" w:type="dxa"/>
            <w:noWrap w:val="0"/>
            <w:tcMar>
              <w:top w:w="20" w:type="dxa"/>
              <w:left w:w="20" w:type="dxa"/>
              <w:bottom w:w="0" w:type="dxa"/>
              <w:right w:w="20" w:type="dxa"/>
            </w:tcMar>
            <w:vAlign w:val="center"/>
          </w:tcPr>
          <w:p w14:paraId="02CCF707">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r>
      <w:tr w14:paraId="3F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76AF4FF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805" w:type="dxa"/>
            <w:noWrap w:val="0"/>
            <w:tcMar>
              <w:top w:w="20" w:type="dxa"/>
              <w:left w:w="20" w:type="dxa"/>
              <w:bottom w:w="0" w:type="dxa"/>
              <w:right w:w="20" w:type="dxa"/>
            </w:tcMar>
            <w:vAlign w:val="center"/>
          </w:tcPr>
          <w:p w14:paraId="4E773E4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1980" w:type="dxa"/>
            <w:noWrap w:val="0"/>
            <w:tcMar>
              <w:top w:w="20" w:type="dxa"/>
              <w:left w:w="20" w:type="dxa"/>
              <w:bottom w:w="0" w:type="dxa"/>
              <w:right w:w="20" w:type="dxa"/>
            </w:tcMar>
            <w:vAlign w:val="center"/>
          </w:tcPr>
          <w:p w14:paraId="6F68327D">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886" w:type="dxa"/>
            <w:noWrap w:val="0"/>
            <w:tcMar>
              <w:top w:w="20" w:type="dxa"/>
              <w:left w:w="20" w:type="dxa"/>
              <w:bottom w:w="0" w:type="dxa"/>
              <w:right w:w="20" w:type="dxa"/>
            </w:tcMar>
            <w:vAlign w:val="center"/>
          </w:tcPr>
          <w:p w14:paraId="32B07FB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5" w:type="dxa"/>
            <w:noWrap w:val="0"/>
            <w:tcMar>
              <w:top w:w="20" w:type="dxa"/>
              <w:left w:w="20" w:type="dxa"/>
              <w:bottom w:w="0" w:type="dxa"/>
              <w:right w:w="20" w:type="dxa"/>
            </w:tcMar>
            <w:vAlign w:val="center"/>
          </w:tcPr>
          <w:p w14:paraId="3639A609">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84" w:type="dxa"/>
            <w:noWrap w:val="0"/>
            <w:tcMar>
              <w:top w:w="20" w:type="dxa"/>
              <w:left w:w="20" w:type="dxa"/>
              <w:bottom w:w="0" w:type="dxa"/>
              <w:right w:w="20" w:type="dxa"/>
            </w:tcMar>
            <w:vAlign w:val="center"/>
          </w:tcPr>
          <w:p w14:paraId="255D2D2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978" w:type="dxa"/>
            <w:noWrap w:val="0"/>
            <w:vAlign w:val="center"/>
          </w:tcPr>
          <w:p w14:paraId="1C889A7F">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580" w:type="dxa"/>
            <w:noWrap w:val="0"/>
            <w:tcMar>
              <w:top w:w="20" w:type="dxa"/>
              <w:left w:w="20" w:type="dxa"/>
              <w:bottom w:w="0" w:type="dxa"/>
              <w:right w:w="20" w:type="dxa"/>
            </w:tcMar>
            <w:vAlign w:val="center"/>
          </w:tcPr>
          <w:p w14:paraId="5CEB339E">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r>
      <w:tr w14:paraId="32F8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3E5863F9">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合计(元)</w:t>
            </w:r>
          </w:p>
        </w:tc>
        <w:tc>
          <w:tcPr>
            <w:tcW w:w="4413" w:type="dxa"/>
            <w:gridSpan w:val="5"/>
            <w:noWrap w:val="0"/>
            <w:tcMar>
              <w:top w:w="20" w:type="dxa"/>
              <w:left w:w="20" w:type="dxa"/>
              <w:bottom w:w="0" w:type="dxa"/>
              <w:right w:w="20" w:type="dxa"/>
            </w:tcMar>
            <w:vAlign w:val="center"/>
          </w:tcPr>
          <w:p w14:paraId="233F4FED">
            <w:pPr>
              <w:keepNext w:val="0"/>
              <w:keepLines w:val="0"/>
              <w:pageBreakBefore w:val="0"/>
              <w:kinsoku/>
              <w:wordWrap/>
              <w:overflowPunct/>
              <w:topLinePunct w:val="0"/>
              <w:autoSpaceDE/>
              <w:autoSpaceDN/>
              <w:bidi w:val="0"/>
              <w:spacing w:beforeAutospacing="0" w:afterAutospacing="0" w:line="4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大写： </w:t>
            </w:r>
          </w:p>
        </w:tc>
      </w:tr>
      <w:tr w14:paraId="273C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18B575A">
            <w:pPr>
              <w:keepNext w:val="0"/>
              <w:keepLines w:val="0"/>
              <w:pageBreakBefore w:val="0"/>
              <w:kinsoku/>
              <w:wordWrap/>
              <w:overflowPunct/>
              <w:topLinePunct w:val="0"/>
              <w:autoSpaceDE/>
              <w:autoSpaceDN/>
              <w:bidi w:val="0"/>
              <w:spacing w:beforeAutospacing="0" w:afterAutospacing="0" w:line="460" w:lineRule="exact"/>
              <w:jc w:val="center"/>
              <w:textAlignment w:val="auto"/>
              <w:rPr>
                <w:rFonts w:hint="eastAsia" w:ascii="仿宋" w:hAnsi="仿宋" w:eastAsia="仿宋" w:cs="仿宋"/>
                <w:color w:val="auto"/>
                <w:sz w:val="24"/>
                <w:szCs w:val="24"/>
              </w:rPr>
            </w:pPr>
          </w:p>
        </w:tc>
        <w:tc>
          <w:tcPr>
            <w:tcW w:w="4413" w:type="dxa"/>
            <w:gridSpan w:val="5"/>
            <w:noWrap w:val="0"/>
            <w:tcMar>
              <w:top w:w="20" w:type="dxa"/>
              <w:left w:w="20" w:type="dxa"/>
              <w:bottom w:w="0" w:type="dxa"/>
              <w:right w:w="20" w:type="dxa"/>
            </w:tcMar>
            <w:vAlign w:val="center"/>
          </w:tcPr>
          <w:p w14:paraId="116A20D5">
            <w:pPr>
              <w:keepNext w:val="0"/>
              <w:keepLines w:val="0"/>
              <w:pageBreakBefore w:val="0"/>
              <w:kinsoku/>
              <w:wordWrap/>
              <w:overflowPunct/>
              <w:topLinePunct w:val="0"/>
              <w:autoSpaceDE/>
              <w:autoSpaceDN/>
              <w:bidi w:val="0"/>
              <w:spacing w:beforeAutospacing="0" w:afterAutospacing="0" w:line="46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小写：   元</w:t>
            </w:r>
          </w:p>
        </w:tc>
      </w:tr>
    </w:tbl>
    <w:p w14:paraId="73699533">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 合同总额是指设备到达西安建筑科技大学指定地点、完成验收后的价格，其中已包含货物费（含备品备件费）、包装费、运杂费（含搬运、装卸、保险费等）、工程费、材料费、全部税费、安装调试费等相关费用。</w:t>
      </w:r>
    </w:p>
    <w:p w14:paraId="681C29FF">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 合同总额为一次性包死价格，不受市场价格的变化和影响，在合同不发生变更时作为付款结算的依据。</w:t>
      </w:r>
    </w:p>
    <w:p w14:paraId="5C3FB090">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 设备的技术参数要求</w:t>
      </w:r>
    </w:p>
    <w:p w14:paraId="4728AC1E">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041D4F5A">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1.4.2乙方应向甲方提供有关标准的中文文本。</w:t>
      </w:r>
    </w:p>
    <w:p w14:paraId="1B9280A7">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1.4.3除非技术规范中另有规定，计量单位均采用中华人民共和国法定计量单位。</w:t>
      </w:r>
    </w:p>
    <w:p w14:paraId="2154A3FE">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2. 包装运输要求 </w:t>
      </w:r>
    </w:p>
    <w:p w14:paraId="13E77A60">
      <w:pPr>
        <w:keepNext w:val="0"/>
        <w:keepLines w:val="0"/>
        <w:pageBreakBefore w:val="0"/>
        <w:kinsoku/>
        <w:wordWrap/>
        <w:overflowPunct/>
        <w:topLinePunct w:val="0"/>
        <w:autoSpaceDE/>
        <w:autoSpaceDN/>
        <w:bidi w:val="0"/>
        <w:spacing w:beforeAutospacing="0" w:afterAutospacing="0" w:line="460" w:lineRule="exact"/>
        <w:ind w:left="105" w:firstLine="480" w:firstLineChars="200"/>
        <w:textAlignment w:val="auto"/>
        <w:outlineLvl w:val="2"/>
        <w:rPr>
          <w:rFonts w:hint="eastAsia" w:ascii="仿宋" w:hAnsi="仿宋" w:eastAsia="仿宋" w:cs="仿宋"/>
          <w:color w:val="auto"/>
          <w:sz w:val="24"/>
          <w:szCs w:val="24"/>
        </w:rPr>
      </w:pPr>
      <w:r>
        <w:rPr>
          <w:rFonts w:hint="eastAsia" w:ascii="仿宋" w:hAnsi="仿宋" w:eastAsia="仿宋" w:cs="仿宋"/>
          <w:color w:val="auto"/>
          <w:sz w:val="24"/>
          <w:szCs w:val="24"/>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AB56DDD">
      <w:pPr>
        <w:keepNext w:val="0"/>
        <w:keepLines w:val="0"/>
        <w:pageBreakBefore w:val="0"/>
        <w:kinsoku/>
        <w:wordWrap/>
        <w:overflowPunct/>
        <w:topLinePunct w:val="0"/>
        <w:autoSpaceDE/>
        <w:autoSpaceDN/>
        <w:bidi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3.交货时间及交货地点</w:t>
      </w:r>
    </w:p>
    <w:p w14:paraId="56429846">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3.1本项目为交钥匙工程，乙方要提供整套合格产品，切实做好安全防护相关工作。产品交货、安装地点均为甲方指定地点。</w:t>
      </w:r>
    </w:p>
    <w:p w14:paraId="7AAAA700">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3.2 领取中标通知书后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个工作日内，乙方负责将产品运输到指定地点，并按照验收标准和验收程序完成设备的安装、调试和验收工作。乙方保证运输过程产品包装完好、安装调试及验收时设备外观无划痕，设备质量完好。</w:t>
      </w:r>
    </w:p>
    <w:p w14:paraId="28389AE3">
      <w:pPr>
        <w:keepNext w:val="0"/>
        <w:keepLines w:val="0"/>
        <w:pageBreakBefore w:val="0"/>
        <w:kinsoku/>
        <w:wordWrap/>
        <w:overflowPunct/>
        <w:topLinePunct w:val="0"/>
        <w:autoSpaceDE/>
        <w:autoSpaceDN/>
        <w:bidi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4.产品质量保证</w:t>
      </w:r>
    </w:p>
    <w:p w14:paraId="0FA5DB2C">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8F77232">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4.2 乙方提供的设备及配套产品必须等同于或优于合同技术指标要求，并能按国家标准供应、检测、调试，确保产品技术指标满足使用要求。</w:t>
      </w:r>
    </w:p>
    <w:p w14:paraId="2625837D">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B3E5A72">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7419C2E4">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A326684">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4.6产品质量保证期为甲方最终设备验收合格后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设备正常使用寿命为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44E69711">
      <w:pPr>
        <w:keepNext w:val="0"/>
        <w:keepLines w:val="0"/>
        <w:pageBreakBefore w:val="0"/>
        <w:kinsoku/>
        <w:wordWrap/>
        <w:overflowPunct/>
        <w:topLinePunct w:val="0"/>
        <w:autoSpaceDE/>
        <w:autoSpaceDN/>
        <w:bidi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5.技术服务承诺</w:t>
      </w:r>
    </w:p>
    <w:p w14:paraId="1B71C919">
      <w:pPr>
        <w:keepNext w:val="0"/>
        <w:keepLines w:val="0"/>
        <w:pageBreakBefore w:val="0"/>
        <w:kinsoku/>
        <w:wordWrap/>
        <w:overflowPunct/>
        <w:topLinePunct w:val="0"/>
        <w:autoSpaceDE/>
        <w:autoSpaceDN/>
        <w:bidi w:val="0"/>
        <w:spacing w:beforeAutospacing="0" w:afterAutospacing="0" w:line="460" w:lineRule="exact"/>
        <w:ind w:left="105" w:firstLine="360" w:firstLineChars="150"/>
        <w:textAlignment w:val="auto"/>
        <w:outlineLvl w:val="2"/>
        <w:rPr>
          <w:rFonts w:hint="eastAsia" w:ascii="仿宋" w:hAnsi="仿宋" w:eastAsia="仿宋" w:cs="仿宋"/>
          <w:color w:val="auto"/>
          <w:sz w:val="24"/>
          <w:szCs w:val="24"/>
        </w:rPr>
      </w:pPr>
      <w:r>
        <w:rPr>
          <w:rFonts w:hint="eastAsia" w:ascii="仿宋" w:hAnsi="仿宋" w:eastAsia="仿宋" w:cs="仿宋"/>
          <w:color w:val="auto"/>
          <w:sz w:val="24"/>
          <w:szCs w:val="24"/>
        </w:rPr>
        <w:t>5.1乙方应严格按照供货时间，及时给甲方供货。</w:t>
      </w:r>
    </w:p>
    <w:p w14:paraId="0AB10C9A">
      <w:pPr>
        <w:keepNext w:val="0"/>
        <w:keepLines w:val="0"/>
        <w:pageBreakBefore w:val="0"/>
        <w:kinsoku/>
        <w:wordWrap/>
        <w:overflowPunct/>
        <w:topLinePunct w:val="0"/>
        <w:autoSpaceDE/>
        <w:autoSpaceDN/>
        <w:bidi w:val="0"/>
        <w:spacing w:beforeAutospacing="0" w:afterAutospacing="0" w:line="460" w:lineRule="exact"/>
        <w:ind w:left="105" w:firstLine="360" w:firstLineChars="150"/>
        <w:textAlignment w:val="auto"/>
        <w:outlineLvl w:val="2"/>
        <w:rPr>
          <w:rFonts w:hint="eastAsia" w:ascii="仿宋" w:hAnsi="仿宋" w:eastAsia="仿宋" w:cs="仿宋"/>
          <w:color w:val="auto"/>
          <w:sz w:val="24"/>
          <w:szCs w:val="24"/>
        </w:rPr>
      </w:pPr>
      <w:r>
        <w:rPr>
          <w:rFonts w:hint="eastAsia" w:ascii="仿宋" w:hAnsi="仿宋" w:eastAsia="仿宋" w:cs="仿宋"/>
          <w:color w:val="auto"/>
          <w:sz w:val="24"/>
          <w:szCs w:val="24"/>
        </w:rPr>
        <w:t>5.2乙方负责提供仪器设备相应的技术资料，包括产品合格证、产品保修单、安装使用及维护说明书以及运输装箱清单等,并对所有技术材料的真实性、准确性、先进性、完整性负责。</w:t>
      </w:r>
    </w:p>
    <w:p w14:paraId="5979D6AA">
      <w:pPr>
        <w:keepNext w:val="0"/>
        <w:keepLines w:val="0"/>
        <w:pageBreakBefore w:val="0"/>
        <w:kinsoku/>
        <w:wordWrap/>
        <w:overflowPunct/>
        <w:topLinePunct w:val="0"/>
        <w:autoSpaceDE/>
        <w:autoSpaceDN/>
        <w:bidi w:val="0"/>
        <w:spacing w:beforeAutospacing="0" w:afterAutospacing="0" w:line="460" w:lineRule="exact"/>
        <w:ind w:left="105" w:firstLine="360" w:firstLineChars="150"/>
        <w:textAlignment w:val="auto"/>
        <w:outlineLvl w:val="2"/>
        <w:rPr>
          <w:rFonts w:hint="eastAsia" w:ascii="仿宋" w:hAnsi="仿宋" w:eastAsia="仿宋" w:cs="仿宋"/>
          <w:b/>
          <w:color w:val="auto"/>
          <w:sz w:val="24"/>
          <w:szCs w:val="24"/>
        </w:rPr>
      </w:pPr>
      <w:r>
        <w:rPr>
          <w:rFonts w:hint="eastAsia" w:ascii="仿宋" w:hAnsi="仿宋" w:eastAsia="仿宋" w:cs="仿宋"/>
          <w:color w:val="auto"/>
          <w:sz w:val="24"/>
          <w:szCs w:val="24"/>
        </w:rPr>
        <w:t>5.3人员培训：乙方终身免费为甲方培训设备使用人员，培训内容包括：设备操作、维护、简单维修等。</w:t>
      </w:r>
    </w:p>
    <w:p w14:paraId="2B403B62">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b/>
          <w:color w:val="auto"/>
          <w:sz w:val="24"/>
          <w:szCs w:val="24"/>
        </w:rPr>
      </w:pPr>
      <w:r>
        <w:rPr>
          <w:rFonts w:hint="eastAsia" w:ascii="仿宋" w:hAnsi="仿宋" w:eastAsia="仿宋" w:cs="仿宋"/>
          <w:bCs/>
          <w:color w:val="auto"/>
          <w:sz w:val="24"/>
          <w:szCs w:val="24"/>
        </w:rPr>
        <w:t>5.4</w:t>
      </w:r>
      <w:r>
        <w:rPr>
          <w:rFonts w:hint="eastAsia" w:ascii="仿宋" w:hAnsi="仿宋" w:eastAsia="仿宋" w:cs="仿宋"/>
          <w:color w:val="auto"/>
          <w:sz w:val="24"/>
          <w:szCs w:val="24"/>
        </w:rPr>
        <w:t>售后服务：质保期内乙方对甲方提出的服务响应不得超出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小时。</w:t>
      </w:r>
    </w:p>
    <w:p w14:paraId="35021825">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5.5具体服务详见乙方投标文件中乙方的承诺书。</w:t>
      </w:r>
    </w:p>
    <w:p w14:paraId="47CE4DBC">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6.验收方法及标准</w:t>
      </w:r>
    </w:p>
    <w:p w14:paraId="7A30815D">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6.1开箱验收</w:t>
      </w:r>
    </w:p>
    <w:p w14:paraId="69FD83AE">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6.1.1产品运抵现场后，双方应及时开箱验收，并制作验收记录，以确认与本合同约定的数量、型号等是否一致。</w:t>
      </w:r>
    </w:p>
    <w:p w14:paraId="309E9B9D">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6.1.2 乙方应在交货前对产品的质量、规格、数量等进行详细而全面的检验，并出具证明产品符合合同规定的文件。该文件将作为申请付款单据的一部分，但有关质量、规格、数量的检验不应视为最终检验。</w:t>
      </w:r>
    </w:p>
    <w:p w14:paraId="22C4A1FC">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AADC804">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6.1.4 开箱验收中如发现产品的数量、规格与合同约定不符，甲方有权拒收产品，乙方应及时按甲方要求免费对拒收产品采取更换或其他必要的补救措施，直至开箱验收合格，方视为乙方完成交货。</w:t>
      </w:r>
    </w:p>
    <w:p w14:paraId="31F1B4A8">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  检验验收</w:t>
      </w:r>
    </w:p>
    <w:p w14:paraId="5BAB2C77">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6.2.1 交货完成后，乙方应及时组装、调试、试运行，按照合同条款规定的试运行完成后，双方及时组织对产品检验验收。合同双方均须派人参加合同要求双方参加的试验、检验。</w:t>
      </w:r>
    </w:p>
    <w:p w14:paraId="3D3C2EFC">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6.2.2 在具体实施合同规定的检验验收之前，乙方需提前提交相应的测试计划（包括测试程序、测试内容和检验标准、试验时间安排等）供甲方确认。</w:t>
      </w:r>
    </w:p>
    <w:p w14:paraId="6CDCA6D8">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6.2.3  除需甲方确认的试验验收外，乙方还应对所有检验验收测试的结果、步骤、原始数据等作妥善记录。如甲方要求，乙方应提供这些记录给甲方。</w:t>
      </w:r>
    </w:p>
    <w:p w14:paraId="77223948">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6.2.4  检验测试出现全部或部分未达到本合同所约定的技术指标，甲方有权选择下列任一处理方式：</w:t>
      </w:r>
    </w:p>
    <w:p w14:paraId="444A6FC3">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a.重新测试直至合格为止；</w:t>
      </w:r>
    </w:p>
    <w:p w14:paraId="79FA78C4">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b.要求乙方对货物进行免费更换，然后重新测试直至合格为止；</w:t>
      </w:r>
    </w:p>
    <w:p w14:paraId="6956727E">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无论选择何种方式，甲方因此而发生的因乙方原因引起的所有费用均由乙方负担。</w:t>
      </w:r>
    </w:p>
    <w:p w14:paraId="7986AE04">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6.3  使用过程检验</w:t>
      </w:r>
    </w:p>
    <w:p w14:paraId="4BACB327">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D6D1133">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6.3.2如果合同双方对乙方提供的上述试验结果报告的解释有分歧，双方须于出现分歧后10天内给对方声明，以陈述己方的观点。声明须附有关证据。分歧应通过协商解决。</w:t>
      </w:r>
    </w:p>
    <w:p w14:paraId="074A05D2">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6.4  所有验收合格，但不能免除乙方应该承担的质保责任。</w:t>
      </w:r>
    </w:p>
    <w:p w14:paraId="3CD7A6FD">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7.合同款项支付方式</w:t>
      </w:r>
    </w:p>
    <w:p w14:paraId="56DC4A85">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7.1履约保证金</w:t>
      </w:r>
    </w:p>
    <w:p w14:paraId="57C6C872">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7.1.1合同签订前，乙方须向甲方提交合同总价的</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%作为履约保证金；</w:t>
      </w:r>
    </w:p>
    <w:p w14:paraId="25703DE2">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7.1.2履约保证金应使用人民币，按</w:t>
      </w:r>
      <w:r>
        <w:rPr>
          <w:rFonts w:hint="eastAsia" w:ascii="仿宋" w:hAnsi="仿宋" w:eastAsia="仿宋" w:cs="仿宋"/>
          <w:color w:val="auto"/>
          <w:sz w:val="24"/>
          <w:szCs w:val="24"/>
          <w:u w:val="single"/>
        </w:rPr>
        <w:t xml:space="preserve">   汇款或现金   </w:t>
      </w:r>
      <w:r>
        <w:rPr>
          <w:rFonts w:hint="eastAsia" w:ascii="仿宋" w:hAnsi="仿宋" w:eastAsia="仿宋" w:cs="仿宋"/>
          <w:color w:val="auto"/>
          <w:sz w:val="24"/>
          <w:szCs w:val="24"/>
        </w:rPr>
        <w:t xml:space="preserve"> </w:t>
      </w:r>
      <w:bookmarkStart w:id="3" w:name="_GoBack"/>
      <w:bookmarkEnd w:id="3"/>
      <w:r>
        <w:rPr>
          <w:rFonts w:hint="eastAsia" w:ascii="仿宋" w:hAnsi="仿宋" w:eastAsia="仿宋" w:cs="仿宋"/>
          <w:color w:val="auto"/>
          <w:sz w:val="24"/>
          <w:szCs w:val="24"/>
        </w:rPr>
        <w:t>方式提交；</w:t>
      </w:r>
    </w:p>
    <w:p w14:paraId="5DC7E041">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7.1.3设备到货并由甲方验收合格后，乙方申请，甲方应把履约保证金（无息）退还乙方。</w:t>
      </w:r>
    </w:p>
    <w:p w14:paraId="43CE2DF0">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7.2合同款支付</w:t>
      </w:r>
      <w:r>
        <w:rPr>
          <w:rFonts w:hint="eastAsia" w:ascii="仿宋" w:hAnsi="仿宋" w:eastAsia="仿宋" w:cs="仿宋"/>
          <w:b/>
          <w:bCs/>
          <w:color w:val="auto"/>
          <w:sz w:val="24"/>
          <w:szCs w:val="24"/>
          <w:lang w:eastAsia="zh-CN"/>
        </w:rPr>
        <w:t>（请在确定支付方式前面的“</w:t>
      </w:r>
      <w:r>
        <w:rPr>
          <w:rFonts w:hint="eastAsia" w:ascii="仿宋" w:hAnsi="仿宋" w:eastAsia="仿宋" w:cs="仿宋"/>
          <w:b/>
          <w:bCs/>
          <w:color w:val="auto"/>
          <w:sz w:val="24"/>
          <w:szCs w:val="24"/>
          <w:lang w:eastAsia="zh-CN"/>
        </w:rPr>
        <w:sym w:font="Wingdings 2" w:char="0052"/>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内</w:t>
      </w:r>
      <w:r>
        <w:rPr>
          <w:rFonts w:hint="eastAsia" w:ascii="仿宋" w:hAnsi="仿宋" w:eastAsia="仿宋" w:cs="仿宋"/>
          <w:b/>
          <w:bCs/>
          <w:color w:val="auto"/>
          <w:sz w:val="24"/>
          <w:szCs w:val="24"/>
          <w:lang w:eastAsia="zh-CN"/>
        </w:rPr>
        <w:t>打“√”</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w:t>
      </w:r>
    </w:p>
    <w:p w14:paraId="2F07DC68">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rPr>
      </w:pPr>
      <w:r>
        <w:rPr>
          <w:rFonts w:hint="eastAsia" w:ascii="仿宋" w:hAnsi="仿宋" w:eastAsia="仿宋" w:cs="仿宋"/>
          <w:b/>
          <w:bCs/>
          <w:color w:val="auto"/>
          <w:sz w:val="24"/>
          <w:szCs w:val="24"/>
          <w:lang w:val="en-US" w:eastAsia="zh-CN"/>
        </w:rPr>
        <w:t>国产设备：（请在确定支付方式前面的“</w:t>
      </w:r>
      <w:r>
        <w:rPr>
          <w:rFonts w:hint="eastAsia" w:ascii="仿宋" w:hAnsi="仿宋" w:eastAsia="仿宋" w:cs="仿宋"/>
          <w:b/>
          <w:bCs/>
          <w:color w:val="auto"/>
          <w:sz w:val="24"/>
          <w:szCs w:val="24"/>
          <w:lang w:val="en-US" w:eastAsia="zh-CN"/>
        </w:rPr>
        <w:sym w:font="Wingdings 2" w:char="00A3"/>
      </w:r>
      <w:r>
        <w:rPr>
          <w:rFonts w:hint="eastAsia" w:ascii="仿宋" w:hAnsi="仿宋" w:eastAsia="仿宋" w:cs="仿宋"/>
          <w:b/>
          <w:bCs/>
          <w:color w:val="auto"/>
          <w:sz w:val="24"/>
          <w:szCs w:val="24"/>
          <w:lang w:val="en-US" w:eastAsia="zh-CN"/>
        </w:rPr>
        <w:t>”内打“√”）</w:t>
      </w:r>
    </w:p>
    <w:p w14:paraId="4EE889AA">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rPr>
      </w:pPr>
      <w:r>
        <w:rPr>
          <w:rFonts w:hint="eastAsia" w:ascii="仿宋" w:hAnsi="仿宋" w:eastAsia="仿宋" w:cs="仿宋"/>
          <w:b/>
          <w:bCs/>
          <w:color w:val="auto"/>
          <w:sz w:val="24"/>
          <w:szCs w:val="24"/>
          <w:lang w:val="en-US" w:eastAsia="zh-CN"/>
        </w:rPr>
        <w:sym w:font="Wingdings 2" w:char="00A3"/>
      </w:r>
      <w:r>
        <w:rPr>
          <w:rFonts w:hint="eastAsia" w:ascii="仿宋" w:hAnsi="仿宋" w:eastAsia="仿宋" w:cs="仿宋"/>
          <w:b/>
          <w:bCs/>
          <w:color w:val="auto"/>
          <w:sz w:val="24"/>
          <w:szCs w:val="24"/>
          <w:lang w:val="en-US" w:eastAsia="zh-CN"/>
        </w:rPr>
        <w:t>（仅限2024年12月20日前无法验收合格的项目）</w:t>
      </w:r>
    </w:p>
    <w:p w14:paraId="0FD4E989">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rPr>
      </w:pPr>
      <w:r>
        <w:rPr>
          <w:rFonts w:hint="eastAsia" w:ascii="仿宋" w:hAnsi="仿宋" w:eastAsia="仿宋" w:cs="仿宋"/>
          <w:b/>
          <w:bCs/>
          <w:color w:val="auto"/>
          <w:sz w:val="24"/>
          <w:szCs w:val="24"/>
          <w:lang w:val="en-US" w:eastAsia="zh-CN"/>
        </w:rPr>
        <w:t>合同签订前，乙方须在甲方指定的银行开立一般结算账户。合同签订后，甲方通过银行电汇付给乙方全额货款。</w:t>
      </w:r>
    </w:p>
    <w:p w14:paraId="7A81DAE5">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rPr>
      </w:pPr>
      <w:r>
        <w:rPr>
          <w:rFonts w:hint="eastAsia" w:ascii="仿宋" w:hAnsi="仿宋" w:eastAsia="仿宋" w:cs="仿宋"/>
          <w:b/>
          <w:bCs/>
          <w:color w:val="auto"/>
          <w:sz w:val="24"/>
          <w:szCs w:val="24"/>
          <w:lang w:val="en-US" w:eastAsia="zh-CN"/>
        </w:rPr>
        <w:sym w:font="Wingdings 2" w:char="00A3"/>
      </w:r>
      <w:r>
        <w:rPr>
          <w:rFonts w:hint="eastAsia" w:ascii="仿宋" w:hAnsi="仿宋" w:eastAsia="仿宋" w:cs="仿宋"/>
          <w:b/>
          <w:bCs/>
          <w:color w:val="auto"/>
          <w:sz w:val="24"/>
          <w:szCs w:val="24"/>
          <w:lang w:val="en-US" w:eastAsia="zh-CN"/>
        </w:rPr>
        <w:t>（仅限2024年12月20日前验收合格的项目）</w:t>
      </w:r>
    </w:p>
    <w:p w14:paraId="3493E02B">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rPr>
      </w:pPr>
      <w:r>
        <w:rPr>
          <w:rFonts w:hint="eastAsia" w:ascii="仿宋" w:hAnsi="仿宋" w:eastAsia="仿宋" w:cs="仿宋"/>
          <w:b/>
          <w:bCs/>
          <w:color w:val="auto"/>
          <w:sz w:val="24"/>
          <w:szCs w:val="24"/>
          <w:lang w:val="en-US" w:eastAsia="zh-CN"/>
        </w:rPr>
        <w:t>签订合同后，设备到达指定地点、安装调试完成并验收合格后，支付合同总价的100%。</w:t>
      </w:r>
    </w:p>
    <w:p w14:paraId="047F67F0">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进口设备：</w:t>
      </w:r>
    </w:p>
    <w:p w14:paraId="49847705">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34CA4EA1">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最终结算时，乙方须向甲方出具合同总价款的增值税专用发票。</w:t>
      </w:r>
    </w:p>
    <w:p w14:paraId="6D9AA7A1">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8.安全生产和文明施工</w:t>
      </w:r>
    </w:p>
    <w:p w14:paraId="3F3F5A15">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8.1 现场安全文明施工由乙方编制专项详细方案并严格执行。</w:t>
      </w:r>
    </w:p>
    <w:p w14:paraId="083B7E8F">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510EF1B5">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8.3 在设备安装施工全过程中，乙方应服从甲方的各项管理，并对乙方施工人员进行安全管理。</w:t>
      </w:r>
    </w:p>
    <w:p w14:paraId="6E92DB2A">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8.4 确保现场建筑物及相关设施设备完好无损，如施工过程中出现损坏，乙方负责修复赔偿。</w:t>
      </w:r>
    </w:p>
    <w:p w14:paraId="3E82846F">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8.5 乙方应对安装施工人员相关岗位上岗资格进行审查，并对相关后果负责。</w:t>
      </w:r>
    </w:p>
    <w:p w14:paraId="7640BBA5">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9.索赔</w:t>
      </w:r>
    </w:p>
    <w:p w14:paraId="38939DCE">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5044601">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9.2在验收合格前，乙方对甲方提出的索赔负有责任，乙方应按照甲方同意的下列一种或多种方式解决索赔事宜：</w:t>
      </w:r>
    </w:p>
    <w:p w14:paraId="257AC280">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0CBF5D7A">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9.2.2根据货物低劣程度、损坏程度以及甲方所遭受损失的数额，经甲乙双方商定降低货物的价格，或由有资质的中介机构评估，以降低后的价格或评估价格为准。</w:t>
      </w:r>
    </w:p>
    <w:p w14:paraId="048BC577">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3B9A7AF">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9.3乙方收到甲方发出的索赔通知之日起5个工作日内未作答复的，甲方可从合同款或履约保证金中扣回索赔金额，如金额不足以补偿索赔金额，乙方应补足差额部分。</w:t>
      </w:r>
    </w:p>
    <w:p w14:paraId="3107FB8B">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10.违约责任</w:t>
      </w:r>
    </w:p>
    <w:p w14:paraId="3BBF7BA1">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10.1 合同生效后，甲乙双方应按合同规定认真履约。合同履约责任只涉及合同甲乙双方，不考虑第三方因素。</w:t>
      </w:r>
    </w:p>
    <w:p w14:paraId="7D7AF62A">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10.2 除不可抗力原因外，如遇下列情况之一者，乙方所缴纳的履约</w:t>
      </w:r>
      <w:r>
        <w:rPr>
          <w:rFonts w:hint="eastAsia" w:ascii="仿宋" w:hAnsi="仿宋" w:eastAsia="仿宋" w:cs="仿宋"/>
          <w:color w:val="auto"/>
          <w:sz w:val="24"/>
          <w:szCs w:val="24"/>
          <w:lang w:val="en-US" w:eastAsia="zh-CN"/>
        </w:rPr>
        <w:t>保证</w:t>
      </w:r>
      <w:r>
        <w:rPr>
          <w:rFonts w:hint="eastAsia" w:ascii="仿宋" w:hAnsi="仿宋" w:eastAsia="仿宋" w:cs="仿宋"/>
          <w:color w:val="auto"/>
          <w:sz w:val="24"/>
          <w:szCs w:val="24"/>
        </w:rPr>
        <w:t>金甲方有权不予退还，作为对甲方的赔偿，且甲方有权解除本合同：（1）合同签订后不能按合同时限要求供货或安装调试；（2）所供设备不合格、与合同不符；（3）不能按合同履约；（4）因产品质量原因，不能通过验收。</w:t>
      </w:r>
    </w:p>
    <w:p w14:paraId="1CFE85A1">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10.3如乙方产品质量不符合国家标准、行业内控标准或本合同技术附件要求的，甲方有权退货，乙方应退还全部货款，并承担甲方合同总价款10％的违约金及其他损失。</w:t>
      </w:r>
    </w:p>
    <w:p w14:paraId="06B1A000">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10.4 在合同规定的供货期内乙方未全部交货，除应如数补齐外，还应承担合同总款的10％违约金。</w:t>
      </w:r>
    </w:p>
    <w:p w14:paraId="0ACC5D9B">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10.5 乙方对货物不按招标文件要求，擅自更换，除恢复原招标产品外，应承担更换部分价款10%的违约金；乙方如对产品材质、随机配品以次充好，除全部按要求恢复外，应承担此部分价款10%的违约金。</w:t>
      </w:r>
    </w:p>
    <w:p w14:paraId="4C8C0666">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23EDCFF">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4BC83D4C">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11.合同争议的解决</w:t>
      </w:r>
    </w:p>
    <w:p w14:paraId="705F1C28">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11.1甲乙双方由于本合同的履行而发生任何争议时，双方可先通过协商解决。</w:t>
      </w:r>
    </w:p>
    <w:p w14:paraId="76C3F0A9">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11.2任何一方不愿通过协商或通过协商仍不能解决争议，则双方中任何一方均应向甲方所在地人民法院起诉。</w:t>
      </w:r>
    </w:p>
    <w:p w14:paraId="4CAE7DB6">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12.违约解除合同</w:t>
      </w:r>
    </w:p>
    <w:p w14:paraId="78833960">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12.1出现下列情形之一的，视为乙方违约。甲方可向乙方发出书面通知，部分或全部终止合同，同时保留向乙方索赔的权利。</w:t>
      </w:r>
    </w:p>
    <w:p w14:paraId="454705F9">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12.1.1乙方未能在合同规定的限期或甲方同意延长的限期内，提供全部或部分货物的； </w:t>
      </w:r>
    </w:p>
    <w:p w14:paraId="49C0B137">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12.1.2乙方未能履行合同规定的其它主要义务的；</w:t>
      </w:r>
    </w:p>
    <w:p w14:paraId="1E2202AF">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12.1.3乙方在本合同履行过程中有欺诈行为的。</w:t>
      </w:r>
    </w:p>
    <w:p w14:paraId="790CBDC8">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CD457F1">
      <w:pPr>
        <w:keepNext w:val="0"/>
        <w:keepLines w:val="0"/>
        <w:pageBreakBefore w:val="0"/>
        <w:kinsoku/>
        <w:wordWrap/>
        <w:overflowPunct/>
        <w:topLinePunct w:val="0"/>
        <w:autoSpaceDE/>
        <w:autoSpaceDN/>
        <w:bidi w:val="0"/>
        <w:snapToGrid w:val="0"/>
        <w:spacing w:beforeAutospacing="0" w:afterAutospacing="0" w:line="460" w:lineRule="exact"/>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13.其它事项</w:t>
      </w:r>
    </w:p>
    <w:p w14:paraId="5DC306B0">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13.1 合同经双方签字盖章后生效。本合同一式五份，甲方执四份，乙方执一份，执行完毕后自行失效。</w:t>
      </w:r>
    </w:p>
    <w:p w14:paraId="73A8D288">
      <w:pPr>
        <w:keepNext w:val="0"/>
        <w:keepLines w:val="0"/>
        <w:pageBreakBefore w:val="0"/>
        <w:kinsoku/>
        <w:wordWrap/>
        <w:overflowPunct/>
        <w:topLinePunct w:val="0"/>
        <w:autoSpaceDE/>
        <w:autoSpaceDN/>
        <w:bidi w:val="0"/>
        <w:spacing w:beforeAutospacing="0" w:afterAutospacing="0" w:line="460" w:lineRule="exact"/>
        <w:ind w:firstLine="470" w:firstLineChars="196"/>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13.2 合同的附件、投标文件均作为本合同不可分割的内容，且具有同等法律效力。合同的附件由甲方使用单位负责审核并签章。</w:t>
      </w:r>
    </w:p>
    <w:p w14:paraId="4451EDAA">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13.3 在本合同执行过程中，甲、乙双方协商签订的补充合同与原合同具有同等法律效力。</w:t>
      </w:r>
    </w:p>
    <w:p w14:paraId="3EB7F174">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13.4 未尽事宜，双方协商解决。</w:t>
      </w:r>
    </w:p>
    <w:p w14:paraId="36A62658">
      <w:pPr>
        <w:keepNext w:val="0"/>
        <w:keepLines w:val="0"/>
        <w:pageBreakBefore w:val="0"/>
        <w:kinsoku/>
        <w:wordWrap/>
        <w:overflowPunct/>
        <w:topLinePunct w:val="0"/>
        <w:autoSpaceDE/>
        <w:autoSpaceDN/>
        <w:bidi w:val="0"/>
        <w:snapToGrid w:val="0"/>
        <w:spacing w:beforeAutospacing="0" w:afterAutospacing="0" w:line="460" w:lineRule="exact"/>
        <w:ind w:firstLine="480" w:firstLineChars="200"/>
        <w:textAlignment w:val="auto"/>
        <w:rPr>
          <w:rFonts w:hint="eastAsia" w:ascii="仿宋" w:hAnsi="仿宋" w:eastAsia="仿宋" w:cs="仿宋"/>
          <w:color w:val="auto"/>
          <w:sz w:val="24"/>
          <w:szCs w:val="24"/>
        </w:rPr>
      </w:pPr>
    </w:p>
    <w:p w14:paraId="312D313A">
      <w:pPr>
        <w:keepNext w:val="0"/>
        <w:keepLines w:val="0"/>
        <w:pageBreakBefore w:val="0"/>
        <w:kinsoku/>
        <w:wordWrap/>
        <w:overflowPunct/>
        <w:topLinePunct w:val="0"/>
        <w:autoSpaceDE/>
        <w:autoSpaceDN/>
        <w:bidi w:val="0"/>
        <w:snapToGrid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合同签订地点：西安建筑科技大学</w:t>
      </w:r>
    </w:p>
    <w:p w14:paraId="69B74F67">
      <w:pPr>
        <w:keepNext w:val="0"/>
        <w:keepLines w:val="0"/>
        <w:pageBreakBefore w:val="0"/>
        <w:kinsoku/>
        <w:wordWrap/>
        <w:overflowPunct/>
        <w:topLinePunct w:val="0"/>
        <w:autoSpaceDE/>
        <w:autoSpaceDN/>
        <w:bidi w:val="0"/>
        <w:snapToGrid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合同签订时间：      年    月    日</w:t>
      </w:r>
    </w:p>
    <w:p w14:paraId="441F8276">
      <w:pPr>
        <w:keepNext w:val="0"/>
        <w:keepLines w:val="0"/>
        <w:pageBreakBefore w:val="0"/>
        <w:kinsoku/>
        <w:wordWrap/>
        <w:overflowPunct/>
        <w:topLinePunct w:val="0"/>
        <w:autoSpaceDE/>
        <w:autoSpaceDN/>
        <w:bidi w:val="0"/>
        <w:snapToGrid w:val="0"/>
        <w:spacing w:beforeAutospacing="0" w:afterAutospacing="0" w:line="460" w:lineRule="exact"/>
        <w:textAlignment w:val="auto"/>
        <w:rPr>
          <w:rFonts w:hint="eastAsia" w:ascii="仿宋" w:hAnsi="仿宋" w:eastAsia="仿宋" w:cs="仿宋"/>
          <w:b/>
          <w:color w:val="auto"/>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6494E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50B24B5">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甲  方（盖章）：西安建筑科技大学</w:t>
            </w:r>
          </w:p>
        </w:tc>
        <w:tc>
          <w:tcPr>
            <w:tcW w:w="4503" w:type="dxa"/>
            <w:noWrap w:val="0"/>
            <w:vAlign w:val="center"/>
          </w:tcPr>
          <w:p w14:paraId="24CCFBE2">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乙  方（盖章）：</w:t>
            </w:r>
          </w:p>
        </w:tc>
      </w:tr>
      <w:tr w14:paraId="304BC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111E198">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地  址：西安市雁塔路13号</w:t>
            </w:r>
          </w:p>
        </w:tc>
        <w:tc>
          <w:tcPr>
            <w:tcW w:w="4503" w:type="dxa"/>
            <w:noWrap w:val="0"/>
            <w:vAlign w:val="center"/>
          </w:tcPr>
          <w:p w14:paraId="6CDC8FDA">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地  址：</w:t>
            </w:r>
          </w:p>
        </w:tc>
      </w:tr>
      <w:tr w14:paraId="2F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3DD81F7">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法定代表人（签字）：</w:t>
            </w:r>
          </w:p>
        </w:tc>
        <w:tc>
          <w:tcPr>
            <w:tcW w:w="4503" w:type="dxa"/>
            <w:noWrap w:val="0"/>
            <w:vAlign w:val="center"/>
          </w:tcPr>
          <w:p w14:paraId="1ADB504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法定代表人（签字）：</w:t>
            </w:r>
          </w:p>
        </w:tc>
      </w:tr>
      <w:tr w14:paraId="0933D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8908B8F">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委托代理人（签字）：</w:t>
            </w:r>
          </w:p>
        </w:tc>
        <w:tc>
          <w:tcPr>
            <w:tcW w:w="4503" w:type="dxa"/>
            <w:noWrap w:val="0"/>
            <w:vAlign w:val="center"/>
          </w:tcPr>
          <w:p w14:paraId="5DC70E85">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委托代理人（签字）：</w:t>
            </w:r>
          </w:p>
        </w:tc>
      </w:tr>
      <w:tr w14:paraId="3C13A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F9F2BE2">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开户名：西安建筑科技大学</w:t>
            </w:r>
          </w:p>
        </w:tc>
        <w:tc>
          <w:tcPr>
            <w:tcW w:w="4503" w:type="dxa"/>
            <w:noWrap w:val="0"/>
            <w:vAlign w:val="center"/>
          </w:tcPr>
          <w:p w14:paraId="319C9F84">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开户名：</w:t>
            </w:r>
          </w:p>
        </w:tc>
      </w:tr>
      <w:tr w14:paraId="340D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BADD30A">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开户行：工行雁塔路支行</w:t>
            </w:r>
          </w:p>
          <w:p w14:paraId="4CBA1165">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税  号: 1261000043523106XB</w:t>
            </w:r>
          </w:p>
        </w:tc>
        <w:tc>
          <w:tcPr>
            <w:tcW w:w="4503" w:type="dxa"/>
            <w:noWrap w:val="0"/>
            <w:vAlign w:val="center"/>
          </w:tcPr>
          <w:p w14:paraId="6C3E5D2D">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开户行：</w:t>
            </w:r>
          </w:p>
        </w:tc>
      </w:tr>
      <w:tr w14:paraId="6D44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D8F48B1">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帐  号：3700023009026400639</w:t>
            </w:r>
          </w:p>
        </w:tc>
        <w:tc>
          <w:tcPr>
            <w:tcW w:w="4503" w:type="dxa"/>
            <w:noWrap w:val="0"/>
            <w:vAlign w:val="center"/>
          </w:tcPr>
          <w:p w14:paraId="37E95A6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帐  号：</w:t>
            </w:r>
          </w:p>
        </w:tc>
      </w:tr>
      <w:tr w14:paraId="171E4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4DD06DE">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rPr>
              <w:t>联系人：</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刘世泽</w:t>
            </w:r>
          </w:p>
        </w:tc>
        <w:tc>
          <w:tcPr>
            <w:tcW w:w="4503" w:type="dxa"/>
            <w:noWrap w:val="0"/>
            <w:vAlign w:val="center"/>
          </w:tcPr>
          <w:p w14:paraId="1111A6BE">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联系人：</w:t>
            </w:r>
          </w:p>
        </w:tc>
      </w:tr>
      <w:tr w14:paraId="5784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F5F2CE8">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联系电话：029-82202312</w:t>
            </w:r>
          </w:p>
        </w:tc>
        <w:tc>
          <w:tcPr>
            <w:tcW w:w="4503" w:type="dxa"/>
            <w:noWrap w:val="0"/>
            <w:vAlign w:val="center"/>
          </w:tcPr>
          <w:p w14:paraId="5D854B84">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联系电话：</w:t>
            </w:r>
          </w:p>
        </w:tc>
      </w:tr>
    </w:tbl>
    <w:p w14:paraId="40F1203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p>
    <w:p w14:paraId="67C2E4FD">
      <w:pPr>
        <w:keepNext w:val="0"/>
        <w:keepLines w:val="0"/>
        <w:pageBreakBefore w:val="0"/>
        <w:kinsoku/>
        <w:wordWrap/>
        <w:overflowPunct/>
        <w:topLinePunct w:val="0"/>
        <w:autoSpaceDE/>
        <w:autoSpaceDN/>
        <w:bidi w:val="0"/>
        <w:spacing w:beforeAutospacing="0" w:afterAutospacing="0" w:line="460" w:lineRule="exact"/>
        <w:ind w:firstLine="236" w:firstLineChars="98"/>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br w:type="page"/>
      </w:r>
      <w:r>
        <w:rPr>
          <w:rFonts w:hint="eastAsia" w:ascii="仿宋" w:hAnsi="仿宋" w:eastAsia="仿宋" w:cs="仿宋"/>
          <w:b/>
          <w:color w:val="auto"/>
          <w:sz w:val="24"/>
          <w:szCs w:val="24"/>
        </w:rPr>
        <w:t>附件：技术协议</w:t>
      </w:r>
    </w:p>
    <w:p w14:paraId="0DDB6E2F">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1.中标产品技术参数明细</w:t>
      </w:r>
    </w:p>
    <w:p w14:paraId="582F2973">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color w:val="auto"/>
          <w:kern w:val="0"/>
          <w:sz w:val="24"/>
          <w:szCs w:val="24"/>
        </w:rPr>
        <w:t>我公司承诺：合同中数列产品均满足标书及使用要求，无任何负偏离。并与所供产品完全一致。</w:t>
      </w:r>
    </w:p>
    <w:p w14:paraId="40A05C33">
      <w:pPr>
        <w:keepNext w:val="0"/>
        <w:keepLines w:val="0"/>
        <w:pageBreakBefore w:val="0"/>
        <w:kinsoku/>
        <w:wordWrap/>
        <w:overflowPunct/>
        <w:topLinePunct w:val="0"/>
        <w:autoSpaceDE/>
        <w:autoSpaceDN/>
        <w:bidi w:val="0"/>
        <w:spacing w:beforeAutospacing="0" w:afterAutospacing="0" w:line="460" w:lineRule="exact"/>
        <w:textAlignment w:val="auto"/>
        <w:rPr>
          <w:rStyle w:val="9"/>
          <w:rFonts w:hint="eastAsia" w:ascii="仿宋" w:hAnsi="仿宋" w:eastAsia="仿宋" w:cs="仿宋"/>
          <w:color w:val="auto"/>
          <w:sz w:val="24"/>
          <w:szCs w:val="24"/>
        </w:rPr>
      </w:pPr>
      <w:r>
        <w:rPr>
          <w:rStyle w:val="9"/>
          <w:rFonts w:hint="eastAsia" w:ascii="仿宋" w:hAnsi="仿宋" w:eastAsia="仿宋" w:cs="仿宋"/>
          <w:color w:val="auto"/>
          <w:sz w:val="24"/>
          <w:szCs w:val="24"/>
        </w:rPr>
        <w:t>1.1设备特性</w:t>
      </w:r>
    </w:p>
    <w:p w14:paraId="02384E1C">
      <w:pPr>
        <w:keepNext w:val="0"/>
        <w:keepLines w:val="0"/>
        <w:pageBreakBefore w:val="0"/>
        <w:kinsoku/>
        <w:wordWrap/>
        <w:overflowPunct/>
        <w:topLinePunct w:val="0"/>
        <w:autoSpaceDE/>
        <w:autoSpaceDN/>
        <w:bidi w:val="0"/>
        <w:spacing w:beforeAutospacing="0" w:afterAutospacing="0" w:line="460" w:lineRule="exact"/>
        <w:textAlignment w:val="auto"/>
        <w:rPr>
          <w:rStyle w:val="9"/>
          <w:rFonts w:hint="eastAsia" w:ascii="仿宋" w:hAnsi="仿宋" w:eastAsia="仿宋" w:cs="仿宋"/>
          <w:color w:val="auto"/>
          <w:sz w:val="24"/>
          <w:szCs w:val="24"/>
        </w:rPr>
      </w:pPr>
      <w:r>
        <w:rPr>
          <w:rStyle w:val="9"/>
          <w:rFonts w:hint="eastAsia" w:ascii="仿宋" w:hAnsi="仿宋" w:eastAsia="仿宋" w:cs="仿宋"/>
          <w:color w:val="auto"/>
          <w:sz w:val="24"/>
          <w:szCs w:val="24"/>
        </w:rPr>
        <w:t>1.2</w:t>
      </w:r>
      <w:r>
        <w:rPr>
          <w:rFonts w:hint="eastAsia" w:ascii="仿宋" w:hAnsi="仿宋" w:eastAsia="仿宋" w:cs="仿宋"/>
          <w:b/>
          <w:color w:val="auto"/>
          <w:sz w:val="24"/>
          <w:szCs w:val="24"/>
        </w:rPr>
        <w:t>设备用途</w:t>
      </w:r>
    </w:p>
    <w:p w14:paraId="4F757821">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1.3设备主要参数指标</w:t>
      </w:r>
    </w:p>
    <w:p w14:paraId="72A8426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1.4质量要求与安全要求</w:t>
      </w:r>
    </w:p>
    <w:p w14:paraId="09E2FE91">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1.5设备运行一般流程图</w:t>
      </w:r>
    </w:p>
    <w:p w14:paraId="700B3962">
      <w:pPr>
        <w:keepNext w:val="0"/>
        <w:keepLines w:val="0"/>
        <w:pageBreakBefore w:val="0"/>
        <w:kinsoku/>
        <w:wordWrap/>
        <w:overflowPunct/>
        <w:topLinePunct w:val="0"/>
        <w:autoSpaceDE/>
        <w:autoSpaceDN/>
        <w:bidi w:val="0"/>
        <w:spacing w:beforeAutospacing="0" w:afterAutospacing="0" w:line="460" w:lineRule="exact"/>
        <w:textAlignment w:val="auto"/>
        <w:rPr>
          <w:rStyle w:val="9"/>
          <w:rFonts w:hint="eastAsia" w:ascii="仿宋" w:hAnsi="仿宋" w:eastAsia="仿宋" w:cs="仿宋"/>
          <w:bCs w:val="0"/>
          <w:color w:val="auto"/>
          <w:sz w:val="24"/>
          <w:szCs w:val="24"/>
        </w:rPr>
      </w:pPr>
    </w:p>
    <w:p w14:paraId="33530FEB">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2.售后服务内容</w:t>
      </w:r>
    </w:p>
    <w:p w14:paraId="1F44B0A2">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2.1技术服务、售后服务体系、故障响应时间、应急维修措施</w:t>
      </w:r>
    </w:p>
    <w:p w14:paraId="315515B9">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2.1.1技术服务措施</w:t>
      </w:r>
    </w:p>
    <w:p w14:paraId="65F54287">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2.1.2售后服务体系</w:t>
      </w:r>
    </w:p>
    <w:p w14:paraId="219CC9E7">
      <w:pPr>
        <w:keepNext w:val="0"/>
        <w:keepLines w:val="0"/>
        <w:pageBreakBefore w:val="0"/>
        <w:kinsoku/>
        <w:wordWrap/>
        <w:overflowPunct/>
        <w:topLinePunct w:val="0"/>
        <w:autoSpaceDE/>
        <w:autoSpaceDN/>
        <w:bidi w:val="0"/>
        <w:spacing w:beforeAutospacing="0" w:afterAutospacing="0" w:line="460" w:lineRule="exact"/>
        <w:ind w:firstLine="480" w:firstLineChars="200"/>
        <w:jc w:val="left"/>
        <w:textAlignment w:val="auto"/>
        <w:outlineLvl w:val="0"/>
        <w:rPr>
          <w:rFonts w:hint="eastAsia" w:ascii="仿宋" w:hAnsi="仿宋" w:eastAsia="仿宋" w:cs="仿宋"/>
          <w:color w:val="auto"/>
          <w:sz w:val="24"/>
          <w:szCs w:val="24"/>
        </w:rPr>
      </w:pPr>
      <w:r>
        <w:rPr>
          <w:rFonts w:hint="eastAsia" w:ascii="仿宋" w:hAnsi="仿宋" w:eastAsia="仿宋" w:cs="仿宋"/>
          <w:color w:val="auto"/>
          <w:sz w:val="24"/>
          <w:szCs w:val="24"/>
        </w:rPr>
        <w:t>质保期内服务</w:t>
      </w:r>
    </w:p>
    <w:p w14:paraId="0960319C">
      <w:pPr>
        <w:keepNext w:val="0"/>
        <w:keepLines w:val="0"/>
        <w:pageBreakBefore w:val="0"/>
        <w:kinsoku/>
        <w:wordWrap/>
        <w:overflowPunct/>
        <w:topLinePunct w:val="0"/>
        <w:autoSpaceDE/>
        <w:autoSpaceDN/>
        <w:bidi w:val="0"/>
        <w:spacing w:beforeAutospacing="0" w:afterAutospacing="0" w:line="460" w:lineRule="exact"/>
        <w:ind w:firstLine="480" w:firstLineChars="200"/>
        <w:jc w:val="left"/>
        <w:textAlignment w:val="auto"/>
        <w:outlineLvl w:val="0"/>
        <w:rPr>
          <w:rFonts w:hint="eastAsia" w:ascii="仿宋" w:hAnsi="仿宋" w:eastAsia="仿宋" w:cs="仿宋"/>
          <w:color w:val="auto"/>
          <w:sz w:val="24"/>
          <w:szCs w:val="24"/>
        </w:rPr>
      </w:pPr>
      <w:r>
        <w:rPr>
          <w:rFonts w:hint="eastAsia" w:ascii="仿宋" w:hAnsi="仿宋" w:eastAsia="仿宋" w:cs="仿宋"/>
          <w:color w:val="auto"/>
          <w:sz w:val="24"/>
          <w:szCs w:val="24"/>
        </w:rPr>
        <w:t>质保期外服务</w:t>
      </w:r>
    </w:p>
    <w:p w14:paraId="1ADA306B">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2.1.3故障响应时间</w:t>
      </w:r>
    </w:p>
    <w:p w14:paraId="40D91A69">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2.1.4应急维修措施</w:t>
      </w:r>
    </w:p>
    <w:p w14:paraId="0D60B872">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2.1.5易损件、备件的供应</w:t>
      </w:r>
    </w:p>
    <w:p w14:paraId="41270ADF">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2.1.6质保期以外技术支持或技术服务</w:t>
      </w:r>
    </w:p>
    <w:p w14:paraId="48C3ACD0">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r>
        <w:rPr>
          <w:rFonts w:hint="eastAsia" w:ascii="仿宋" w:hAnsi="仿宋" w:eastAsia="仿宋" w:cs="仿宋"/>
          <w:color w:val="auto"/>
          <w:sz w:val="24"/>
          <w:szCs w:val="24"/>
        </w:rPr>
        <w:t>2.1.7制定切实可行的操作规程和使用指南</w:t>
      </w:r>
    </w:p>
    <w:p w14:paraId="1C150E7A">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p>
    <w:p w14:paraId="17ACE45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3.培训服务内容</w:t>
      </w:r>
    </w:p>
    <w:p w14:paraId="36F0B8A1">
      <w:pPr>
        <w:keepNext w:val="0"/>
        <w:keepLines w:val="0"/>
        <w:pageBreakBefore w:val="0"/>
        <w:kinsoku/>
        <w:wordWrap/>
        <w:overflowPunct/>
        <w:topLinePunct w:val="0"/>
        <w:autoSpaceDE/>
        <w:autoSpaceDN/>
        <w:bidi w:val="0"/>
        <w:spacing w:beforeAutospacing="0" w:afterAutospacing="0" w:line="460" w:lineRule="exact"/>
        <w:ind w:right="210" w:rightChars="100"/>
        <w:textAlignment w:val="auto"/>
        <w:outlineLvl w:val="3"/>
        <w:rPr>
          <w:rFonts w:hint="eastAsia" w:ascii="仿宋" w:hAnsi="仿宋" w:eastAsia="仿宋" w:cs="仿宋"/>
          <w:b/>
          <w:color w:val="auto"/>
          <w:sz w:val="24"/>
          <w:szCs w:val="24"/>
        </w:rPr>
      </w:pPr>
      <w:r>
        <w:rPr>
          <w:rFonts w:hint="eastAsia" w:ascii="仿宋" w:hAnsi="仿宋" w:eastAsia="仿宋" w:cs="仿宋"/>
          <w:b/>
          <w:color w:val="auto"/>
          <w:sz w:val="24"/>
          <w:szCs w:val="24"/>
        </w:rPr>
        <w:t>3.1培训方案</w:t>
      </w:r>
    </w:p>
    <w:p w14:paraId="7CE5CCEA">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培训目标和要求</w:t>
      </w:r>
    </w:p>
    <w:p w14:paraId="073B5DDF">
      <w:pPr>
        <w:keepNext w:val="0"/>
        <w:keepLines w:val="0"/>
        <w:pageBreakBefore w:val="0"/>
        <w:kinsoku/>
        <w:wordWrap/>
        <w:overflowPunct/>
        <w:topLinePunct w:val="0"/>
        <w:autoSpaceDE/>
        <w:autoSpaceDN/>
        <w:bidi w:val="0"/>
        <w:spacing w:beforeAutospacing="0" w:afterAutospacing="0" w:line="460" w:lineRule="exact"/>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3.2培训对象</w:t>
      </w:r>
    </w:p>
    <w:p w14:paraId="1AA167F8">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3.3培训方式</w:t>
      </w:r>
    </w:p>
    <w:p w14:paraId="7E68AD13">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3.3.1系统使用培训：</w:t>
      </w:r>
    </w:p>
    <w:p w14:paraId="644F6B56">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3.3.2培训课程及培训人数：</w:t>
      </w:r>
    </w:p>
    <w:p w14:paraId="1A3D0096">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3.3.3培训教师安排</w:t>
      </w:r>
    </w:p>
    <w:p w14:paraId="4329533D">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3.3.4培训时间安排</w:t>
      </w:r>
    </w:p>
    <w:p w14:paraId="11A58D81">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outlineLvl w:val="1"/>
        <w:rPr>
          <w:rFonts w:hint="eastAsia" w:ascii="仿宋" w:hAnsi="仿宋" w:eastAsia="仿宋" w:cs="仿宋"/>
          <w:color w:val="auto"/>
          <w:sz w:val="24"/>
          <w:szCs w:val="24"/>
        </w:rPr>
      </w:pPr>
      <w:r>
        <w:rPr>
          <w:rFonts w:hint="eastAsia" w:ascii="仿宋" w:hAnsi="仿宋" w:eastAsia="仿宋" w:cs="仿宋"/>
          <w:color w:val="auto"/>
          <w:sz w:val="24"/>
          <w:szCs w:val="24"/>
        </w:rPr>
        <w:t>3.3.5培训及安全保证</w:t>
      </w:r>
    </w:p>
    <w:p w14:paraId="4031EE04">
      <w:pPr>
        <w:pStyle w:val="6"/>
        <w:keepNext w:val="0"/>
        <w:keepLines w:val="0"/>
        <w:pageBreakBefore w:val="0"/>
        <w:kinsoku/>
        <w:wordWrap/>
        <w:overflowPunct/>
        <w:topLinePunct w:val="0"/>
        <w:autoSpaceDE/>
        <w:autoSpaceDN/>
        <w:bidi w:val="0"/>
        <w:spacing w:beforeAutospacing="0" w:after="0" w:afterAutospacing="0" w:line="460" w:lineRule="exact"/>
        <w:ind w:left="0" w:leftChars="0"/>
        <w:textAlignment w:val="auto"/>
        <w:rPr>
          <w:rFonts w:hint="eastAsia" w:ascii="仿宋" w:hAnsi="仿宋" w:eastAsia="仿宋" w:cs="仿宋"/>
          <w:snapToGrid w:val="0"/>
          <w:color w:val="auto"/>
          <w:sz w:val="24"/>
          <w:szCs w:val="24"/>
        </w:rPr>
      </w:pPr>
      <w:r>
        <w:rPr>
          <w:rFonts w:hint="eastAsia" w:ascii="仿宋" w:hAnsi="仿宋" w:eastAsia="仿宋" w:cs="仿宋"/>
          <w:snapToGrid w:val="0"/>
          <w:color w:val="auto"/>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0F8CBF36">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② 设备本体对可能造成伤害的部位均应采用防护板或防护网隔离并有醒目警示。</w:t>
      </w:r>
    </w:p>
    <w:p w14:paraId="73D3B920">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③ 所用电气元件均按照国标选配，确保稳定安全，符合三防要求。</w:t>
      </w:r>
    </w:p>
    <w:p w14:paraId="22E6220B">
      <w:pPr>
        <w:keepNext w:val="0"/>
        <w:keepLines w:val="0"/>
        <w:pageBreakBefore w:val="0"/>
        <w:kinsoku/>
        <w:wordWrap/>
        <w:overflowPunct/>
        <w:topLinePunct w:val="0"/>
        <w:autoSpaceDE/>
        <w:autoSpaceDN/>
        <w:bidi w:val="0"/>
        <w:spacing w:beforeAutospacing="0" w:afterAutospacing="0" w:line="460" w:lineRule="exact"/>
        <w:ind w:right="210" w:rightChars="100" w:firstLine="480" w:firstLineChars="200"/>
        <w:textAlignment w:val="auto"/>
        <w:outlineLvl w:val="3"/>
        <w:rPr>
          <w:rFonts w:hint="eastAsia" w:ascii="仿宋" w:hAnsi="仿宋" w:eastAsia="仿宋" w:cs="仿宋"/>
          <w:color w:val="auto"/>
          <w:sz w:val="24"/>
          <w:szCs w:val="24"/>
        </w:rPr>
      </w:pPr>
    </w:p>
    <w:p w14:paraId="6ACA91D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bookmarkStart w:id="0" w:name="_Toc345966650"/>
      <w:bookmarkStart w:id="1" w:name="_Toc346025578"/>
      <w:bookmarkStart w:id="2" w:name="_Toc345966825"/>
    </w:p>
    <w:p w14:paraId="3EF7B405">
      <w:pPr>
        <w:pStyle w:val="12"/>
        <w:keepNext w:val="0"/>
        <w:keepLines w:val="0"/>
        <w:pageBreakBefore w:val="0"/>
        <w:numPr>
          <w:ilvl w:val="1"/>
          <w:numId w:val="1"/>
        </w:numPr>
        <w:kinsoku/>
        <w:wordWrap/>
        <w:overflowPunct/>
        <w:topLinePunct w:val="0"/>
        <w:autoSpaceDE/>
        <w:autoSpaceDN/>
        <w:bidi w:val="0"/>
        <w:spacing w:beforeAutospacing="0" w:afterAutospacing="0" w:line="460" w:lineRule="exact"/>
        <w:ind w:left="0" w:firstLine="0" w:firstLineChars="0"/>
        <w:textAlignment w:val="auto"/>
        <w:rPr>
          <w:rFonts w:hint="eastAsia" w:ascii="仿宋" w:hAnsi="仿宋" w:eastAsia="仿宋" w:cs="仿宋"/>
          <w:b/>
          <w:vanish/>
          <w:color w:val="auto"/>
          <w:sz w:val="24"/>
          <w:szCs w:val="24"/>
        </w:rPr>
      </w:pPr>
    </w:p>
    <w:p w14:paraId="541493B2">
      <w:pPr>
        <w:pStyle w:val="12"/>
        <w:keepNext w:val="0"/>
        <w:keepLines w:val="0"/>
        <w:pageBreakBefore w:val="0"/>
        <w:numPr>
          <w:ilvl w:val="1"/>
          <w:numId w:val="1"/>
        </w:numPr>
        <w:kinsoku/>
        <w:wordWrap/>
        <w:overflowPunct/>
        <w:topLinePunct w:val="0"/>
        <w:autoSpaceDE/>
        <w:autoSpaceDN/>
        <w:bidi w:val="0"/>
        <w:spacing w:beforeAutospacing="0" w:afterAutospacing="0" w:line="460" w:lineRule="exact"/>
        <w:ind w:left="0" w:firstLine="0" w:firstLineChars="0"/>
        <w:textAlignment w:val="auto"/>
        <w:rPr>
          <w:rFonts w:hint="eastAsia" w:ascii="仿宋" w:hAnsi="仿宋" w:eastAsia="仿宋" w:cs="仿宋"/>
          <w:b/>
          <w:vanish/>
          <w:color w:val="auto"/>
          <w:sz w:val="24"/>
          <w:szCs w:val="24"/>
        </w:rPr>
      </w:pPr>
    </w:p>
    <w:p w14:paraId="52375B6C">
      <w:pPr>
        <w:pStyle w:val="12"/>
        <w:keepNext w:val="0"/>
        <w:keepLines w:val="0"/>
        <w:pageBreakBefore w:val="0"/>
        <w:numPr>
          <w:ilvl w:val="1"/>
          <w:numId w:val="1"/>
        </w:numPr>
        <w:kinsoku/>
        <w:wordWrap/>
        <w:overflowPunct/>
        <w:topLinePunct w:val="0"/>
        <w:autoSpaceDE/>
        <w:autoSpaceDN/>
        <w:bidi w:val="0"/>
        <w:spacing w:beforeAutospacing="0" w:afterAutospacing="0" w:line="460" w:lineRule="exact"/>
        <w:ind w:left="0" w:firstLine="0" w:firstLineChars="0"/>
        <w:textAlignment w:val="auto"/>
        <w:rPr>
          <w:rFonts w:hint="eastAsia" w:ascii="仿宋" w:hAnsi="仿宋" w:eastAsia="仿宋" w:cs="仿宋"/>
          <w:b/>
          <w:vanish/>
          <w:color w:val="auto"/>
          <w:sz w:val="24"/>
          <w:szCs w:val="24"/>
        </w:rPr>
      </w:pPr>
    </w:p>
    <w:p w14:paraId="77EE2657">
      <w:pPr>
        <w:pStyle w:val="12"/>
        <w:keepNext w:val="0"/>
        <w:keepLines w:val="0"/>
        <w:pageBreakBefore w:val="0"/>
        <w:numPr>
          <w:ilvl w:val="1"/>
          <w:numId w:val="1"/>
        </w:numPr>
        <w:kinsoku/>
        <w:wordWrap/>
        <w:overflowPunct/>
        <w:topLinePunct w:val="0"/>
        <w:autoSpaceDE/>
        <w:autoSpaceDN/>
        <w:bidi w:val="0"/>
        <w:spacing w:beforeAutospacing="0" w:afterAutospacing="0" w:line="460" w:lineRule="exact"/>
        <w:ind w:left="0" w:firstLine="0" w:firstLineChars="0"/>
        <w:textAlignment w:val="auto"/>
        <w:rPr>
          <w:rFonts w:hint="eastAsia" w:ascii="仿宋" w:hAnsi="仿宋" w:eastAsia="仿宋" w:cs="仿宋"/>
          <w:b/>
          <w:vanish/>
          <w:color w:val="auto"/>
          <w:sz w:val="24"/>
          <w:szCs w:val="24"/>
        </w:rPr>
      </w:pPr>
    </w:p>
    <w:bookmarkEnd w:id="0"/>
    <w:bookmarkEnd w:id="1"/>
    <w:bookmarkEnd w:id="2"/>
    <w:p w14:paraId="4533D693">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color w:val="auto"/>
          <w:sz w:val="24"/>
          <w:szCs w:val="24"/>
        </w:rPr>
      </w:pPr>
    </w:p>
    <w:p w14:paraId="569CCBF0">
      <w:pPr>
        <w:keepNext w:val="0"/>
        <w:keepLines w:val="0"/>
        <w:pageBreakBefore w:val="0"/>
        <w:kinsoku/>
        <w:wordWrap/>
        <w:overflowPunct/>
        <w:topLinePunct w:val="0"/>
        <w:autoSpaceDE/>
        <w:autoSpaceDN/>
        <w:bidi w:val="0"/>
        <w:spacing w:beforeAutospacing="0" w:afterAutospacing="0" w:line="460" w:lineRule="exact"/>
        <w:ind w:firstLine="480" w:firstLineChars="200"/>
        <w:textAlignment w:val="auto"/>
        <w:rPr>
          <w:rFonts w:hint="eastAsia" w:ascii="仿宋" w:hAnsi="仿宋" w:eastAsia="仿宋" w:cs="仿宋"/>
          <w:color w:val="auto"/>
          <w:sz w:val="24"/>
          <w:szCs w:val="24"/>
        </w:rPr>
      </w:pPr>
    </w:p>
    <w:p w14:paraId="46D9D077">
      <w:pPr>
        <w:keepNext w:val="0"/>
        <w:keepLines w:val="0"/>
        <w:pageBreakBefore w:val="0"/>
        <w:widowControl/>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甲方使用单位：西安建筑科技大学XX学院</w:t>
      </w:r>
      <w:r>
        <w:rPr>
          <w:rFonts w:hint="eastAsia" w:ascii="仿宋" w:hAnsi="仿宋" w:eastAsia="仿宋" w:cs="仿宋"/>
          <w:b/>
          <w:color w:val="auto"/>
          <w:sz w:val="24"/>
          <w:szCs w:val="24"/>
        </w:rPr>
        <w:tab/>
      </w:r>
      <w:r>
        <w:rPr>
          <w:rFonts w:hint="eastAsia" w:ascii="仿宋" w:hAnsi="仿宋" w:eastAsia="仿宋" w:cs="仿宋"/>
          <w:b/>
          <w:color w:val="auto"/>
          <w:sz w:val="24"/>
          <w:szCs w:val="24"/>
        </w:rPr>
        <w:t xml:space="preserve">          乙方： </w:t>
      </w:r>
    </w:p>
    <w:p w14:paraId="07F72460">
      <w:pPr>
        <w:keepNext w:val="0"/>
        <w:keepLines w:val="0"/>
        <w:pageBreakBefore w:val="0"/>
        <w:kinsoku/>
        <w:wordWrap/>
        <w:overflowPunct/>
        <w:topLinePunct w:val="0"/>
        <w:autoSpaceDE/>
        <w:autoSpaceDN/>
        <w:bidi w:val="0"/>
        <w:spacing w:beforeAutospacing="0" w:afterAutospacing="0" w:line="460" w:lineRule="exact"/>
        <w:textAlignment w:val="auto"/>
        <w:rPr>
          <w:rFonts w:hint="eastAsia" w:ascii="仿宋" w:hAnsi="仿宋" w:eastAsia="仿宋" w:cs="仿宋"/>
          <w:b/>
          <w:color w:val="auto"/>
          <w:sz w:val="24"/>
          <w:szCs w:val="24"/>
        </w:rPr>
      </w:pPr>
    </w:p>
    <w:p w14:paraId="5F1203C0">
      <w:pPr>
        <w:pStyle w:val="13"/>
        <w:rPr>
          <w:rFonts w:hint="eastAsia"/>
          <w:lang w:val="en-US" w:eastAsia="zh-Hans"/>
        </w:rPr>
      </w:pPr>
      <w:r>
        <w:rPr>
          <w:rFonts w:hint="eastAsia" w:ascii="仿宋" w:hAnsi="仿宋" w:eastAsia="仿宋" w:cs="仿宋"/>
          <w:b/>
          <w:color w:val="auto"/>
          <w:sz w:val="24"/>
          <w:szCs w:val="24"/>
        </w:rPr>
        <w:t>负责人：                                        负责人：</w:t>
      </w:r>
    </w:p>
    <w:p w14:paraId="5EB1A98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auto"/>
    <w:pitch w:val="default"/>
    <w:sig w:usb0="00000000" w:usb1="00000000" w:usb2="00000000" w:usb3="00000000" w:csb0="80000000" w:csb1="00000000"/>
  </w:font>
  <w:font w:name="Kingsoft U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4F743D"/>
    <w:rsid w:val="35324024"/>
    <w:rsid w:val="57433E75"/>
    <w:rsid w:val="7AD410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paragraph" w:styleId="2">
    <w:name w:val="heading 4"/>
    <w:basedOn w:val="1"/>
    <w:next w:val="1"/>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Indent"/>
    <w:basedOn w:val="1"/>
    <w:qFormat/>
    <w:uiPriority w:val="99"/>
    <w:pPr>
      <w:spacing w:after="120"/>
      <w:ind w:left="420" w:leftChars="200"/>
    </w:pPr>
    <w:rPr>
      <w:sz w:val="20"/>
    </w:rPr>
  </w:style>
  <w:style w:type="paragraph" w:styleId="5">
    <w:name w:val="Plain Text"/>
    <w:basedOn w:val="1"/>
    <w:qFormat/>
    <w:uiPriority w:val="99"/>
    <w:pPr>
      <w:spacing w:line="324" w:lineRule="auto"/>
    </w:pPr>
    <w:rPr>
      <w:rFonts w:ascii="宋体" w:hAnsi="Courier New"/>
    </w:rPr>
  </w:style>
  <w:style w:type="paragraph" w:styleId="6">
    <w:name w:val="Body Text First Indent 2"/>
    <w:basedOn w:val="4"/>
    <w:qFormat/>
    <w:uiPriority w:val="0"/>
    <w:pPr>
      <w:ind w:firstLine="420"/>
    </w:pPr>
  </w:style>
  <w:style w:type="character" w:styleId="9">
    <w:name w:val="Strong"/>
    <w:qFormat/>
    <w:uiPriority w:val="22"/>
    <w:rPr>
      <w:b/>
      <w:bCs/>
    </w:rPr>
  </w:style>
  <w:style w:type="paragraph" w:customStyle="1" w:styleId="10">
    <w:name w:val="表格"/>
    <w:basedOn w:val="1"/>
    <w:qFormat/>
    <w:uiPriority w:val="0"/>
    <w:pPr>
      <w:spacing w:line="360" w:lineRule="auto"/>
      <w:jc w:val="center"/>
    </w:pPr>
    <w:rPr>
      <w:rFonts w:ascii="宋体" w:hAnsi="宋体"/>
      <w:kern w:val="0"/>
      <w:sz w:val="24"/>
      <w:szCs w:val="20"/>
    </w:rPr>
  </w:style>
  <w:style w:type="character" w:customStyle="1" w:styleId="11">
    <w:name w:val="正文缩进 Char"/>
    <w:qFormat/>
    <w:uiPriority w:val="0"/>
    <w:rPr>
      <w:rFonts w:ascii="宋体" w:hAnsi="宋体" w:eastAsia="宋体" w:cs="宋体"/>
      <w:sz w:val="24"/>
    </w:rPr>
  </w:style>
  <w:style w:type="paragraph" w:styleId="12">
    <w:name w:val="List Paragraph"/>
    <w:basedOn w:val="1"/>
    <w:qFormat/>
    <w:uiPriority w:val="0"/>
    <w:pPr>
      <w:ind w:left="720"/>
      <w:contextualSpacing/>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2025-05-14T03:24:00Z</dcterms:created>
  <dc:creator>Administrator</dc:creator>
  <cp:lastModifiedBy>陕西中技招标有限公司</cp:lastModifiedBy>
  <dcterms:modified xsi:type="dcterms:W3CDTF">2025-05-23T09:26:56Z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2460A96F6310430D86096A2A58D34599_13</vt:lpwstr>
  </property>
</Properties>
</file>