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版本号：SZT2025-SN-SC-ZC-FW-030420250522001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外文数据库采购项目(二次)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SZT2025-SN-SC-ZC-FW-0304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外文数据库采购项目(二次)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SZT2025-SN-SC-ZC-FW-0304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外文数据库采购项目(二次)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ACS数据库+Elsevier Science Direct 数据库+SCIE数据库服务采购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p>
      <w:pPr>
        <w:pStyle w:val="null3"/>
      </w:pPr>
      <w:r>
        <w:rPr>
          <w:rFonts w:ascii="仿宋_GB2312" w:hAnsi="仿宋_GB2312" w:cs="仿宋_GB2312" w:eastAsia="仿宋_GB2312"/>
        </w:rPr>
        <w:t>2、本项目不接受联合体谈判：本项目不接受联合体谈判，供应商需在项目电子化交易系统中按要求上传相应证明文件并进行电子签章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 、李娜、单博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 邮箱：499354157@qq.com）</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说明：供应商凭成交通知书向采购人缴纳成交金额的 5 %作为履约保证金，待合同履约完毕后无息退还。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人应向采购代理机构交纳招标代理服务费。招标代理服务费的收取参见国家计委颁布的《招标代理服务收费管理暂行办法》（计价格[2002]1980号）和（发改办价格[2003]857号）中服务类收费标准，下浮22.5%后收取。在领取成交通知书时向采购代理机构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ACS数据库+Elsevier Science Direct 数据库+SCIE数据库服务采购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1,930,000.00</w:t>
      </w:r>
    </w:p>
    <w:p>
      <w:pPr>
        <w:pStyle w:val="null3"/>
      </w:pPr>
      <w:r>
        <w:rPr>
          <w:rFonts w:ascii="仿宋_GB2312" w:hAnsi="仿宋_GB2312" w:cs="仿宋_GB2312" w:eastAsia="仿宋_GB2312"/>
        </w:rPr>
        <w:t>采购包最高限价（元）: 1,930,000.00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ACS数据库+Elsevier Science Direct 数据库+SCIE数据库服务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标的名称：ACS数据库+Elsevier Science Direct 数据库+SCIE数据库服务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资源内容：ACS数据库收录了美国化学会的绝大部分出版物，包括68种订阅期刊、18种OA（开放获取）期刊。全库文章数超过150万篇，绝大多数文章被常用文摘库如CAS、SCI、Scopus、PubMed索引收录。</w:t>
            </w:r>
            <w:r>
              <w:br/>
            </w:r>
            <w:r>
              <w:rPr>
                <w:rFonts w:ascii="仿宋_GB2312" w:hAnsi="仿宋_GB2312" w:cs="仿宋_GB2312" w:eastAsia="仿宋_GB2312"/>
              </w:rPr>
              <w:t xml:space="preserve">  服务要求：ACS数据库期刊达到68种。现刊：1996年1月1日至今出版的期刊文章。</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资源内容：ScienceDirect数据库（简称SD）是荷兰爱思唯尔出版集团生产的世界著名的科学文献全文数据库之一，出版2200余种同行评审期刊，其中被SCI/SSCI/AHCI收录的期刊共1658种，占全文库期刊总数的73%。我校订购Elsevier数据库2个专辑（Energy、Engineering）共356种；以及18种期刊的全文访问。</w:t>
            </w:r>
          </w:p>
          <w:p>
            <w:pPr>
              <w:pStyle w:val="null3"/>
            </w:pPr>
            <w:r>
              <w:rPr>
                <w:rFonts w:ascii="仿宋_GB2312" w:hAnsi="仿宋_GB2312" w:cs="仿宋_GB2312" w:eastAsia="仿宋_GB2312"/>
              </w:rPr>
              <w:t>服务要求：Elsevier Science Direct 数据库2个专辑（Energy、Engineering）共356种；以及18种期刊的全文访问。我校校园网用户可阅读购买专辑的全文。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资源内容：Science Citation Index Expanded ( 科学引文索引, 简称SCIE) 是一个涵盖了自然科学、工程技术、生物医学等自然科学领域的多学科综合数据库，共收录了超过9400多种自然科学领域的世界权威期刊，覆盖了170多个学科领域。SCIE能确保科研人员及时获取最权威最前沿的科研信息，全面了解课题的起源、发展和应用，从中获取创新性的研究思路,进行基金撰写申请，将能够提高学术科研效率、促进学术科研产出。</w:t>
            </w:r>
          </w:p>
          <w:p>
            <w:pPr>
              <w:pStyle w:val="null3"/>
            </w:pPr>
            <w:r>
              <w:rPr>
                <w:rFonts w:ascii="仿宋_GB2312" w:hAnsi="仿宋_GB2312" w:cs="仿宋_GB2312" w:eastAsia="仿宋_GB2312"/>
              </w:rPr>
              <w:t>服务要求：SCIE数据库（Science Citation Index-ExpandedTM），聚焦自然科学领域的多学科综合数据库，共收录9400多种自然科学领域的世界权威期刊，覆盖了170多个学科领域，总记录数超过5,200万条，总参考文献数超过114,800万篇。订购内容包括平台访问+2025年数据。</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1.服务期（起止时间） 2025.9.3-2026.9.2</w:t>
            </w:r>
          </w:p>
          <w:p>
            <w:pPr>
              <w:pStyle w:val="null3"/>
            </w:pPr>
            <w:r>
              <w:rPr>
                <w:rFonts w:ascii="仿宋_GB2312" w:hAnsi="仿宋_GB2312" w:cs="仿宋_GB2312" w:eastAsia="仿宋_GB2312"/>
              </w:rPr>
              <w:t>2.服务地点：西安科技大学校园网IP范围内</w:t>
            </w:r>
          </w:p>
          <w:p>
            <w:pPr>
              <w:pStyle w:val="null3"/>
            </w:pPr>
            <w:r>
              <w:rPr>
                <w:rFonts w:ascii="仿宋_GB2312" w:hAnsi="仿宋_GB2312" w:cs="仿宋_GB2312" w:eastAsia="仿宋_GB2312"/>
              </w:rPr>
              <w:t>3.访问方式：</w:t>
            </w:r>
          </w:p>
          <w:p>
            <w:pPr>
              <w:pStyle w:val="null3"/>
            </w:pPr>
            <w:r>
              <w:rPr>
                <w:rFonts w:ascii="仿宋_GB2312" w:hAnsi="仿宋_GB2312" w:cs="仿宋_GB2312" w:eastAsia="仿宋_GB2312"/>
              </w:rPr>
              <w:t>（1）ACS数据库使用方式：远程访问</w:t>
            </w:r>
          </w:p>
          <w:p>
            <w:pPr>
              <w:pStyle w:val="null3"/>
            </w:pPr>
            <w:r>
              <w:rPr>
                <w:rFonts w:ascii="仿宋_GB2312" w:hAnsi="仿宋_GB2312" w:cs="仿宋_GB2312" w:eastAsia="仿宋_GB2312"/>
              </w:rPr>
              <w:t>（2）Elsevier ScienceDirect数据库使用方式：远程访问</w:t>
            </w:r>
          </w:p>
          <w:p>
            <w:pPr>
              <w:pStyle w:val="null3"/>
            </w:pPr>
            <w:r>
              <w:rPr>
                <w:rFonts w:ascii="仿宋_GB2312" w:hAnsi="仿宋_GB2312" w:cs="仿宋_GB2312" w:eastAsia="仿宋_GB2312"/>
              </w:rPr>
              <w:t>（3）SCIE数据库使用方式：远程访问+回溯数据</w:t>
            </w:r>
          </w:p>
          <w:p>
            <w:pPr>
              <w:pStyle w:val="null3"/>
            </w:pPr>
            <w:r>
              <w:rPr>
                <w:rFonts w:ascii="仿宋_GB2312" w:hAnsi="仿宋_GB2312" w:cs="仿宋_GB2312" w:eastAsia="仿宋_GB2312"/>
              </w:rPr>
              <w:t>4.售后服务：</w:t>
            </w:r>
          </w:p>
          <w:p>
            <w:pPr>
              <w:pStyle w:val="null3"/>
            </w:pPr>
            <w:r>
              <w:rPr>
                <w:rFonts w:ascii="仿宋_GB2312" w:hAnsi="仿宋_GB2312" w:cs="仿宋_GB2312" w:eastAsia="仿宋_GB2312"/>
              </w:rPr>
              <w:t>（1）提供在线查阅符合counter标准的使用统计报告；</w:t>
            </w:r>
          </w:p>
          <w:p>
            <w:pPr>
              <w:pStyle w:val="null3"/>
            </w:pPr>
            <w:r>
              <w:rPr>
                <w:rFonts w:ascii="仿宋_GB2312" w:hAnsi="仿宋_GB2312" w:cs="仿宋_GB2312" w:eastAsia="仿宋_GB2312"/>
              </w:rPr>
              <w:t>（2）如出现使用故障，保证48小时内解决问题；</w:t>
            </w:r>
          </w:p>
          <w:p>
            <w:pPr>
              <w:pStyle w:val="null3"/>
            </w:pPr>
            <w:r>
              <w:rPr>
                <w:rFonts w:ascii="仿宋_GB2312" w:hAnsi="仿宋_GB2312" w:cs="仿宋_GB2312" w:eastAsia="仿宋_GB2312"/>
              </w:rPr>
              <w:t>（3）对用户IP开放，全年提供全天24小时网络服务，无并发用户数限制。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1、所提供产品内容不得违反有关知识产权的规定。</w:t>
            </w:r>
          </w:p>
          <w:p>
            <w:pPr>
              <w:pStyle w:val="null3"/>
            </w:pPr>
            <w:r>
              <w:rPr>
                <w:rFonts w:ascii="仿宋_GB2312" w:hAnsi="仿宋_GB2312" w:cs="仿宋_GB2312" w:eastAsia="仿宋_GB2312"/>
              </w:rPr>
              <w:t>2、应保证所提供的产品符合国家法律规定。</w:t>
            </w:r>
          </w:p>
          <w:p>
            <w:pPr>
              <w:pStyle w:val="null3"/>
            </w:pPr>
            <w:r>
              <w:rPr>
                <w:rFonts w:ascii="仿宋_GB2312" w:hAnsi="仿宋_GB2312" w:cs="仿宋_GB2312" w:eastAsia="仿宋_GB2312"/>
              </w:rPr>
              <w:t>3、成交供应商应按合同约定按时为甲方开通访问权限，并应保证甲方在合同期内的合理使用。</w:t>
            </w:r>
          </w:p>
          <w:p>
            <w:pPr>
              <w:pStyle w:val="null3"/>
            </w:pPr>
            <w:r>
              <w:rPr>
                <w:rFonts w:ascii="仿宋_GB2312" w:hAnsi="仿宋_GB2312" w:cs="仿宋_GB2312" w:eastAsia="仿宋_GB2312"/>
              </w:rPr>
              <w:t>4、在甲方的订购期限内，成交供应商为甲方提供产品相关的技术服务和培训，采用电话、传真、邮件、实时通讯方式解决使用过程中出现的各种问题。</w:t>
            </w:r>
          </w:p>
          <w:p>
            <w:pPr>
              <w:pStyle w:val="null3"/>
            </w:pPr>
            <w:r>
              <w:rPr>
                <w:rFonts w:ascii="仿宋_GB2312" w:hAnsi="仿宋_GB2312" w:cs="仿宋_GB2312" w:eastAsia="仿宋_GB2312"/>
              </w:rPr>
              <w:t>5、成交供应商保证合同内容正常运转；在合同有效期内，对系统平台进行免费升级。</w:t>
            </w:r>
          </w:p>
          <w:p>
            <w:pPr>
              <w:pStyle w:val="null3"/>
            </w:pPr>
            <w:r>
              <w:rPr>
                <w:rFonts w:ascii="仿宋_GB2312" w:hAnsi="仿宋_GB2312" w:cs="仿宋_GB2312" w:eastAsia="仿宋_GB2312"/>
              </w:rPr>
              <w:t>6、如因成交供应商原因导致供货商中止甲方使用权限时，自使用权中止之日起，成交供应商应按每日总金额的0.5‰承担违约责任。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服务期（起止时间） 2025.9.3-2026.9.2</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西安科技大学校园网IP范围内</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签订合同后，于2025年10月31日前一次性支付全款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合同的履行、违约责任和解决争议的方法等适用《中华人民共和国民法典》。具体详见合同文本。</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成交供应商在领取成交通知书时提供2套纸质响应文件（1正1副），纸质版响应文件应与线上电子投标文件保持一致并加盖公章。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 或2024年度财务审计报告或开标前6个月内银行资信证明或财政部门认可的政府采购专业担保机构出具的投标担保函）；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 或2024年度财务审计报告或开标前6个月内银行资信证明或财政部门认可的政府采购专业担保机构出具的投标担保函）供应商需在项目电子化交易系统中按要求上传相应证明文件并进行电子签章。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07-技术方案.docx 03-诚信承诺书.docx 08-拒绝商业贿赂承诺书.docx 服务方案 标的清单 报价表 05-服务承诺.docx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服务期限是否符合谈判文件要求</w:t>
            </w:r>
          </w:p>
        </w:tc>
        <w:tc>
          <w:tcPr>
            <w:tcW w:type="dxa" w:w="1661"/>
          </w:tcPr>
          <w:p>
            <w:pPr>
              <w:pStyle w:val="null3"/>
            </w:pPr>
            <w:r>
              <w:rPr>
                <w:rFonts w:ascii="仿宋_GB2312" w:hAnsi="仿宋_GB2312" w:cs="仿宋_GB2312" w:eastAsia="仿宋_GB2312"/>
              </w:rPr>
              <w:t>06-服务要求响应表.docx 09-商务偏离表.docx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付款方式是否符合谈判文件要求</w:t>
            </w:r>
          </w:p>
        </w:tc>
        <w:tc>
          <w:tcPr>
            <w:tcW w:type="dxa" w:w="1661"/>
          </w:tcPr>
          <w:p>
            <w:pPr>
              <w:pStyle w:val="null3"/>
            </w:pPr>
            <w:r>
              <w:rPr>
                <w:rFonts w:ascii="仿宋_GB2312" w:hAnsi="仿宋_GB2312" w:cs="仿宋_GB2312" w:eastAsia="仿宋_GB2312"/>
              </w:rPr>
              <w:t>06-服务要求响应表.docx 09-商务偏离表.docx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响应文件有效期是否符合谈判文件要求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谈判保证金是否按谈判文件要求缴纳</w:t>
            </w:r>
          </w:p>
        </w:tc>
        <w:tc>
          <w:tcPr>
            <w:tcW w:type="dxa" w:w="1661"/>
          </w:tcPr>
          <w:p>
            <w:pPr>
              <w:pStyle w:val="null3"/>
            </w:pPr>
            <w:r>
              <w:rPr>
                <w:rFonts w:ascii="仿宋_GB2312" w:hAnsi="仿宋_GB2312" w:cs="仿宋_GB2312" w:eastAsia="仿宋_GB2312"/>
              </w:rPr>
              <w:t>10-谈判保证金.docx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04-分项报价表.docx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满足谈判文件“3.2.2服务要求”</w:t>
            </w:r>
          </w:p>
        </w:tc>
        <w:tc>
          <w:tcPr>
            <w:tcW w:type="dxa" w:w="1661"/>
          </w:tcPr>
          <w:p>
            <w:pPr>
              <w:pStyle w:val="null3"/>
            </w:pPr>
            <w:r>
              <w:rPr>
                <w:rFonts w:ascii="仿宋_GB2312" w:hAnsi="仿宋_GB2312" w:cs="仿宋_GB2312" w:eastAsia="仿宋_GB2312"/>
              </w:rPr>
              <w:t>06-服务要求响应表.docx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详见附件：05-服务承诺.docx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详见附件：07-技术方案.docx</w:t>
      </w:r>
    </w:p>
    <w:p>
      <w:pPr>
        <w:pStyle w:val="null3"/>
        <w:ind w:firstLine="960"/>
      </w:pPr>
      <w:r>
        <w:rPr>
          <w:rFonts w:ascii="仿宋_GB2312" w:hAnsi="仿宋_GB2312" w:cs="仿宋_GB2312" w:eastAsia="仿宋_GB2312"/>
        </w:rPr>
        <w:t>详见附件：08-拒绝商业贿赂承诺书.docx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详见附件：10-谈判保证金.docx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