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版本号：SZT2025-SN-SC-ZC-HW-041620250523001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瞬态图像记录仪采购项目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SZT2025-SN-SC-ZC-HW-0416</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瞬态图像记录仪采购项目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SZT2025-SN-SC-ZC-HW-0416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瞬态图像记录仪采购项目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瞬态图像记录仪采购项目，用于记录粉体颗粒的高速运动轨迹、速度和加速度，深入了解颗粒在不同条件下（如气流、振动、搅拌等）的运动行为，观察粉体颗粒在分散过程中的状态变化，团聚体的破裂、颗粒的分离和重新分布，研究流化床中粉体的流化行为，如气泡的生成、上升和破裂，以及颗粒的混合和流动模式，分析颗粒之间的碰撞和摩擦现象，了解其对粉体性能和加工过程的影响，观察喷雾干燥过程中液滴的形成、干燥过程和颗粒的最终形态，研究粉体在气力输送管道中的流动情况，包括颗粒的悬浮、沉积和堵塞等问题，分析粉碎过程，评估粉碎设备的性能，了解颗粒的破碎机制和粒度分布的变化等。具体内容详见谈判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1、法定代表人授权委托书：法定代表人授权书及被授权人身份证明。（法定代表人直接谈判只须提供其身份证明）</w:t>
      </w:r>
    </w:p>
    <w:p>
      <w:pPr>
        <w:pStyle w:val="null3"/>
      </w:pPr>
      <w:r>
        <w:rPr>
          <w:rFonts w:ascii="仿宋_GB2312" w:hAnsi="仿宋_GB2312" w:cs="仿宋_GB2312" w:eastAsia="仿宋_GB2312"/>
        </w:rPr>
        <w:t>2、所投进口产品的完整授权链证明材料：所投产品如为进口产品，提供所投进口产品的完整授权链证明材料。</w:t>
      </w:r>
    </w:p>
    <w:p>
      <w:pPr>
        <w:pStyle w:val="null3"/>
      </w:pPr>
      <w:r>
        <w:rPr>
          <w:rFonts w:ascii="仿宋_GB2312" w:hAnsi="仿宋_GB2312" w:cs="仿宋_GB2312" w:eastAsia="仿宋_GB2312"/>
        </w:rPr>
        <w:t>3、联合体：本项目不接受联合体谈判。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张志翰、马帅、李娜、单博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029-88364979-873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说明：供应商成交后凭成交通知书向学校缴纳成交金额的5%作为履约保证金，待合同履约完毕后无息退还。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代理服务费收费标准：中标人应依据中标金额向采购代理机构交纳中标服务费，交费金额以国家计委颁布的《招标代理服务收费管理暂行办法》(计价格[2002]1980号)文件为依据计代理服务费，按照以下要求计：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2、100万元(含)以上的项目，按照文件标准上限75%计费。3、本项目代理服务费按货物计取。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按谈判文件、谈判响应文件和合同文本要求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瞬态图像记录仪采购项目，用于记录粉体颗粒的高速运动轨迹、速度和加速度，深入了解颗粒在不同条件下（如气流、振动、搅拌等）的运动行为，观察粉体颗粒在分散过程中的状态变化，团聚体的破裂、颗粒的分离和重新分布，研究流化床中粉体的流化行为，如气泡的生成、上升和破裂，以及颗粒的混合和流动模式，分析颗粒之间的碰撞和摩擦现象，了解其对粉体性能和加工过程的影响，观察喷雾干燥过程中液滴的形成、干燥过程和颗粒的最终形态，研究粉体在气力输送管道中的流动情况，包括颗粒的悬浮、沉积和堵塞等问题，分析粉碎过程，评估粉碎设备的性能，了解颗粒的破碎机制和粒度分布的变化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瞬态图像记录仪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标的名称：瞬态图像记录仪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Pr>
                <w:p>
                  <w:pPr>
                    <w:pStyle w:val="null3"/>
                  </w:pPr>
                  <w:r>
                    <w:rPr>
                      <w:rFonts w:ascii="仿宋_GB2312" w:hAnsi="仿宋_GB2312" w:cs="仿宋_GB2312" w:eastAsia="仿宋_GB2312"/>
                      <w:sz w:val="19"/>
                    </w:rPr>
                    <w:t>产品</w:t>
                  </w:r>
                </w:p>
                <w:p>
                  <w:pPr>
                    <w:pStyle w:val="null3"/>
                  </w:pPr>
                  <w:r>
                    <w:rPr>
                      <w:rFonts w:ascii="仿宋_GB2312" w:hAnsi="仿宋_GB2312" w:cs="仿宋_GB2312" w:eastAsia="仿宋_GB2312"/>
                      <w:sz w:val="19"/>
                    </w:rPr>
                    <w:t>名称</w:t>
                  </w:r>
                </w:p>
              </w:tc>
              <w:tc>
                <w:tcPr>
                  <w:tcW w:type="dxa" w:w="851"/>
                </w:tcPr>
                <w:p>
                  <w:pPr>
                    <w:pStyle w:val="null3"/>
                  </w:pPr>
                  <w:r>
                    <w:rPr>
                      <w:rFonts w:ascii="仿宋_GB2312" w:hAnsi="仿宋_GB2312" w:cs="仿宋_GB2312" w:eastAsia="仿宋_GB2312"/>
                      <w:sz w:val="19"/>
                    </w:rPr>
                    <w:t>技术标准</w:t>
                  </w:r>
                </w:p>
              </w:tc>
              <w:tc>
                <w:tcPr>
                  <w:tcW w:type="dxa" w:w="851"/>
                </w:tcPr>
                <w:p>
                  <w:pPr>
                    <w:pStyle w:val="null3"/>
                  </w:pPr>
                  <w:r>
                    <w:rPr>
                      <w:rFonts w:ascii="仿宋_GB2312" w:hAnsi="仿宋_GB2312" w:cs="仿宋_GB2312" w:eastAsia="仿宋_GB2312"/>
                      <w:sz w:val="19"/>
                    </w:rPr>
                    <w:t>配置要求</w:t>
                  </w:r>
                </w:p>
              </w:tc>
            </w:tr>
            <w:tr>
              <w:tc>
                <w:tcPr>
                  <w:tcW w:type="dxa" w:w="851"/>
                </w:tcPr>
                <w:p>
                  <w:pPr>
                    <w:pStyle w:val="null3"/>
                  </w:pPr>
                  <w:r>
                    <w:rPr>
                      <w:rFonts w:ascii="仿宋_GB2312" w:hAnsi="仿宋_GB2312" w:cs="仿宋_GB2312" w:eastAsia="仿宋_GB2312"/>
                      <w:sz w:val="19"/>
                    </w:rPr>
                    <w:t>瞬态图像记录仪</w:t>
                  </w:r>
                </w:p>
              </w:tc>
              <w:tc>
                <w:tcPr>
                  <w:tcW w:type="dxa" w:w="851"/>
                </w:tcPr>
                <w:p>
                  <w:pPr>
                    <w:pStyle w:val="null3"/>
                  </w:pPr>
                  <w:r>
                    <w:rPr>
                      <w:rFonts w:ascii="仿宋_GB2312" w:hAnsi="仿宋_GB2312" w:cs="仿宋_GB2312" w:eastAsia="仿宋_GB2312"/>
                      <w:sz w:val="19"/>
                    </w:rPr>
                    <w:t>（1）分辨率不小于400万像素，拍摄速率不低于6000帧每秒；水平方向不大于512像素单位连续可调，垂直方向不大于32单位连续可调；</w:t>
                  </w:r>
                </w:p>
                <w:p>
                  <w:pPr>
                    <w:pStyle w:val="null3"/>
                  </w:pPr>
                  <w:r>
                    <w:rPr>
                      <w:rFonts w:ascii="仿宋_GB2312" w:hAnsi="仿宋_GB2312" w:cs="仿宋_GB2312" w:eastAsia="仿宋_GB2312"/>
                      <w:sz w:val="19"/>
                    </w:rPr>
                    <w:t>（2）最高拍摄速度：分辨率2560×32时拍摄速度不小于200000帧/秒；1280×64时拍摄速度不小于200000帧/秒；</w:t>
                  </w:r>
                </w:p>
                <w:p>
                  <w:pPr>
                    <w:pStyle w:val="null3"/>
                  </w:pPr>
                  <w:r>
                    <w:rPr>
                      <w:rFonts w:ascii="仿宋_GB2312" w:hAnsi="仿宋_GB2312" w:cs="仿宋_GB2312" w:eastAsia="仿宋_GB2312"/>
                      <w:sz w:val="19"/>
                    </w:rPr>
                    <w:t>（3）1280×832时拍摄速度不小于23000帧/秒，1280×128时拍摄速度不小于140000帧/秒；</w:t>
                  </w:r>
                </w:p>
                <w:p>
                  <w:pPr>
                    <w:pStyle w:val="null3"/>
                  </w:pPr>
                  <w:r>
                    <w:rPr>
                      <w:rFonts w:ascii="仿宋_GB2312" w:hAnsi="仿宋_GB2312" w:cs="仿宋_GB2312" w:eastAsia="仿宋_GB2312"/>
                      <w:sz w:val="19"/>
                    </w:rPr>
                    <w:t>（4）信噪比最大值不小于38db;</w:t>
                  </w:r>
                </w:p>
                <w:p>
                  <w:pPr>
                    <w:pStyle w:val="null3"/>
                  </w:pPr>
                  <w:r>
                    <w:rPr>
                      <w:rFonts w:ascii="仿宋_GB2312" w:hAnsi="仿宋_GB2312" w:cs="仿宋_GB2312" w:eastAsia="仿宋_GB2312"/>
                      <w:sz w:val="19"/>
                    </w:rPr>
                    <w:t>（5）传感器类型：背照式，具备standard标准模式和binned像素合并工作模式，标准模式下像元尺寸：不大于10微米，图像合并模式下像元不大于20微米，图像深度不小于12位；</w:t>
                  </w:r>
                </w:p>
                <w:p>
                  <w:pPr>
                    <w:pStyle w:val="null3"/>
                  </w:pPr>
                  <w:r>
                    <w:rPr>
                      <w:rFonts w:ascii="仿宋_GB2312" w:hAnsi="仿宋_GB2312" w:cs="仿宋_GB2312" w:eastAsia="仿宋_GB2312"/>
                      <w:sz w:val="19"/>
                    </w:rPr>
                    <w:t>（6）最小曝光时间：不大于1.1us，曝光时间1us连续可调；</w:t>
                  </w:r>
                </w:p>
                <w:p>
                  <w:pPr>
                    <w:pStyle w:val="null3"/>
                  </w:pPr>
                  <w:r>
                    <w:rPr>
                      <w:rFonts w:ascii="仿宋_GB2312" w:hAnsi="仿宋_GB2312" w:cs="仿宋_GB2312" w:eastAsia="仿宋_GB2312"/>
                      <w:sz w:val="19"/>
                    </w:rPr>
                    <w:t>（7）具备机身控制功能，相机直接可以连接监视器进行操作控制；</w:t>
                  </w:r>
                </w:p>
                <w:p>
                  <w:pPr>
                    <w:pStyle w:val="null3"/>
                  </w:pPr>
                  <w:r>
                    <w:rPr>
                      <w:rFonts w:ascii="仿宋_GB2312" w:hAnsi="仿宋_GB2312" w:cs="仿宋_GB2312" w:eastAsia="仿宋_GB2312"/>
                      <w:sz w:val="19"/>
                    </w:rPr>
                    <w:t>（8）内存容量：不小于60G；</w:t>
                  </w:r>
                </w:p>
                <w:p>
                  <w:pPr>
                    <w:pStyle w:val="null3"/>
                  </w:pPr>
                  <w:r>
                    <w:rPr>
                      <w:rFonts w:ascii="仿宋_GB2312" w:hAnsi="仿宋_GB2312" w:cs="仿宋_GB2312" w:eastAsia="仿宋_GB2312"/>
                      <w:sz w:val="19"/>
                    </w:rPr>
                    <w:t>（9）嵌入式内置机械快门，可远程校准黑平衡；</w:t>
                  </w:r>
                </w:p>
                <w:p>
                  <w:pPr>
                    <w:pStyle w:val="null3"/>
                  </w:pPr>
                  <w:r>
                    <w:rPr>
                      <w:rFonts w:ascii="仿宋_GB2312" w:hAnsi="仿宋_GB2312" w:cs="仿宋_GB2312" w:eastAsia="仿宋_GB2312"/>
                      <w:sz w:val="19"/>
                    </w:rPr>
                    <w:t>（10）黑白灵敏度不小于60000 ISO；</w:t>
                  </w:r>
                </w:p>
                <w:p>
                  <w:pPr>
                    <w:pStyle w:val="null3"/>
                  </w:pPr>
                  <w:r>
                    <w:rPr>
                      <w:rFonts w:ascii="仿宋_GB2312" w:hAnsi="仿宋_GB2312" w:cs="仿宋_GB2312" w:eastAsia="仿宋_GB2312"/>
                      <w:sz w:val="19"/>
                    </w:rPr>
                    <w:t>（11）通信接口：千兆以太网；</w:t>
                  </w:r>
                </w:p>
                <w:p>
                  <w:pPr>
                    <w:pStyle w:val="null3"/>
                  </w:pPr>
                  <w:r>
                    <w:rPr>
                      <w:rFonts w:ascii="仿宋_GB2312" w:hAnsi="仿宋_GB2312" w:cs="仿宋_GB2312" w:eastAsia="仿宋_GB2312"/>
                      <w:sz w:val="19"/>
                    </w:rPr>
                    <w:t>（12）具备自动曝光控制功能，具备1us连续调节二次曝光控制功能；</w:t>
                  </w:r>
                </w:p>
                <w:p>
                  <w:pPr>
                    <w:pStyle w:val="null3"/>
                  </w:pPr>
                  <w:r>
                    <w:rPr>
                      <w:rFonts w:ascii="仿宋_GB2312" w:hAnsi="仿宋_GB2312" w:cs="仿宋_GB2312" w:eastAsia="仿宋_GB2312"/>
                      <w:sz w:val="19"/>
                    </w:rPr>
                    <w:t>（13）工作温度：不小于-10℃～50℃；</w:t>
                  </w:r>
                </w:p>
                <w:p>
                  <w:pPr>
                    <w:pStyle w:val="null3"/>
                  </w:pPr>
                  <w:r>
                    <w:rPr>
                      <w:rFonts w:ascii="仿宋_GB2312" w:hAnsi="仿宋_GB2312" w:cs="仿宋_GB2312" w:eastAsia="仿宋_GB2312"/>
                      <w:sz w:val="19"/>
                    </w:rPr>
                    <w:t>（14）静音风扇模式下关闭风扇，消除噪声和振动；</w:t>
                  </w:r>
                </w:p>
                <w:p>
                  <w:pPr>
                    <w:pStyle w:val="null3"/>
                  </w:pPr>
                  <w:r>
                    <w:rPr>
                      <w:rFonts w:ascii="仿宋_GB2312" w:hAnsi="仿宋_GB2312" w:cs="仿宋_GB2312" w:eastAsia="仿宋_GB2312"/>
                      <w:sz w:val="19"/>
                    </w:rPr>
                    <w:t>（15）具备主电源和备用电源输入接口；</w:t>
                  </w:r>
                </w:p>
                <w:p>
                  <w:pPr>
                    <w:pStyle w:val="null3"/>
                  </w:pPr>
                  <w:r>
                    <w:rPr>
                      <w:rFonts w:ascii="仿宋_GB2312" w:hAnsi="仿宋_GB2312" w:cs="仿宋_GB2312" w:eastAsia="仿宋_GB2312"/>
                      <w:sz w:val="19"/>
                    </w:rPr>
                    <w:t>（16）具备HDMI和3G HD-SDI视频输出接口；</w:t>
                  </w:r>
                </w:p>
                <w:p>
                  <w:pPr>
                    <w:pStyle w:val="null3"/>
                  </w:pPr>
                  <w:r>
                    <w:rPr>
                      <w:rFonts w:ascii="仿宋_GB2312" w:hAnsi="仿宋_GB2312" w:cs="仿宋_GB2312" w:eastAsia="仿宋_GB2312"/>
                      <w:sz w:val="19"/>
                    </w:rPr>
                    <w:t>（17）具备机身和CMOS传感器温度实时监控功能；</w:t>
                  </w:r>
                </w:p>
                <w:p>
                  <w:pPr>
                    <w:pStyle w:val="null3"/>
                  </w:pPr>
                  <w:r>
                    <w:rPr>
                      <w:rFonts w:ascii="仿宋_GB2312" w:hAnsi="仿宋_GB2312" w:cs="仿宋_GB2312" w:eastAsia="仿宋_GB2312"/>
                      <w:sz w:val="19"/>
                    </w:rPr>
                    <w:t>（18）配有相适应的软件，具有相机设置、分析回放、视频处理、文件管理及格式转换等功能，具有测量运动位移、速度和角度的功能，具有自动寻找关键图片的功能，具备数字滤波处理功能。可以同时采集、分析、回放图像、温度、压力等信号数据。</w:t>
                  </w:r>
                </w:p>
              </w:tc>
              <w:tc>
                <w:tcPr>
                  <w:tcW w:type="dxa" w:w="851"/>
                </w:tcPr>
                <w:p>
                  <w:pPr>
                    <w:pStyle w:val="null3"/>
                  </w:pPr>
                  <w:r>
                    <w:rPr>
                      <w:rFonts w:ascii="仿宋_GB2312" w:hAnsi="仿宋_GB2312" w:cs="仿宋_GB2312" w:eastAsia="仿宋_GB2312"/>
                      <w:sz w:val="19"/>
                    </w:rPr>
                    <w:t>1、相关配置、附件、耗材等</w:t>
                  </w:r>
                </w:p>
                <w:p>
                  <w:pPr>
                    <w:pStyle w:val="null3"/>
                  </w:pPr>
                  <w:r>
                    <w:rPr>
                      <w:rFonts w:ascii="仿宋_GB2312" w:hAnsi="仿宋_GB2312" w:cs="仿宋_GB2312" w:eastAsia="仿宋_GB2312"/>
                      <w:sz w:val="19"/>
                    </w:rPr>
                    <w:t>2、配置105mm微距镜头1支（最近距离不小于25cm），50mm标准镜头1支，三脚架云台1套，高亮LED光源50W，双头，配合高速相机5000fps同步拍摄，≥5档调节，具备超高亮模式，30cm照射距离10cm直径光斑，中心照度30万lux；</w:t>
                  </w:r>
                </w:p>
                <w:p>
                  <w:pPr>
                    <w:pStyle w:val="null3"/>
                  </w:pPr>
                  <w:r>
                    <w:rPr>
                      <w:rFonts w:ascii="仿宋_GB2312" w:hAnsi="仿宋_GB2312" w:cs="仿宋_GB2312" w:eastAsia="仿宋_GB2312"/>
                      <w:sz w:val="19"/>
                    </w:rPr>
                    <w:t>3、配套专用分析系统一套，具备PIV/PTV双模式速度场计算功能，PIV模式计算可获得欧拉坐标速度场，PTV模式计算可获得拉格朗日坐标速度场，PTV模式下可捕捉获得固体颗粒在照射视场内的存在时间，运动轨迹，运动速度等数据信息，软件中数据信息的提取、存储、整理等。</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交货的时间、地点、售后、培训等</w:t>
            </w:r>
          </w:p>
          <w:p>
            <w:pPr>
              <w:pStyle w:val="null3"/>
            </w:pPr>
            <w:r>
              <w:rPr>
                <w:rFonts w:ascii="仿宋_GB2312" w:hAnsi="仿宋_GB2312" w:cs="仿宋_GB2312" w:eastAsia="仿宋_GB2312"/>
              </w:rPr>
              <w:t>1.交货期：合同签订之日起120日历日内完成交付、安装及调试。</w:t>
            </w:r>
          </w:p>
          <w:p>
            <w:pPr>
              <w:pStyle w:val="null3"/>
            </w:pPr>
            <w:r>
              <w:rPr>
                <w:rFonts w:ascii="仿宋_GB2312" w:hAnsi="仿宋_GB2312" w:cs="仿宋_GB2312" w:eastAsia="仿宋_GB2312"/>
              </w:rPr>
              <w:t>2.交货具体地点：粉体楼305。</w:t>
            </w:r>
          </w:p>
          <w:p>
            <w:pPr>
              <w:pStyle w:val="null3"/>
            </w:pPr>
            <w:r>
              <w:rPr>
                <w:rFonts w:ascii="仿宋_GB2312" w:hAnsi="仿宋_GB2312" w:cs="仿宋_GB2312" w:eastAsia="仿宋_GB2312"/>
              </w:rPr>
              <w:t>3.项目质保期：验收合格通过之日起一年。</w:t>
            </w:r>
          </w:p>
          <w:p>
            <w:pPr>
              <w:pStyle w:val="null3"/>
            </w:pPr>
            <w:r>
              <w:rPr>
                <w:rFonts w:ascii="仿宋_GB2312" w:hAnsi="仿宋_GB2312" w:cs="仿宋_GB2312" w:eastAsia="仿宋_GB2312"/>
              </w:rPr>
              <w:t>4.售后服务响应时间（质保期内）：即时响应（包括电话响应）；电话响应无法解决24小时内到达现场。修复时间 48小时内解决；如在 72 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rPr>
              <w:t>5.培训服务要求：培训≥3人。</w:t>
            </w:r>
          </w:p>
          <w:p>
            <w:pPr>
              <w:pStyle w:val="null3"/>
            </w:pPr>
            <w:r>
              <w:rPr>
                <w:rFonts w:ascii="仿宋_GB2312" w:hAnsi="仿宋_GB2312" w:cs="仿宋_GB2312" w:eastAsia="仿宋_GB2312"/>
              </w:rPr>
              <w:t>6.提供生产厂家售后服务承诺。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交货期：合同签订之日起120日历日内完成交付、安装及调试。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交货地点：西安建筑科技大学粉体楼305</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响应产品为进口设备：合同生效后，由学校通过双方认可的进口业务代理公司向成交供应商指定国外设备供应商开出100%信用证，其中90%货款凭外贸合同约定单据及学校出具的开箱点货报告原件解付，其余10%货款在设备验收合格后凭学校签署验收报告解付，达到付款条件起 30 日内，支付合同总金额的 100.00%。 2、响应产品为国产设备：合同签订后，供应商先行垫资，待所有设备到达指定地点、安装调试完成并由学校验收合格后，凭供应商开具的全额增值税专用发票，30日内一次性付清合同款项。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达到付款条件起 30 日内，支付合同总金额的 100.00%。（备注：国内现货进口设备，按国产付款）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合同的履行、违约责任和解决争议的方法等适用《中华人民共和国民法典》。具体详见合同文本。</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1、成交供应商在领取成交通知书时提供2套纸质响应文件（1正1副），纸质版响应文件应与线上电子投标文件保持一致并加盖公章。 2、（1）谈判保证金：保证金有效期：90日历天。采用汇票、支票、电汇、网银、转账等非现金方式交纳（注：谈判保证金须以供应商名称汇款，转账时请注明所响应项目编号），且确保响应截止时间前到达采购代理机构指定账户，且应在开标前致电代理机构财务部门（029-88364979-810）确认谈判保证金到账情况。（2）转账事由： 项目编号（后四位）谈判保证金。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2024年5月至今已缴纳至少一个月的依法缴纳税款的相关凭据（时间以税款所属日期为准），凭据应有税务机关或代收机关的公章或业务专用章。依法免税或无须缴纳税款的投标人，应提供相关证明文件。 ③社会保障资金缴存证明：提供2024年5月至今已缴存的至少一个月的社会保障资金缴存单据或社保机构开具的社会保险参保缴费情况证明，依法不需要缴纳社会保障资金的单位应提供相关证明材料。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02-资格要求证明资料.docx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有效的2023年度或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02-资格要求证明资料.docx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02-资格要求证明资料.docx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法定代表人授权书及被授权人身份证明。（法定代表人直接谈判只须提供其身份证明）</w:t>
            </w:r>
          </w:p>
        </w:tc>
        <w:tc>
          <w:tcPr>
            <w:tcW w:type="dxa" w:w="1661"/>
          </w:tcPr>
          <w:p>
            <w:pPr>
              <w:pStyle w:val="null3"/>
            </w:pPr>
            <w:r>
              <w:rPr>
                <w:rFonts w:ascii="仿宋_GB2312" w:hAnsi="仿宋_GB2312" w:cs="仿宋_GB2312" w:eastAsia="仿宋_GB2312"/>
              </w:rPr>
              <w:t>02-资格要求证明资料.docx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所投进口产品的完整授权链证明材料</w:t>
            </w:r>
          </w:p>
        </w:tc>
        <w:tc>
          <w:tcPr>
            <w:tcW w:type="dxa" w:w="3322"/>
          </w:tcPr>
          <w:p>
            <w:pPr>
              <w:pStyle w:val="null3"/>
            </w:pPr>
            <w:r>
              <w:rPr>
                <w:rFonts w:ascii="仿宋_GB2312" w:hAnsi="仿宋_GB2312" w:cs="仿宋_GB2312" w:eastAsia="仿宋_GB2312"/>
              </w:rPr>
              <w:t>所投产品如为进口产品，提供所投进口产品的完整授权链证明材料。</w:t>
            </w:r>
          </w:p>
        </w:tc>
        <w:tc>
          <w:tcPr>
            <w:tcW w:type="dxa" w:w="1661"/>
          </w:tcPr>
          <w:p>
            <w:pPr>
              <w:pStyle w:val="null3"/>
            </w:pPr>
            <w:r>
              <w:rPr>
                <w:rFonts w:ascii="仿宋_GB2312" w:hAnsi="仿宋_GB2312" w:cs="仿宋_GB2312" w:eastAsia="仿宋_GB2312"/>
              </w:rPr>
              <w:t>02-资格要求证明资料.docx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02-资格要求证明资料.docx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 (2)不满足本谈判文件中“交货时间、交货地点、采购资金的支付方式及约定、质量保修范围和保修期”的实质性条款要求； (3)谈判有效期不足或无有效期； (4)报价超过谈判文件中规定的最高限价； (5)保证金交纳不符合谈判文件要求；（6）不满足本谈判文件中标注“★”的实质性条款要求的(7)法律、法规和谈判文件规定的其他无效情形。</w:t>
            </w:r>
          </w:p>
        </w:tc>
        <w:tc>
          <w:tcPr>
            <w:tcW w:type="dxa" w:w="1661"/>
          </w:tcPr>
          <w:p>
            <w:pPr>
              <w:pStyle w:val="null3"/>
            </w:pPr>
            <w:r>
              <w:rPr>
                <w:rFonts w:ascii="仿宋_GB2312" w:hAnsi="仿宋_GB2312" w:cs="仿宋_GB2312" w:eastAsia="仿宋_GB2312"/>
              </w:rPr>
              <w:t>03-诚信承诺书.docx 04-分项报价表.docx 08-拒绝商业贿赂承诺书.docx 报价表 07-谈判响应方案说明.docx 响应文件封面 06-技术指标偏差表.docx 标的清单 02-资格要求证明资料.docx 09-商务条款响应说明.docx 响应函 10-谈判保证金.docx 05-服务承诺.docx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详见附件：02-资格要求证明资料.docx</w:t>
      </w:r>
    </w:p>
    <w:p>
      <w:pPr>
        <w:pStyle w:val="null3"/>
        <w:ind w:firstLine="960"/>
      </w:pPr>
      <w:r>
        <w:rPr>
          <w:rFonts w:ascii="仿宋_GB2312" w:hAnsi="仿宋_GB2312" w:cs="仿宋_GB2312" w:eastAsia="仿宋_GB2312"/>
        </w:rPr>
        <w:t>详见附件：03-诚信承诺书.docx</w:t>
      </w:r>
    </w:p>
    <w:p>
      <w:pPr>
        <w:pStyle w:val="null3"/>
        <w:ind w:firstLine="960"/>
      </w:pPr>
      <w:r>
        <w:rPr>
          <w:rFonts w:ascii="仿宋_GB2312" w:hAnsi="仿宋_GB2312" w:cs="仿宋_GB2312" w:eastAsia="仿宋_GB2312"/>
        </w:rPr>
        <w:t>详见附件：04-分项报价表.docx</w:t>
      </w:r>
    </w:p>
    <w:p>
      <w:pPr>
        <w:pStyle w:val="null3"/>
        <w:ind w:firstLine="960"/>
      </w:pPr>
      <w:r>
        <w:rPr>
          <w:rFonts w:ascii="仿宋_GB2312" w:hAnsi="仿宋_GB2312" w:cs="仿宋_GB2312" w:eastAsia="仿宋_GB2312"/>
        </w:rPr>
        <w:t>详见附件：05-服务承诺.docx</w:t>
      </w:r>
    </w:p>
    <w:p>
      <w:pPr>
        <w:pStyle w:val="null3"/>
        <w:ind w:firstLine="960"/>
      </w:pPr>
      <w:r>
        <w:rPr>
          <w:rFonts w:ascii="仿宋_GB2312" w:hAnsi="仿宋_GB2312" w:cs="仿宋_GB2312" w:eastAsia="仿宋_GB2312"/>
        </w:rPr>
        <w:t>详见附件：06-技术指标偏差表.docx</w:t>
      </w:r>
    </w:p>
    <w:p>
      <w:pPr>
        <w:pStyle w:val="null3"/>
        <w:ind w:firstLine="960"/>
      </w:pPr>
      <w:r>
        <w:rPr>
          <w:rFonts w:ascii="仿宋_GB2312" w:hAnsi="仿宋_GB2312" w:cs="仿宋_GB2312" w:eastAsia="仿宋_GB2312"/>
        </w:rPr>
        <w:t>详见附件：07-谈判响应方案说明.docx</w:t>
      </w:r>
    </w:p>
    <w:p>
      <w:pPr>
        <w:pStyle w:val="null3"/>
        <w:ind w:firstLine="960"/>
      </w:pPr>
      <w:r>
        <w:rPr>
          <w:rFonts w:ascii="仿宋_GB2312" w:hAnsi="仿宋_GB2312" w:cs="仿宋_GB2312" w:eastAsia="仿宋_GB2312"/>
        </w:rPr>
        <w:t>详见附件：08-拒绝商业贿赂承诺书.docx</w:t>
      </w:r>
    </w:p>
    <w:p>
      <w:pPr>
        <w:pStyle w:val="null3"/>
        <w:ind w:firstLine="960"/>
      </w:pPr>
      <w:r>
        <w:rPr>
          <w:rFonts w:ascii="仿宋_GB2312" w:hAnsi="仿宋_GB2312" w:cs="仿宋_GB2312" w:eastAsia="仿宋_GB2312"/>
        </w:rPr>
        <w:t>详见附件：09-商务条款响应说明.docx</w:t>
      </w:r>
    </w:p>
    <w:p>
      <w:pPr>
        <w:pStyle w:val="null3"/>
        <w:ind w:firstLine="960"/>
      </w:pPr>
      <w:r>
        <w:rPr>
          <w:rFonts w:ascii="仿宋_GB2312" w:hAnsi="仿宋_GB2312" w:cs="仿宋_GB2312" w:eastAsia="仿宋_GB2312"/>
        </w:rPr>
        <w:t>详见附件：10-谈判保证金.docx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详见附件：01-合同模板.docx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