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B39E9">
      <w:pPr>
        <w:wordWrap w:val="0"/>
        <w:topLinePunct/>
        <w:spacing w:line="360" w:lineRule="auto"/>
        <w:ind w:firstLine="723" w:firstLineChars="200"/>
        <w:jc w:val="center"/>
        <w:outlineLvl w:val="0"/>
        <w:rPr>
          <w:rFonts w:hint="eastAsia" w:ascii="仿宋" w:hAnsi="仿宋" w:eastAsia="仿宋" w:cs="仿宋"/>
          <w:b/>
          <w:bCs/>
          <w:sz w:val="36"/>
          <w:szCs w:val="36"/>
        </w:rPr>
      </w:pPr>
      <w:r>
        <w:rPr>
          <w:rFonts w:hint="eastAsia" w:ascii="仿宋" w:hAnsi="仿宋" w:eastAsia="仿宋" w:cs="仿宋"/>
          <w:b/>
          <w:bCs/>
          <w:sz w:val="36"/>
          <w:szCs w:val="36"/>
        </w:rPr>
        <w:t>合同格式及主要条款</w:t>
      </w:r>
    </w:p>
    <w:p w14:paraId="1FA95A55">
      <w:pPr>
        <w:spacing w:line="360" w:lineRule="auto"/>
        <w:ind w:firstLine="723"/>
        <w:jc w:val="center"/>
        <w:rPr>
          <w:rFonts w:hint="eastAsia" w:ascii="仿宋" w:hAnsi="仿宋" w:eastAsia="仿宋" w:cs="仿宋"/>
          <w:b/>
          <w:kern w:val="1"/>
          <w:sz w:val="36"/>
          <w:szCs w:val="36"/>
        </w:rPr>
      </w:pPr>
      <w:bookmarkStart w:id="0" w:name="_Toc497711586"/>
      <w:bookmarkEnd w:id="0"/>
      <w:bookmarkStart w:id="1" w:name="_Toc497712134"/>
      <w:bookmarkEnd w:id="1"/>
      <w:bookmarkStart w:id="2" w:name="_Toc389620242"/>
      <w:bookmarkEnd w:id="2"/>
      <w:bookmarkStart w:id="3" w:name="_Toc497551821"/>
      <w:bookmarkEnd w:id="3"/>
      <w:bookmarkStart w:id="4" w:name="_Toc246928960"/>
      <w:bookmarkEnd w:id="4"/>
      <w:bookmarkStart w:id="5" w:name="_Toc5006"/>
      <w:bookmarkEnd w:id="5"/>
      <w:bookmarkStart w:id="6" w:name="_Toc497546919"/>
      <w:bookmarkEnd w:id="6"/>
      <w:bookmarkStart w:id="7" w:name="_Toc492955460"/>
      <w:bookmarkEnd w:id="7"/>
      <w:bookmarkStart w:id="8" w:name="_Toc385992402"/>
      <w:bookmarkEnd w:id="8"/>
    </w:p>
    <w:p w14:paraId="65B90871">
      <w:pPr>
        <w:spacing w:before="120" w:line="360" w:lineRule="auto"/>
        <w:jc w:val="center"/>
        <w:rPr>
          <w:rFonts w:hint="eastAsia" w:ascii="仿宋" w:eastAsia="仿宋" w:cs="仿宋"/>
          <w:b/>
          <w:bCs/>
          <w:sz w:val="28"/>
          <w:szCs w:val="28"/>
        </w:rPr>
      </w:pPr>
      <w:r>
        <w:rPr>
          <w:rFonts w:hint="eastAsia" w:ascii="仿宋" w:eastAsia="仿宋" w:cs="仿宋"/>
          <w:b/>
          <w:bCs/>
          <w:sz w:val="28"/>
          <w:szCs w:val="28"/>
        </w:rPr>
        <w:t>（参考格式）</w:t>
      </w:r>
    </w:p>
    <w:p w14:paraId="197A2EE6">
      <w:pPr>
        <w:spacing w:before="120" w:line="360" w:lineRule="auto"/>
        <w:jc w:val="center"/>
        <w:rPr>
          <w:rFonts w:hint="eastAsia" w:ascii="仿宋" w:eastAsia="仿宋" w:cs="仿宋"/>
          <w:b/>
          <w:bCs/>
          <w:sz w:val="36"/>
          <w:szCs w:val="36"/>
        </w:rPr>
      </w:pPr>
    </w:p>
    <w:p w14:paraId="297068A8">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（参考格式）</w:t>
      </w:r>
    </w:p>
    <w:p w14:paraId="12D315D8">
      <w:pPr>
        <w:jc w:val="center"/>
        <w:rPr>
          <w:rFonts w:hint="eastAsia" w:ascii="仿宋" w:hAnsi="仿宋" w:eastAsia="仿宋" w:cs="仿宋"/>
          <w:color w:val="auto"/>
          <w:sz w:val="24"/>
          <w:szCs w:val="24"/>
          <w:highlight w:val="none"/>
        </w:rPr>
      </w:pPr>
    </w:p>
    <w:p w14:paraId="5A517997">
      <w:pPr>
        <w:spacing w:before="120" w:line="360" w:lineRule="auto"/>
        <w:jc w:val="center"/>
        <w:rPr>
          <w:rFonts w:hint="eastAsia" w:ascii="仿宋" w:hAnsi="仿宋" w:eastAsia="仿宋" w:cs="仿宋"/>
          <w:color w:val="auto"/>
          <w:sz w:val="28"/>
          <w:szCs w:val="28"/>
          <w:highlight w:val="none"/>
        </w:rPr>
      </w:pPr>
      <w:bookmarkStart w:id="9" w:name="_Toc109542396"/>
      <w:bookmarkStart w:id="10" w:name="_Toc109543216"/>
      <w:r>
        <w:rPr>
          <w:rFonts w:hint="eastAsia" w:ascii="仿宋" w:hAnsi="仿宋" w:eastAsia="仿宋" w:cs="仿宋"/>
          <w:b/>
          <w:bCs/>
          <w:color w:val="auto"/>
          <w:sz w:val="28"/>
          <w:szCs w:val="28"/>
          <w:highlight w:val="none"/>
        </w:rPr>
        <w:t>合同编号：</w:t>
      </w:r>
      <w:bookmarkEnd w:id="9"/>
      <w:bookmarkEnd w:id="10"/>
    </w:p>
    <w:p w14:paraId="69985B26">
      <w:pPr>
        <w:pStyle w:val="3"/>
        <w:spacing w:before="120" w:line="360" w:lineRule="auto"/>
        <w:ind w:firstLine="0"/>
        <w:rPr>
          <w:rFonts w:hint="eastAsia" w:ascii="仿宋" w:hAnsi="仿宋" w:eastAsia="仿宋" w:cs="仿宋"/>
          <w:color w:val="auto"/>
          <w:sz w:val="28"/>
          <w:szCs w:val="28"/>
          <w:highlight w:val="none"/>
        </w:rPr>
      </w:pPr>
    </w:p>
    <w:p w14:paraId="7815C8E4">
      <w:pPr>
        <w:spacing w:before="120" w:line="360" w:lineRule="auto"/>
        <w:rPr>
          <w:rFonts w:hint="eastAsia" w:ascii="仿宋" w:hAnsi="仿宋" w:eastAsia="仿宋" w:cs="仿宋"/>
          <w:b/>
          <w:bCs/>
          <w:color w:val="auto"/>
          <w:sz w:val="28"/>
          <w:szCs w:val="28"/>
          <w:highlight w:val="none"/>
        </w:rPr>
      </w:pPr>
    </w:p>
    <w:p w14:paraId="0B967CF1">
      <w:pPr>
        <w:spacing w:before="120" w:line="360" w:lineRule="auto"/>
        <w:rPr>
          <w:rFonts w:hint="eastAsia" w:ascii="仿宋" w:hAnsi="仿宋" w:eastAsia="仿宋" w:cs="仿宋"/>
          <w:b/>
          <w:bCs/>
          <w:color w:val="auto"/>
          <w:sz w:val="28"/>
          <w:szCs w:val="28"/>
          <w:highlight w:val="none"/>
        </w:rPr>
      </w:pPr>
    </w:p>
    <w:p w14:paraId="26925D1E">
      <w:pPr>
        <w:spacing w:before="120" w:line="360" w:lineRule="auto"/>
        <w:rPr>
          <w:rFonts w:hint="eastAsia" w:ascii="仿宋" w:hAnsi="仿宋" w:eastAsia="仿宋" w:cs="仿宋"/>
          <w:b/>
          <w:bCs/>
          <w:color w:val="auto"/>
          <w:sz w:val="28"/>
          <w:szCs w:val="28"/>
          <w:highlight w:val="none"/>
        </w:rPr>
      </w:pPr>
    </w:p>
    <w:p w14:paraId="3091A8CF">
      <w:pPr>
        <w:spacing w:before="120" w:line="360" w:lineRule="auto"/>
        <w:rPr>
          <w:rFonts w:hint="eastAsia" w:ascii="仿宋" w:hAnsi="仿宋" w:eastAsia="仿宋" w:cs="仿宋"/>
          <w:b/>
          <w:bCs/>
          <w:color w:val="auto"/>
          <w:sz w:val="28"/>
          <w:szCs w:val="28"/>
          <w:highlight w:val="none"/>
        </w:rPr>
      </w:pPr>
    </w:p>
    <w:p w14:paraId="36CDAD08">
      <w:pPr>
        <w:spacing w:before="120" w:line="360" w:lineRule="auto"/>
        <w:ind w:left="960"/>
        <w:rPr>
          <w:rFonts w:hint="eastAsia" w:ascii="仿宋" w:hAnsi="仿宋" w:eastAsia="仿宋" w:cs="仿宋"/>
          <w:b/>
          <w:bCs/>
          <w:color w:val="auto"/>
          <w:sz w:val="28"/>
          <w:szCs w:val="28"/>
          <w:highlight w:val="none"/>
          <w:u w:val="single"/>
        </w:rPr>
      </w:pPr>
      <w:r>
        <w:rPr>
          <w:rFonts w:hint="eastAsia" w:ascii="仿宋" w:hAnsi="仿宋" w:eastAsia="仿宋" w:cs="仿宋"/>
          <w:b/>
          <w:bCs/>
          <w:color w:val="auto"/>
          <w:sz w:val="28"/>
          <w:szCs w:val="28"/>
          <w:highlight w:val="none"/>
        </w:rPr>
        <w:t>采购项目名称：</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8"/>
          <w:szCs w:val="28"/>
          <w:highlight w:val="none"/>
        </w:rPr>
        <w:t xml:space="preserve">                                </w:t>
      </w:r>
    </w:p>
    <w:p w14:paraId="6C73BF5B">
      <w:pPr>
        <w:spacing w:before="120" w:line="360" w:lineRule="auto"/>
        <w:ind w:left="960"/>
        <w:rPr>
          <w:rFonts w:hint="eastAsia" w:ascii="仿宋" w:hAnsi="仿宋" w:eastAsia="仿宋" w:cs="仿宋"/>
          <w:b/>
          <w:bCs/>
          <w:color w:val="auto"/>
          <w:sz w:val="28"/>
          <w:szCs w:val="28"/>
          <w:highlight w:val="none"/>
          <w:u w:val="single"/>
        </w:rPr>
      </w:pPr>
      <w:r>
        <w:rPr>
          <w:rFonts w:hint="eastAsia" w:ascii="仿宋" w:hAnsi="仿宋" w:eastAsia="仿宋" w:cs="仿宋"/>
          <w:b/>
          <w:bCs/>
          <w:color w:val="auto"/>
          <w:sz w:val="28"/>
          <w:szCs w:val="28"/>
          <w:highlight w:val="none"/>
        </w:rPr>
        <w:t>采购内容：</w:t>
      </w:r>
      <w:r>
        <w:rPr>
          <w:rFonts w:hint="eastAsia"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8"/>
          <w:szCs w:val="28"/>
          <w:highlight w:val="none"/>
          <w:u w:val="single"/>
        </w:rPr>
        <w:t xml:space="preserve">                            </w:t>
      </w:r>
    </w:p>
    <w:p w14:paraId="44FD980A">
      <w:pPr>
        <w:spacing w:before="120" w:line="360" w:lineRule="auto"/>
        <w:ind w:left="96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采购人：</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8"/>
          <w:szCs w:val="28"/>
          <w:highlight w:val="none"/>
          <w:u w:val="single"/>
        </w:rPr>
        <w:t xml:space="preserve">                                       </w:t>
      </w:r>
    </w:p>
    <w:p w14:paraId="34813360">
      <w:pPr>
        <w:spacing w:before="120" w:line="360" w:lineRule="auto"/>
        <w:ind w:left="960"/>
        <w:rPr>
          <w:rFonts w:hint="eastAsia" w:ascii="仿宋" w:hAnsi="仿宋" w:eastAsia="仿宋" w:cs="仿宋"/>
          <w:b/>
          <w:bCs/>
          <w:color w:val="auto"/>
          <w:sz w:val="28"/>
          <w:szCs w:val="28"/>
          <w:highlight w:val="none"/>
          <w:u w:val="single"/>
        </w:rPr>
      </w:pPr>
      <w:r>
        <w:rPr>
          <w:rFonts w:hint="eastAsia" w:ascii="仿宋" w:hAnsi="仿宋" w:eastAsia="仿宋" w:cs="仿宋"/>
          <w:b/>
          <w:bCs/>
          <w:color w:val="auto"/>
          <w:sz w:val="28"/>
          <w:szCs w:val="28"/>
          <w:highlight w:val="none"/>
        </w:rPr>
        <w:t>中标供应商：</w:t>
      </w:r>
      <w:r>
        <w:rPr>
          <w:rFonts w:hint="eastAsia"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8"/>
          <w:szCs w:val="28"/>
          <w:highlight w:val="none"/>
          <w:u w:val="single"/>
        </w:rPr>
        <w:t xml:space="preserve">                               </w:t>
      </w:r>
    </w:p>
    <w:p w14:paraId="0C256021">
      <w:pPr>
        <w:spacing w:before="120" w:line="360" w:lineRule="auto"/>
        <w:ind w:firstLine="843" w:firstLineChars="350"/>
        <w:rPr>
          <w:rFonts w:hint="eastAsia" w:ascii="仿宋" w:hAnsi="仿宋" w:eastAsia="仿宋" w:cs="仿宋"/>
          <w:b/>
          <w:bCs/>
          <w:color w:val="auto"/>
          <w:sz w:val="24"/>
          <w:highlight w:val="none"/>
        </w:rPr>
      </w:pPr>
    </w:p>
    <w:p w14:paraId="4CB03AFD">
      <w:pPr>
        <w:spacing w:before="120" w:line="360" w:lineRule="auto"/>
        <w:ind w:firstLine="843" w:firstLineChars="350"/>
        <w:rPr>
          <w:rFonts w:hint="eastAsia" w:ascii="仿宋" w:hAnsi="仿宋" w:eastAsia="仿宋" w:cs="仿宋"/>
          <w:b/>
          <w:bCs/>
          <w:color w:val="auto"/>
          <w:sz w:val="24"/>
          <w:highlight w:val="none"/>
        </w:rPr>
      </w:pPr>
    </w:p>
    <w:p w14:paraId="5786B1B7">
      <w:pPr>
        <w:spacing w:line="480" w:lineRule="auto"/>
        <w:ind w:firstLine="964" w:firstLineChars="343"/>
        <w:rPr>
          <w:rFonts w:hint="eastAsia" w:ascii="仿宋" w:hAnsi="仿宋" w:eastAsia="仿宋" w:cs="仿宋"/>
          <w:color w:val="auto"/>
          <w:sz w:val="32"/>
          <w:szCs w:val="32"/>
          <w:highlight w:val="none"/>
        </w:rPr>
      </w:pPr>
      <w:r>
        <w:rPr>
          <w:rFonts w:hint="eastAsia" w:ascii="仿宋" w:hAnsi="仿宋" w:eastAsia="仿宋" w:cs="仿宋"/>
          <w:b/>
          <w:bCs/>
          <w:color w:val="auto"/>
          <w:sz w:val="28"/>
          <w:szCs w:val="28"/>
          <w:highlight w:val="none"/>
        </w:rPr>
        <w:t>签署日期：</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w:t>
      </w:r>
    </w:p>
    <w:p w14:paraId="799CB48E">
      <w:pPr>
        <w:spacing w:line="360" w:lineRule="auto"/>
        <w:ind w:firstLine="422" w:firstLineChars="150"/>
        <w:jc w:val="center"/>
        <w:rPr>
          <w:rFonts w:hint="eastAsia" w:ascii="仿宋" w:hAnsi="仿宋" w:eastAsia="仿宋" w:cs="仿宋"/>
          <w:b/>
          <w:color w:val="auto"/>
          <w:sz w:val="28"/>
          <w:szCs w:val="28"/>
          <w:highlight w:val="none"/>
        </w:rPr>
      </w:pPr>
    </w:p>
    <w:p w14:paraId="0A6A10C7">
      <w:pPr>
        <w:spacing w:line="360" w:lineRule="auto"/>
        <w:ind w:firstLine="422" w:firstLineChars="150"/>
        <w:jc w:val="center"/>
        <w:rPr>
          <w:rFonts w:hint="eastAsia" w:ascii="仿宋" w:hAnsi="仿宋" w:eastAsia="仿宋" w:cs="仿宋"/>
          <w:b/>
          <w:color w:val="auto"/>
          <w:sz w:val="28"/>
          <w:szCs w:val="28"/>
          <w:highlight w:val="none"/>
        </w:rPr>
      </w:pPr>
    </w:p>
    <w:p w14:paraId="092492A6">
      <w:pPr>
        <w:spacing w:line="360" w:lineRule="auto"/>
        <w:ind w:firstLine="422" w:firstLineChars="150"/>
        <w:jc w:val="center"/>
        <w:rPr>
          <w:rFonts w:hint="eastAsia" w:ascii="仿宋" w:hAnsi="仿宋" w:eastAsia="仿宋" w:cs="仿宋"/>
          <w:b/>
          <w:color w:val="auto"/>
          <w:sz w:val="28"/>
          <w:szCs w:val="28"/>
          <w:highlight w:val="none"/>
        </w:rPr>
      </w:pPr>
    </w:p>
    <w:p w14:paraId="54505EB4">
      <w:pPr>
        <w:spacing w:line="360" w:lineRule="auto"/>
        <w:jc w:val="center"/>
        <w:rPr>
          <w:rFonts w:hint="eastAsia" w:ascii="仿宋" w:eastAsia="仿宋" w:cs="仿宋"/>
          <w:b/>
          <w:bCs/>
          <w:sz w:val="30"/>
          <w:szCs w:val="30"/>
        </w:rPr>
      </w:pPr>
      <w:r>
        <w:rPr>
          <w:rFonts w:hint="eastAsia" w:ascii="仿宋" w:eastAsia="仿宋" w:cs="仿宋"/>
          <w:b/>
          <w:bCs/>
          <w:sz w:val="30"/>
          <w:szCs w:val="30"/>
        </w:rPr>
        <w:t>采 购 合 同（参考格式）</w:t>
      </w:r>
    </w:p>
    <w:p w14:paraId="4DA6BBF1">
      <w:pPr>
        <w:shd w:val="clear" w:color="auto" w:fill="FFFFFF"/>
        <w:spacing w:line="360" w:lineRule="auto"/>
        <w:rPr>
          <w:rFonts w:hint="eastAsia" w:ascii="仿宋" w:eastAsia="仿宋" w:cs="仿宋"/>
          <w:sz w:val="24"/>
        </w:rPr>
      </w:pPr>
      <w:r>
        <w:rPr>
          <w:rFonts w:hint="eastAsia" w:ascii="仿宋" w:eastAsia="仿宋" w:cs="仿宋"/>
          <w:b/>
          <w:bCs/>
          <w:sz w:val="24"/>
        </w:rPr>
        <w:t>甲方：</w:t>
      </w:r>
      <w:r>
        <w:rPr>
          <w:rFonts w:hint="eastAsia" w:ascii="仿宋" w:eastAsia="仿宋" w:cs="仿宋"/>
          <w:b/>
          <w:bCs/>
          <w:sz w:val="24"/>
          <w:u w:val="single"/>
        </w:rPr>
        <w:t xml:space="preserve">            </w:t>
      </w:r>
      <w:r>
        <w:rPr>
          <w:rFonts w:hint="eastAsia" w:ascii="仿宋" w:eastAsia="仿宋" w:cs="仿宋"/>
          <w:sz w:val="24"/>
          <w:u w:val="single"/>
        </w:rPr>
        <w:t xml:space="preserve">   </w:t>
      </w:r>
      <w:r>
        <w:rPr>
          <w:rFonts w:hint="eastAsia" w:ascii="仿宋" w:eastAsia="仿宋" w:cs="仿宋"/>
          <w:sz w:val="24"/>
        </w:rPr>
        <w:t xml:space="preserve">      </w:t>
      </w:r>
    </w:p>
    <w:p w14:paraId="73A28C22">
      <w:pPr>
        <w:shd w:val="clear" w:color="auto" w:fill="FFFFFF"/>
        <w:spacing w:line="360" w:lineRule="auto"/>
        <w:rPr>
          <w:rFonts w:hint="eastAsia" w:ascii="仿宋" w:eastAsia="仿宋" w:cs="仿宋"/>
          <w:b/>
          <w:bCs/>
          <w:sz w:val="24"/>
        </w:rPr>
      </w:pPr>
      <w:r>
        <w:rPr>
          <w:rFonts w:hint="eastAsia" w:ascii="仿宋" w:eastAsia="仿宋" w:cs="仿宋"/>
          <w:b/>
          <w:bCs/>
          <w:sz w:val="24"/>
        </w:rPr>
        <w:t>乙方：</w:t>
      </w:r>
      <w:r>
        <w:rPr>
          <w:rFonts w:hint="eastAsia" w:ascii="仿宋" w:eastAsia="仿宋" w:cs="仿宋"/>
          <w:b/>
          <w:bCs/>
          <w:sz w:val="24"/>
          <w:u w:val="single"/>
        </w:rPr>
        <w:t xml:space="preserve">            </w:t>
      </w:r>
      <w:r>
        <w:rPr>
          <w:rFonts w:hint="eastAsia" w:ascii="仿宋" w:eastAsia="仿宋" w:cs="仿宋"/>
          <w:sz w:val="24"/>
          <w:u w:val="single"/>
        </w:rPr>
        <w:t xml:space="preserve">   </w:t>
      </w:r>
      <w:r>
        <w:rPr>
          <w:rFonts w:hint="eastAsia" w:ascii="仿宋" w:eastAsia="仿宋" w:cs="仿宋"/>
          <w:sz w:val="24"/>
        </w:rPr>
        <w:t xml:space="preserve">            </w:t>
      </w:r>
      <w:r>
        <w:rPr>
          <w:rFonts w:hint="eastAsia" w:ascii="仿宋" w:eastAsia="仿宋" w:cs="仿宋"/>
          <w:b/>
          <w:bCs/>
          <w:sz w:val="24"/>
        </w:rPr>
        <w:t xml:space="preserve">                   </w:t>
      </w:r>
    </w:p>
    <w:p w14:paraId="45AB13A9">
      <w:pPr>
        <w:shd w:val="clear" w:color="auto" w:fill="FFFFFF"/>
        <w:spacing w:line="360" w:lineRule="auto"/>
        <w:ind w:firstLine="600" w:firstLineChars="250"/>
        <w:rPr>
          <w:rFonts w:hint="eastAsia" w:ascii="仿宋" w:eastAsia="仿宋" w:cs="仿宋"/>
          <w:sz w:val="24"/>
        </w:rPr>
      </w:pPr>
      <w:r>
        <w:rPr>
          <w:rFonts w:hint="eastAsia" w:ascii="仿宋" w:eastAsia="仿宋" w:cs="仿宋"/>
          <w:sz w:val="24"/>
        </w:rPr>
        <w:t>甲、乙双方依据《中华人民共和国民法典》及其他有关法律法规，遵循平等、自愿、公平和诚实信用的原则，甲、乙双方就</w:t>
      </w:r>
      <w:r>
        <w:rPr>
          <w:rFonts w:hint="eastAsia" w:ascii="仿宋" w:eastAsia="仿宋" w:cs="仿宋"/>
          <w:sz w:val="24"/>
          <w:lang w:val="en-US" w:eastAsia="zh-CN"/>
        </w:rPr>
        <w:t>陕西</w:t>
      </w:r>
      <w:r>
        <w:rPr>
          <w:rFonts w:hint="eastAsia" w:ascii="仿宋" w:eastAsia="仿宋" w:cs="仿宋"/>
          <w:sz w:val="24"/>
        </w:rPr>
        <w:t>省第二人民医院医用内窥镜摄像系统等一批设备采购项目相关事项达成一致意见，订立本合同。</w:t>
      </w:r>
    </w:p>
    <w:p w14:paraId="2E50DFD6">
      <w:pPr>
        <w:shd w:val="clear" w:color="auto" w:fill="FFFFFF"/>
        <w:tabs>
          <w:tab w:val="left" w:pos="425"/>
        </w:tabs>
        <w:spacing w:line="360" w:lineRule="auto"/>
        <w:textAlignment w:val="baseline"/>
        <w:rPr>
          <w:rFonts w:hint="eastAsia" w:ascii="仿宋" w:eastAsia="仿宋" w:cs="仿宋"/>
          <w:sz w:val="24"/>
        </w:rPr>
      </w:pPr>
      <w:bookmarkStart w:id="11" w:name="_Toc495505730"/>
      <w:bookmarkStart w:id="12" w:name="_Toc16613"/>
      <w:bookmarkStart w:id="13" w:name="_Toc22032"/>
      <w:bookmarkStart w:id="14" w:name="_Toc30204"/>
      <w:bookmarkStart w:id="15" w:name="_Toc28726"/>
      <w:bookmarkStart w:id="16" w:name="_Toc30334"/>
      <w:bookmarkStart w:id="17" w:name="_Toc10361"/>
      <w:bookmarkStart w:id="18" w:name="_Toc22741"/>
      <w:r>
        <w:rPr>
          <w:rFonts w:hint="eastAsia" w:ascii="仿宋" w:eastAsia="仿宋" w:cs="仿宋"/>
          <w:b/>
          <w:bCs/>
          <w:sz w:val="24"/>
        </w:rPr>
        <w:t>一、项目范围</w:t>
      </w:r>
      <w:bookmarkEnd w:id="11"/>
      <w:bookmarkEnd w:id="12"/>
      <w:bookmarkEnd w:id="13"/>
      <w:bookmarkEnd w:id="14"/>
      <w:bookmarkEnd w:id="15"/>
      <w:bookmarkEnd w:id="16"/>
      <w:bookmarkEnd w:id="17"/>
      <w:bookmarkEnd w:id="18"/>
    </w:p>
    <w:p w14:paraId="6FC39554">
      <w:pPr>
        <w:shd w:val="clear" w:color="auto" w:fill="FFFFFF"/>
        <w:tabs>
          <w:tab w:val="left" w:pos="425"/>
        </w:tabs>
        <w:spacing w:line="360" w:lineRule="auto"/>
        <w:textAlignment w:val="baseline"/>
        <w:rPr>
          <w:rFonts w:hint="eastAsia" w:ascii="仿宋" w:eastAsia="仿宋" w:cs="仿宋"/>
          <w:b/>
          <w:bCs/>
          <w:sz w:val="24"/>
        </w:rPr>
      </w:pPr>
      <w:bookmarkStart w:id="19" w:name="_Toc5711"/>
      <w:bookmarkStart w:id="20" w:name="_Toc4159"/>
      <w:bookmarkStart w:id="21" w:name="_Toc495505731"/>
      <w:bookmarkStart w:id="22" w:name="_Toc12026"/>
      <w:bookmarkStart w:id="23" w:name="_Toc14194"/>
      <w:bookmarkStart w:id="24" w:name="_Toc19901"/>
      <w:bookmarkStart w:id="25" w:name="_Toc18865"/>
      <w:bookmarkStart w:id="26" w:name="_Toc2047"/>
      <w:r>
        <w:rPr>
          <w:rFonts w:hint="eastAsia" w:ascii="仿宋" w:eastAsia="仿宋" w:cs="仿宋"/>
          <w:b/>
          <w:bCs/>
          <w:sz w:val="24"/>
        </w:rPr>
        <w:t>二、交货期</w:t>
      </w:r>
      <w:bookmarkEnd w:id="19"/>
      <w:bookmarkEnd w:id="20"/>
      <w:bookmarkEnd w:id="21"/>
      <w:bookmarkEnd w:id="22"/>
      <w:bookmarkEnd w:id="23"/>
      <w:bookmarkEnd w:id="24"/>
      <w:bookmarkEnd w:id="25"/>
      <w:bookmarkEnd w:id="26"/>
    </w:p>
    <w:p w14:paraId="36656FE8">
      <w:pPr>
        <w:shd w:val="clear" w:color="auto" w:fill="FFFFFF"/>
        <w:spacing w:line="360" w:lineRule="auto"/>
        <w:ind w:firstLine="480" w:firstLineChars="200"/>
        <w:rPr>
          <w:rFonts w:hint="eastAsia" w:ascii="仿宋" w:eastAsia="仿宋" w:cs="仿宋"/>
          <w:sz w:val="24"/>
          <w:lang w:eastAsia="zh-CN"/>
        </w:rPr>
      </w:pPr>
      <w:r>
        <w:rPr>
          <w:rFonts w:hint="eastAsia" w:ascii="仿宋" w:eastAsia="仿宋" w:cs="仿宋"/>
          <w:sz w:val="24"/>
        </w:rPr>
        <w:t>本项目交货期为</w:t>
      </w:r>
      <w:r>
        <w:rPr>
          <w:rFonts w:hint="eastAsia" w:ascii="仿宋" w:eastAsia="仿宋" w:cs="仿宋"/>
          <w:sz w:val="24"/>
          <w:u w:val="single"/>
        </w:rPr>
        <w:t xml:space="preserve">           </w:t>
      </w:r>
      <w:r>
        <w:rPr>
          <w:rFonts w:hint="eastAsia" w:ascii="仿宋" w:eastAsia="仿宋" w:cs="仿宋"/>
          <w:sz w:val="24"/>
          <w:u w:val="single"/>
          <w:lang w:eastAsia="zh-CN"/>
        </w:rPr>
        <w:t>。</w:t>
      </w:r>
    </w:p>
    <w:p w14:paraId="4E49E827">
      <w:pPr>
        <w:shd w:val="clear" w:color="auto" w:fill="FFFFFF"/>
        <w:tabs>
          <w:tab w:val="left" w:pos="425"/>
        </w:tabs>
        <w:spacing w:line="360" w:lineRule="auto"/>
        <w:textAlignment w:val="baseline"/>
        <w:rPr>
          <w:rFonts w:hint="eastAsia" w:ascii="仿宋" w:eastAsia="仿宋" w:cs="仿宋"/>
          <w:b/>
          <w:bCs/>
          <w:sz w:val="24"/>
        </w:rPr>
      </w:pPr>
      <w:bookmarkStart w:id="27" w:name="_Toc20064"/>
      <w:bookmarkStart w:id="28" w:name="_Toc10147"/>
      <w:bookmarkStart w:id="29" w:name="_Toc1353"/>
      <w:bookmarkStart w:id="30" w:name="_Toc1906"/>
      <w:bookmarkStart w:id="31" w:name="_Toc30020"/>
      <w:bookmarkStart w:id="32" w:name="_Toc25258"/>
      <w:bookmarkStart w:id="33" w:name="_Toc495505732"/>
      <w:bookmarkStart w:id="34" w:name="_Toc13030"/>
      <w:r>
        <w:rPr>
          <w:rFonts w:hint="eastAsia" w:ascii="仿宋" w:eastAsia="仿宋" w:cs="仿宋"/>
          <w:b/>
          <w:bCs/>
          <w:sz w:val="24"/>
        </w:rPr>
        <w:t>三、合同文件及解释</w:t>
      </w:r>
      <w:bookmarkEnd w:id="27"/>
      <w:bookmarkEnd w:id="28"/>
      <w:bookmarkEnd w:id="29"/>
      <w:bookmarkEnd w:id="30"/>
      <w:bookmarkEnd w:id="31"/>
      <w:bookmarkEnd w:id="32"/>
      <w:bookmarkEnd w:id="33"/>
      <w:bookmarkEnd w:id="34"/>
    </w:p>
    <w:p w14:paraId="1825CBD3">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合同协议书</w:t>
      </w:r>
    </w:p>
    <w:p w14:paraId="666E98A0">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lang w:val="en-US" w:eastAsia="zh-CN"/>
        </w:rPr>
        <w:t>成交</w:t>
      </w:r>
      <w:r>
        <w:rPr>
          <w:rFonts w:hint="eastAsia" w:ascii="仿宋" w:eastAsia="仿宋" w:cs="仿宋"/>
          <w:kern w:val="28"/>
          <w:sz w:val="24"/>
        </w:rPr>
        <w:t>通知书</w:t>
      </w:r>
    </w:p>
    <w:p w14:paraId="1C57AB49">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lang w:val="en-US" w:eastAsia="zh-CN"/>
        </w:rPr>
        <w:t>招标</w:t>
      </w:r>
      <w:r>
        <w:rPr>
          <w:rFonts w:hint="eastAsia" w:ascii="仿宋" w:eastAsia="仿宋" w:cs="仿宋"/>
          <w:kern w:val="28"/>
          <w:sz w:val="24"/>
        </w:rPr>
        <w:t>文件</w:t>
      </w:r>
    </w:p>
    <w:p w14:paraId="3E76065B">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投标函及投标函附录</w:t>
      </w:r>
    </w:p>
    <w:p w14:paraId="377D1C23">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技术标准、规范。</w:t>
      </w:r>
    </w:p>
    <w:p w14:paraId="6A351BD7">
      <w:pPr>
        <w:shd w:val="clear" w:color="auto" w:fill="FFFFFF"/>
        <w:spacing w:line="360" w:lineRule="auto"/>
        <w:ind w:firstLine="480" w:firstLineChars="200"/>
        <w:rPr>
          <w:rFonts w:hint="eastAsia" w:ascii="仿宋" w:eastAsia="仿宋" w:cs="仿宋"/>
          <w:kern w:val="28"/>
          <w:sz w:val="24"/>
        </w:rPr>
      </w:pPr>
      <w:bookmarkStart w:id="160" w:name="_GoBack"/>
      <w:r>
        <w:rPr>
          <w:rFonts w:hint="eastAsia" w:ascii="仿宋" w:eastAsia="仿宋" w:cs="仿宋"/>
          <w:kern w:val="28"/>
          <w:sz w:val="24"/>
        </w:rPr>
        <w:t>图纸</w:t>
      </w:r>
    </w:p>
    <w:bookmarkEnd w:id="160"/>
    <w:p w14:paraId="504A63B1">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其他合同文件</w:t>
      </w:r>
    </w:p>
    <w:p w14:paraId="6EB51233">
      <w:pPr>
        <w:shd w:val="clear" w:color="auto" w:fill="FFFFFF"/>
        <w:tabs>
          <w:tab w:val="left" w:pos="425"/>
        </w:tabs>
        <w:spacing w:line="360" w:lineRule="auto"/>
        <w:textAlignment w:val="baseline"/>
        <w:rPr>
          <w:rFonts w:hint="eastAsia" w:ascii="仿宋" w:eastAsia="仿宋" w:cs="仿宋"/>
          <w:b/>
          <w:bCs/>
          <w:sz w:val="24"/>
        </w:rPr>
      </w:pPr>
      <w:bookmarkStart w:id="35" w:name="_Toc26889"/>
      <w:bookmarkStart w:id="36" w:name="_Toc13326"/>
      <w:bookmarkStart w:id="37" w:name="_Toc12506"/>
      <w:bookmarkStart w:id="38" w:name="_Toc25932"/>
      <w:bookmarkStart w:id="39" w:name="_Toc2958"/>
      <w:bookmarkStart w:id="40" w:name="_Toc495505733"/>
      <w:bookmarkStart w:id="41" w:name="_Toc16579"/>
      <w:bookmarkStart w:id="42" w:name="_Toc3581"/>
      <w:r>
        <w:rPr>
          <w:rFonts w:hint="eastAsia" w:ascii="仿宋" w:eastAsia="仿宋" w:cs="仿宋"/>
          <w:b/>
          <w:bCs/>
          <w:sz w:val="24"/>
        </w:rPr>
        <w:t>四、合同价款、结算与支付</w:t>
      </w:r>
      <w:bookmarkEnd w:id="35"/>
      <w:bookmarkEnd w:id="36"/>
      <w:bookmarkEnd w:id="37"/>
      <w:bookmarkEnd w:id="38"/>
      <w:bookmarkEnd w:id="39"/>
      <w:bookmarkEnd w:id="40"/>
      <w:bookmarkEnd w:id="41"/>
      <w:bookmarkEnd w:id="42"/>
    </w:p>
    <w:p w14:paraId="6753A3ED">
      <w:pPr>
        <w:shd w:val="clear" w:color="auto" w:fill="FFFFFF"/>
        <w:spacing w:line="360" w:lineRule="auto"/>
        <w:rPr>
          <w:rFonts w:hint="eastAsia" w:ascii="仿宋" w:eastAsia="仿宋" w:cs="仿宋"/>
          <w:kern w:val="28"/>
          <w:sz w:val="24"/>
        </w:rPr>
      </w:pPr>
      <w:r>
        <w:rPr>
          <w:rFonts w:hint="eastAsia" w:ascii="仿宋" w:eastAsia="仿宋" w:cs="仿宋"/>
          <w:kern w:val="28"/>
          <w:sz w:val="24"/>
        </w:rPr>
        <w:t>1、本合同总价款</w:t>
      </w:r>
    </w:p>
    <w:p w14:paraId="24497DC7">
      <w:pPr>
        <w:spacing w:line="360" w:lineRule="auto"/>
        <w:ind w:firstLine="480" w:firstLineChars="200"/>
        <w:rPr>
          <w:rFonts w:hint="eastAsia" w:ascii="仿宋" w:eastAsia="仿宋" w:cs="仿宋"/>
          <w:sz w:val="24"/>
        </w:rPr>
      </w:pPr>
      <w:r>
        <w:rPr>
          <w:rFonts w:hint="eastAsia" w:ascii="仿宋" w:eastAsia="仿宋" w:cs="仿宋"/>
          <w:kern w:val="28"/>
          <w:sz w:val="24"/>
        </w:rPr>
        <w:t>本合同总价款为</w:t>
      </w:r>
      <w:r>
        <w:rPr>
          <w:rFonts w:hint="eastAsia" w:ascii="仿宋" w:eastAsia="仿宋" w:cs="仿宋"/>
          <w:b/>
          <w:bCs/>
          <w:kern w:val="28"/>
          <w:sz w:val="24"/>
          <w:u w:val="single"/>
        </w:rPr>
        <w:t>RMB    元（人民币大写： 拾 万 仟 佰  拾元整  )</w:t>
      </w:r>
      <w:r>
        <w:rPr>
          <w:rFonts w:hint="eastAsia" w:ascii="仿宋" w:eastAsia="仿宋" w:cs="仿宋"/>
          <w:kern w:val="28"/>
          <w:sz w:val="24"/>
        </w:rPr>
        <w:t>，该合同总价包括材料费、包装、运输、仓储、保管、保险、装卸（卸货至甲方指定地点）、利润、相关税费及市场价格风险在内等一切费用</w:t>
      </w:r>
      <w:r>
        <w:rPr>
          <w:rFonts w:hint="eastAsia" w:ascii="仿宋" w:eastAsia="仿宋" w:cs="仿宋"/>
          <w:sz w:val="24"/>
        </w:rPr>
        <w:t>。</w:t>
      </w:r>
    </w:p>
    <w:tbl>
      <w:tblPr>
        <w:tblStyle w:val="5"/>
        <w:tblW w:w="9468" w:type="dxa"/>
        <w:jc w:val="center"/>
        <w:tblLayout w:type="fixed"/>
        <w:tblCellMar>
          <w:top w:w="0" w:type="dxa"/>
          <w:left w:w="108" w:type="dxa"/>
          <w:bottom w:w="0" w:type="dxa"/>
          <w:right w:w="108" w:type="dxa"/>
        </w:tblCellMar>
      </w:tblPr>
      <w:tblGrid>
        <w:gridCol w:w="665"/>
        <w:gridCol w:w="1124"/>
        <w:gridCol w:w="2012"/>
        <w:gridCol w:w="984"/>
        <w:gridCol w:w="1313"/>
        <w:gridCol w:w="1181"/>
        <w:gridCol w:w="1069"/>
        <w:gridCol w:w="1120"/>
      </w:tblGrid>
      <w:tr w14:paraId="77F9987D">
        <w:tblPrEx>
          <w:tblCellMar>
            <w:top w:w="0" w:type="dxa"/>
            <w:left w:w="108" w:type="dxa"/>
            <w:bottom w:w="0" w:type="dxa"/>
            <w:right w:w="108" w:type="dxa"/>
          </w:tblCellMar>
        </w:tblPrEx>
        <w:trPr>
          <w:trHeight w:val="633" w:hRule="exact"/>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14:paraId="704E84B1">
            <w:pPr>
              <w:widowControl/>
              <w:ind w:left="-105" w:leftChars="-50" w:right="-57"/>
              <w:jc w:val="center"/>
              <w:rPr>
                <w:rFonts w:hint="eastAsia" w:ascii="仿宋" w:hAnsi="仿宋" w:eastAsia="仿宋" w:cs="仿宋"/>
                <w:b/>
                <w:sz w:val="24"/>
              </w:rPr>
            </w:pPr>
            <w:r>
              <w:rPr>
                <w:rFonts w:hint="eastAsia" w:ascii="仿宋" w:hAnsi="仿宋" w:eastAsia="仿宋" w:cs="仿宋"/>
                <w:b/>
                <w:sz w:val="24"/>
              </w:rPr>
              <w:t>序号</w:t>
            </w:r>
          </w:p>
        </w:tc>
        <w:tc>
          <w:tcPr>
            <w:tcW w:w="1124" w:type="dxa"/>
            <w:tcBorders>
              <w:top w:val="single" w:color="auto" w:sz="4" w:space="0"/>
              <w:left w:val="nil"/>
              <w:bottom w:val="single" w:color="auto" w:sz="4" w:space="0"/>
              <w:right w:val="single" w:color="auto" w:sz="4" w:space="0"/>
            </w:tcBorders>
            <w:noWrap w:val="0"/>
            <w:vAlign w:val="center"/>
          </w:tcPr>
          <w:p w14:paraId="22BEA163">
            <w:pPr>
              <w:widowControl/>
              <w:ind w:left="-105" w:leftChars="-50" w:right="-57"/>
              <w:jc w:val="center"/>
              <w:rPr>
                <w:rFonts w:hint="eastAsia" w:ascii="仿宋" w:hAnsi="仿宋" w:eastAsia="仿宋" w:cs="仿宋"/>
                <w:b/>
                <w:sz w:val="24"/>
              </w:rPr>
            </w:pPr>
            <w:r>
              <w:rPr>
                <w:rFonts w:hint="eastAsia" w:ascii="仿宋" w:hAnsi="仿宋" w:eastAsia="仿宋" w:cs="仿宋"/>
                <w:b/>
                <w:sz w:val="24"/>
              </w:rPr>
              <w:t>名称</w:t>
            </w:r>
          </w:p>
        </w:tc>
        <w:tc>
          <w:tcPr>
            <w:tcW w:w="2012" w:type="dxa"/>
            <w:tcBorders>
              <w:top w:val="single" w:color="auto" w:sz="4" w:space="0"/>
              <w:left w:val="nil"/>
              <w:bottom w:val="single" w:color="auto" w:sz="4" w:space="0"/>
              <w:right w:val="single" w:color="auto" w:sz="4" w:space="0"/>
            </w:tcBorders>
            <w:noWrap w:val="0"/>
            <w:vAlign w:val="center"/>
          </w:tcPr>
          <w:p w14:paraId="3EAFE857">
            <w:pPr>
              <w:widowControl/>
              <w:ind w:left="-105" w:leftChars="-50" w:right="-57"/>
              <w:jc w:val="center"/>
              <w:rPr>
                <w:rFonts w:hint="default" w:ascii="仿宋" w:hAnsi="仿宋" w:eastAsia="仿宋" w:cs="仿宋"/>
                <w:b/>
                <w:sz w:val="24"/>
                <w:lang w:val="en-US" w:eastAsia="zh-CN"/>
              </w:rPr>
            </w:pPr>
            <w:r>
              <w:rPr>
                <w:rFonts w:hint="eastAsia" w:ascii="仿宋" w:hAnsi="仿宋" w:eastAsia="仿宋" w:cs="仿宋"/>
                <w:b/>
                <w:sz w:val="24"/>
                <w:lang w:val="en-US" w:eastAsia="zh-CN"/>
              </w:rPr>
              <w:t>规格型号</w:t>
            </w:r>
          </w:p>
        </w:tc>
        <w:tc>
          <w:tcPr>
            <w:tcW w:w="984" w:type="dxa"/>
            <w:tcBorders>
              <w:top w:val="single" w:color="auto" w:sz="4" w:space="0"/>
              <w:left w:val="nil"/>
              <w:bottom w:val="single" w:color="auto" w:sz="4" w:space="0"/>
              <w:right w:val="single" w:color="auto" w:sz="4" w:space="0"/>
            </w:tcBorders>
            <w:noWrap w:val="0"/>
            <w:vAlign w:val="center"/>
          </w:tcPr>
          <w:p w14:paraId="05D389EB">
            <w:pPr>
              <w:widowControl/>
              <w:ind w:left="-105" w:leftChars="-50" w:right="-57"/>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品牌</w:t>
            </w:r>
          </w:p>
        </w:tc>
        <w:tc>
          <w:tcPr>
            <w:tcW w:w="1313" w:type="dxa"/>
            <w:tcBorders>
              <w:top w:val="single" w:color="auto" w:sz="4" w:space="0"/>
              <w:left w:val="nil"/>
              <w:bottom w:val="single" w:color="auto" w:sz="4" w:space="0"/>
              <w:right w:val="single" w:color="auto" w:sz="4" w:space="0"/>
            </w:tcBorders>
            <w:noWrap w:val="0"/>
            <w:vAlign w:val="center"/>
          </w:tcPr>
          <w:p w14:paraId="4706C246">
            <w:pPr>
              <w:widowControl/>
              <w:ind w:left="-105" w:leftChars="-50" w:right="-57"/>
              <w:jc w:val="center"/>
              <w:rPr>
                <w:rFonts w:hint="eastAsia" w:ascii="仿宋" w:hAnsi="仿宋" w:eastAsia="仿宋" w:cs="仿宋"/>
                <w:b/>
                <w:sz w:val="24"/>
              </w:rPr>
            </w:pPr>
            <w:r>
              <w:rPr>
                <w:rFonts w:hint="eastAsia" w:ascii="仿宋" w:hAnsi="仿宋" w:eastAsia="仿宋" w:cs="仿宋"/>
                <w:b/>
                <w:sz w:val="24"/>
              </w:rPr>
              <w:t>单位</w:t>
            </w:r>
          </w:p>
        </w:tc>
        <w:tc>
          <w:tcPr>
            <w:tcW w:w="1181" w:type="dxa"/>
            <w:tcBorders>
              <w:top w:val="single" w:color="auto" w:sz="4" w:space="0"/>
              <w:left w:val="nil"/>
              <w:bottom w:val="single" w:color="auto" w:sz="4" w:space="0"/>
              <w:right w:val="single" w:color="auto" w:sz="4" w:space="0"/>
            </w:tcBorders>
            <w:noWrap w:val="0"/>
            <w:vAlign w:val="center"/>
          </w:tcPr>
          <w:p w14:paraId="01228A5A">
            <w:pPr>
              <w:widowControl/>
              <w:ind w:left="-105" w:leftChars="-50" w:right="-57"/>
              <w:jc w:val="center"/>
              <w:rPr>
                <w:rFonts w:hint="eastAsia" w:ascii="仿宋" w:hAnsi="仿宋" w:eastAsia="仿宋" w:cs="仿宋"/>
                <w:b/>
                <w:sz w:val="24"/>
              </w:rPr>
            </w:pPr>
            <w:r>
              <w:rPr>
                <w:rFonts w:hint="eastAsia" w:ascii="仿宋" w:hAnsi="仿宋" w:eastAsia="仿宋" w:cs="仿宋"/>
                <w:b/>
                <w:sz w:val="24"/>
              </w:rPr>
              <w:t>数量</w:t>
            </w:r>
          </w:p>
        </w:tc>
        <w:tc>
          <w:tcPr>
            <w:tcW w:w="1069" w:type="dxa"/>
            <w:tcBorders>
              <w:top w:val="single" w:color="auto" w:sz="4" w:space="0"/>
              <w:left w:val="nil"/>
              <w:bottom w:val="single" w:color="auto" w:sz="4" w:space="0"/>
              <w:right w:val="single" w:color="auto" w:sz="4" w:space="0"/>
            </w:tcBorders>
            <w:noWrap w:val="0"/>
            <w:vAlign w:val="center"/>
          </w:tcPr>
          <w:p w14:paraId="2375B395">
            <w:pPr>
              <w:widowControl/>
              <w:ind w:right="-57"/>
              <w:jc w:val="center"/>
              <w:rPr>
                <w:rFonts w:hint="eastAsia" w:ascii="仿宋" w:hAnsi="仿宋" w:eastAsia="仿宋" w:cs="仿宋"/>
                <w:b/>
                <w:sz w:val="24"/>
              </w:rPr>
            </w:pPr>
            <w:r>
              <w:rPr>
                <w:rFonts w:hint="eastAsia" w:ascii="仿宋" w:hAnsi="仿宋" w:eastAsia="仿宋" w:cs="仿宋"/>
                <w:b/>
                <w:sz w:val="24"/>
              </w:rPr>
              <w:t>单价（元）</w:t>
            </w:r>
          </w:p>
        </w:tc>
        <w:tc>
          <w:tcPr>
            <w:tcW w:w="1120" w:type="dxa"/>
            <w:tcBorders>
              <w:top w:val="single" w:color="auto" w:sz="4" w:space="0"/>
              <w:left w:val="nil"/>
              <w:bottom w:val="single" w:color="auto" w:sz="4" w:space="0"/>
              <w:right w:val="single" w:color="auto" w:sz="4" w:space="0"/>
            </w:tcBorders>
            <w:noWrap w:val="0"/>
            <w:vAlign w:val="center"/>
          </w:tcPr>
          <w:p w14:paraId="767CF9F2">
            <w:pPr>
              <w:widowControl/>
              <w:ind w:right="-57"/>
              <w:jc w:val="center"/>
              <w:rPr>
                <w:rFonts w:hint="eastAsia" w:ascii="仿宋" w:hAnsi="仿宋" w:eastAsia="仿宋" w:cs="仿宋"/>
                <w:b/>
                <w:sz w:val="24"/>
              </w:rPr>
            </w:pPr>
            <w:r>
              <w:rPr>
                <w:rFonts w:hint="eastAsia" w:ascii="仿宋" w:hAnsi="仿宋" w:eastAsia="仿宋" w:cs="仿宋"/>
                <w:b/>
                <w:sz w:val="24"/>
              </w:rPr>
              <w:t>合价（元）</w:t>
            </w:r>
          </w:p>
        </w:tc>
      </w:tr>
      <w:tr w14:paraId="332A1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65" w:type="dxa"/>
            <w:noWrap w:val="0"/>
            <w:vAlign w:val="center"/>
          </w:tcPr>
          <w:p w14:paraId="2AB10F9D">
            <w:pPr>
              <w:ind w:left="-50" w:right="-50"/>
              <w:jc w:val="center"/>
              <w:rPr>
                <w:rFonts w:hint="eastAsia" w:ascii="仿宋" w:hAnsi="仿宋" w:eastAsia="仿宋" w:cs="仿宋"/>
                <w:sz w:val="24"/>
              </w:rPr>
            </w:pPr>
            <w:r>
              <w:rPr>
                <w:rFonts w:hint="eastAsia" w:ascii="仿宋" w:hAnsi="仿宋" w:eastAsia="仿宋" w:cs="仿宋"/>
                <w:sz w:val="24"/>
              </w:rPr>
              <w:t>1</w:t>
            </w:r>
          </w:p>
        </w:tc>
        <w:tc>
          <w:tcPr>
            <w:tcW w:w="1124" w:type="dxa"/>
            <w:noWrap w:val="0"/>
            <w:vAlign w:val="center"/>
          </w:tcPr>
          <w:p w14:paraId="331D272D">
            <w:pPr>
              <w:ind w:left="-50" w:right="-50"/>
              <w:jc w:val="center"/>
              <w:rPr>
                <w:rFonts w:hint="eastAsia" w:ascii="仿宋" w:hAnsi="仿宋" w:eastAsia="仿宋" w:cs="仿宋"/>
                <w:sz w:val="24"/>
              </w:rPr>
            </w:pPr>
          </w:p>
        </w:tc>
        <w:tc>
          <w:tcPr>
            <w:tcW w:w="2012" w:type="dxa"/>
            <w:noWrap w:val="0"/>
            <w:vAlign w:val="center"/>
          </w:tcPr>
          <w:p w14:paraId="0ED9BAF1">
            <w:pPr>
              <w:ind w:left="-50" w:right="-50"/>
              <w:jc w:val="center"/>
              <w:rPr>
                <w:rFonts w:hint="eastAsia" w:ascii="仿宋" w:hAnsi="仿宋" w:eastAsia="仿宋" w:cs="仿宋"/>
                <w:sz w:val="24"/>
              </w:rPr>
            </w:pPr>
          </w:p>
        </w:tc>
        <w:tc>
          <w:tcPr>
            <w:tcW w:w="984" w:type="dxa"/>
            <w:noWrap w:val="0"/>
            <w:vAlign w:val="center"/>
          </w:tcPr>
          <w:p w14:paraId="0914A50B">
            <w:pPr>
              <w:ind w:left="-50" w:right="-50"/>
              <w:jc w:val="center"/>
              <w:rPr>
                <w:rFonts w:hint="eastAsia" w:ascii="仿宋" w:hAnsi="仿宋" w:eastAsia="仿宋" w:cs="仿宋"/>
                <w:sz w:val="24"/>
              </w:rPr>
            </w:pPr>
          </w:p>
        </w:tc>
        <w:tc>
          <w:tcPr>
            <w:tcW w:w="1313" w:type="dxa"/>
            <w:noWrap w:val="0"/>
            <w:vAlign w:val="center"/>
          </w:tcPr>
          <w:p w14:paraId="40F32E8C">
            <w:pPr>
              <w:ind w:left="-50" w:right="-50"/>
              <w:jc w:val="center"/>
              <w:rPr>
                <w:rFonts w:hint="eastAsia" w:ascii="仿宋" w:hAnsi="仿宋" w:eastAsia="仿宋" w:cs="仿宋"/>
                <w:sz w:val="24"/>
              </w:rPr>
            </w:pPr>
          </w:p>
        </w:tc>
        <w:tc>
          <w:tcPr>
            <w:tcW w:w="1181" w:type="dxa"/>
            <w:noWrap w:val="0"/>
            <w:vAlign w:val="center"/>
          </w:tcPr>
          <w:p w14:paraId="12D0D938">
            <w:pPr>
              <w:ind w:left="-50" w:right="-50"/>
              <w:jc w:val="center"/>
              <w:rPr>
                <w:rFonts w:hint="eastAsia" w:ascii="仿宋" w:hAnsi="仿宋" w:eastAsia="仿宋" w:cs="仿宋"/>
                <w:sz w:val="24"/>
              </w:rPr>
            </w:pPr>
          </w:p>
        </w:tc>
        <w:tc>
          <w:tcPr>
            <w:tcW w:w="1069" w:type="dxa"/>
            <w:noWrap w:val="0"/>
            <w:vAlign w:val="center"/>
          </w:tcPr>
          <w:p w14:paraId="18833986">
            <w:pPr>
              <w:ind w:left="-50" w:right="-50"/>
              <w:jc w:val="center"/>
              <w:rPr>
                <w:rFonts w:hint="eastAsia" w:ascii="仿宋" w:hAnsi="仿宋" w:eastAsia="仿宋" w:cs="仿宋"/>
                <w:sz w:val="24"/>
              </w:rPr>
            </w:pPr>
          </w:p>
        </w:tc>
        <w:tc>
          <w:tcPr>
            <w:tcW w:w="1120" w:type="dxa"/>
            <w:noWrap w:val="0"/>
            <w:vAlign w:val="center"/>
          </w:tcPr>
          <w:p w14:paraId="5A341A03">
            <w:pPr>
              <w:ind w:left="-50" w:right="-50"/>
              <w:jc w:val="center"/>
              <w:rPr>
                <w:rFonts w:hint="eastAsia" w:ascii="仿宋" w:hAnsi="仿宋" w:eastAsia="仿宋" w:cs="仿宋"/>
                <w:sz w:val="24"/>
              </w:rPr>
            </w:pPr>
          </w:p>
        </w:tc>
      </w:tr>
      <w:tr w14:paraId="148E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1F724E43">
            <w:pPr>
              <w:ind w:left="-57" w:right="-57"/>
              <w:jc w:val="center"/>
              <w:rPr>
                <w:rFonts w:hint="eastAsia" w:ascii="仿宋" w:hAnsi="仿宋" w:eastAsia="仿宋" w:cs="仿宋"/>
                <w:sz w:val="24"/>
              </w:rPr>
            </w:pPr>
            <w:r>
              <w:rPr>
                <w:rFonts w:hint="eastAsia" w:ascii="仿宋" w:hAnsi="仿宋" w:eastAsia="仿宋" w:cs="仿宋"/>
                <w:sz w:val="24"/>
              </w:rPr>
              <w:t>2</w:t>
            </w:r>
          </w:p>
        </w:tc>
        <w:tc>
          <w:tcPr>
            <w:tcW w:w="1124" w:type="dxa"/>
            <w:noWrap w:val="0"/>
            <w:vAlign w:val="center"/>
          </w:tcPr>
          <w:p w14:paraId="27CBEBF1">
            <w:pPr>
              <w:ind w:left="-50" w:right="-50"/>
              <w:jc w:val="center"/>
              <w:rPr>
                <w:rFonts w:hint="eastAsia" w:ascii="仿宋" w:hAnsi="仿宋" w:eastAsia="仿宋" w:cs="仿宋"/>
                <w:sz w:val="24"/>
              </w:rPr>
            </w:pPr>
          </w:p>
        </w:tc>
        <w:tc>
          <w:tcPr>
            <w:tcW w:w="2012" w:type="dxa"/>
            <w:noWrap w:val="0"/>
            <w:vAlign w:val="center"/>
          </w:tcPr>
          <w:p w14:paraId="4FDCE746">
            <w:pPr>
              <w:ind w:left="-50" w:right="-50"/>
              <w:jc w:val="center"/>
              <w:rPr>
                <w:rFonts w:hint="eastAsia" w:ascii="仿宋" w:hAnsi="仿宋" w:eastAsia="仿宋" w:cs="仿宋"/>
                <w:sz w:val="24"/>
              </w:rPr>
            </w:pPr>
          </w:p>
        </w:tc>
        <w:tc>
          <w:tcPr>
            <w:tcW w:w="984" w:type="dxa"/>
            <w:noWrap w:val="0"/>
            <w:vAlign w:val="center"/>
          </w:tcPr>
          <w:p w14:paraId="07D44D62">
            <w:pPr>
              <w:ind w:left="-50" w:right="-50"/>
              <w:jc w:val="center"/>
              <w:rPr>
                <w:rFonts w:hint="eastAsia" w:ascii="仿宋" w:hAnsi="仿宋" w:eastAsia="仿宋" w:cs="仿宋"/>
                <w:sz w:val="24"/>
              </w:rPr>
            </w:pPr>
          </w:p>
        </w:tc>
        <w:tc>
          <w:tcPr>
            <w:tcW w:w="1313" w:type="dxa"/>
            <w:noWrap w:val="0"/>
            <w:vAlign w:val="center"/>
          </w:tcPr>
          <w:p w14:paraId="6DA530E2">
            <w:pPr>
              <w:ind w:left="-50" w:right="-50"/>
              <w:jc w:val="center"/>
              <w:rPr>
                <w:rFonts w:hint="eastAsia" w:ascii="仿宋" w:hAnsi="仿宋" w:eastAsia="仿宋" w:cs="仿宋"/>
                <w:sz w:val="24"/>
              </w:rPr>
            </w:pPr>
          </w:p>
        </w:tc>
        <w:tc>
          <w:tcPr>
            <w:tcW w:w="1181" w:type="dxa"/>
            <w:noWrap w:val="0"/>
            <w:vAlign w:val="center"/>
          </w:tcPr>
          <w:p w14:paraId="2F8C0AE5">
            <w:pPr>
              <w:ind w:left="-50" w:right="-50"/>
              <w:jc w:val="center"/>
              <w:rPr>
                <w:rFonts w:hint="eastAsia" w:ascii="仿宋" w:hAnsi="仿宋" w:eastAsia="仿宋" w:cs="仿宋"/>
                <w:sz w:val="24"/>
              </w:rPr>
            </w:pPr>
          </w:p>
        </w:tc>
        <w:tc>
          <w:tcPr>
            <w:tcW w:w="1069" w:type="dxa"/>
            <w:noWrap w:val="0"/>
            <w:vAlign w:val="center"/>
          </w:tcPr>
          <w:p w14:paraId="3C1D68E6">
            <w:pPr>
              <w:ind w:left="-50" w:right="-50"/>
              <w:jc w:val="center"/>
              <w:rPr>
                <w:rFonts w:hint="eastAsia" w:ascii="仿宋" w:hAnsi="仿宋" w:eastAsia="仿宋" w:cs="仿宋"/>
                <w:sz w:val="24"/>
              </w:rPr>
            </w:pPr>
          </w:p>
        </w:tc>
        <w:tc>
          <w:tcPr>
            <w:tcW w:w="1120" w:type="dxa"/>
            <w:noWrap w:val="0"/>
            <w:vAlign w:val="center"/>
          </w:tcPr>
          <w:p w14:paraId="6B56DBEA">
            <w:pPr>
              <w:ind w:left="-50" w:right="-50"/>
              <w:jc w:val="center"/>
              <w:rPr>
                <w:rFonts w:hint="eastAsia" w:ascii="仿宋" w:hAnsi="仿宋" w:eastAsia="仿宋" w:cs="仿宋"/>
                <w:sz w:val="24"/>
              </w:rPr>
            </w:pPr>
          </w:p>
        </w:tc>
      </w:tr>
      <w:tr w14:paraId="65E6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5106A0AA">
            <w:pPr>
              <w:ind w:left="-57" w:right="-57"/>
              <w:jc w:val="center"/>
              <w:rPr>
                <w:rFonts w:hint="eastAsia" w:ascii="仿宋" w:hAnsi="仿宋" w:eastAsia="仿宋" w:cs="仿宋"/>
                <w:sz w:val="24"/>
              </w:rPr>
            </w:pPr>
            <w:r>
              <w:rPr>
                <w:rFonts w:hint="eastAsia" w:ascii="仿宋" w:hAnsi="仿宋" w:eastAsia="仿宋" w:cs="仿宋"/>
                <w:sz w:val="24"/>
              </w:rPr>
              <w:t>3</w:t>
            </w:r>
          </w:p>
        </w:tc>
        <w:tc>
          <w:tcPr>
            <w:tcW w:w="1124" w:type="dxa"/>
            <w:noWrap w:val="0"/>
            <w:vAlign w:val="center"/>
          </w:tcPr>
          <w:p w14:paraId="24A71A48">
            <w:pPr>
              <w:ind w:left="-50" w:right="-50"/>
              <w:jc w:val="center"/>
              <w:rPr>
                <w:rFonts w:hint="eastAsia" w:ascii="仿宋" w:hAnsi="仿宋" w:eastAsia="仿宋" w:cs="仿宋"/>
                <w:sz w:val="24"/>
              </w:rPr>
            </w:pPr>
          </w:p>
        </w:tc>
        <w:tc>
          <w:tcPr>
            <w:tcW w:w="2012" w:type="dxa"/>
            <w:noWrap w:val="0"/>
            <w:vAlign w:val="center"/>
          </w:tcPr>
          <w:p w14:paraId="60A7EB48">
            <w:pPr>
              <w:ind w:left="-50" w:right="-50"/>
              <w:jc w:val="center"/>
              <w:rPr>
                <w:rFonts w:hint="eastAsia" w:ascii="仿宋" w:hAnsi="仿宋" w:eastAsia="仿宋" w:cs="仿宋"/>
                <w:sz w:val="24"/>
              </w:rPr>
            </w:pPr>
          </w:p>
        </w:tc>
        <w:tc>
          <w:tcPr>
            <w:tcW w:w="984" w:type="dxa"/>
            <w:noWrap w:val="0"/>
            <w:vAlign w:val="center"/>
          </w:tcPr>
          <w:p w14:paraId="2FC9AD12">
            <w:pPr>
              <w:ind w:left="-50" w:right="-50"/>
              <w:jc w:val="center"/>
              <w:rPr>
                <w:rFonts w:hint="eastAsia" w:ascii="仿宋" w:hAnsi="仿宋" w:eastAsia="仿宋" w:cs="仿宋"/>
                <w:sz w:val="24"/>
              </w:rPr>
            </w:pPr>
          </w:p>
        </w:tc>
        <w:tc>
          <w:tcPr>
            <w:tcW w:w="1313" w:type="dxa"/>
            <w:noWrap w:val="0"/>
            <w:vAlign w:val="center"/>
          </w:tcPr>
          <w:p w14:paraId="74D414C0">
            <w:pPr>
              <w:ind w:left="-50" w:right="-50"/>
              <w:jc w:val="center"/>
              <w:rPr>
                <w:rFonts w:hint="eastAsia" w:ascii="仿宋" w:hAnsi="仿宋" w:eastAsia="仿宋" w:cs="仿宋"/>
                <w:sz w:val="24"/>
              </w:rPr>
            </w:pPr>
          </w:p>
        </w:tc>
        <w:tc>
          <w:tcPr>
            <w:tcW w:w="1181" w:type="dxa"/>
            <w:noWrap w:val="0"/>
            <w:vAlign w:val="center"/>
          </w:tcPr>
          <w:p w14:paraId="76BE45EB">
            <w:pPr>
              <w:ind w:left="-50" w:right="-50"/>
              <w:jc w:val="center"/>
              <w:rPr>
                <w:rFonts w:hint="eastAsia" w:ascii="仿宋" w:hAnsi="仿宋" w:eastAsia="仿宋" w:cs="仿宋"/>
                <w:sz w:val="24"/>
              </w:rPr>
            </w:pPr>
          </w:p>
        </w:tc>
        <w:tc>
          <w:tcPr>
            <w:tcW w:w="1069" w:type="dxa"/>
            <w:noWrap w:val="0"/>
            <w:vAlign w:val="center"/>
          </w:tcPr>
          <w:p w14:paraId="44C57AB4">
            <w:pPr>
              <w:ind w:left="-50" w:right="-50"/>
              <w:jc w:val="center"/>
              <w:rPr>
                <w:rFonts w:hint="eastAsia" w:ascii="仿宋" w:hAnsi="仿宋" w:eastAsia="仿宋" w:cs="仿宋"/>
                <w:sz w:val="24"/>
              </w:rPr>
            </w:pPr>
          </w:p>
        </w:tc>
        <w:tc>
          <w:tcPr>
            <w:tcW w:w="1120" w:type="dxa"/>
            <w:noWrap w:val="0"/>
            <w:vAlign w:val="center"/>
          </w:tcPr>
          <w:p w14:paraId="506939F2">
            <w:pPr>
              <w:ind w:left="-50" w:right="-50"/>
              <w:jc w:val="center"/>
              <w:rPr>
                <w:rFonts w:hint="eastAsia" w:ascii="仿宋" w:hAnsi="仿宋" w:eastAsia="仿宋" w:cs="仿宋"/>
                <w:sz w:val="24"/>
              </w:rPr>
            </w:pPr>
          </w:p>
        </w:tc>
      </w:tr>
      <w:tr w14:paraId="345A0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60A33E4E">
            <w:pPr>
              <w:ind w:left="-57" w:right="-57"/>
              <w:jc w:val="center"/>
              <w:rPr>
                <w:rFonts w:hint="eastAsia" w:ascii="仿宋" w:hAnsi="仿宋" w:eastAsia="仿宋" w:cs="仿宋"/>
                <w:sz w:val="24"/>
              </w:rPr>
            </w:pPr>
            <w:r>
              <w:rPr>
                <w:rFonts w:hint="eastAsia" w:ascii="仿宋" w:hAnsi="仿宋" w:eastAsia="仿宋" w:cs="仿宋"/>
                <w:sz w:val="24"/>
              </w:rPr>
              <w:t>4</w:t>
            </w:r>
          </w:p>
        </w:tc>
        <w:tc>
          <w:tcPr>
            <w:tcW w:w="1124" w:type="dxa"/>
            <w:noWrap w:val="0"/>
            <w:vAlign w:val="center"/>
          </w:tcPr>
          <w:p w14:paraId="4DD57901">
            <w:pPr>
              <w:ind w:left="-50" w:right="-50"/>
              <w:jc w:val="center"/>
              <w:rPr>
                <w:rFonts w:hint="eastAsia" w:ascii="仿宋" w:hAnsi="仿宋" w:eastAsia="仿宋" w:cs="仿宋"/>
                <w:sz w:val="24"/>
              </w:rPr>
            </w:pPr>
          </w:p>
        </w:tc>
        <w:tc>
          <w:tcPr>
            <w:tcW w:w="2012" w:type="dxa"/>
            <w:noWrap w:val="0"/>
            <w:vAlign w:val="center"/>
          </w:tcPr>
          <w:p w14:paraId="521A8A85">
            <w:pPr>
              <w:ind w:left="-50" w:right="-50"/>
              <w:jc w:val="center"/>
              <w:rPr>
                <w:rFonts w:hint="eastAsia" w:ascii="仿宋" w:hAnsi="仿宋" w:eastAsia="仿宋" w:cs="仿宋"/>
                <w:sz w:val="24"/>
              </w:rPr>
            </w:pPr>
          </w:p>
        </w:tc>
        <w:tc>
          <w:tcPr>
            <w:tcW w:w="984" w:type="dxa"/>
            <w:noWrap w:val="0"/>
            <w:vAlign w:val="center"/>
          </w:tcPr>
          <w:p w14:paraId="6552A0C5">
            <w:pPr>
              <w:ind w:left="-50" w:right="-50"/>
              <w:jc w:val="center"/>
              <w:rPr>
                <w:rFonts w:hint="eastAsia" w:ascii="仿宋" w:hAnsi="仿宋" w:eastAsia="仿宋" w:cs="仿宋"/>
                <w:sz w:val="24"/>
              </w:rPr>
            </w:pPr>
          </w:p>
        </w:tc>
        <w:tc>
          <w:tcPr>
            <w:tcW w:w="1313" w:type="dxa"/>
            <w:noWrap w:val="0"/>
            <w:vAlign w:val="center"/>
          </w:tcPr>
          <w:p w14:paraId="1FD07698">
            <w:pPr>
              <w:ind w:left="-50" w:right="-50"/>
              <w:jc w:val="center"/>
              <w:rPr>
                <w:rFonts w:hint="eastAsia" w:ascii="仿宋" w:hAnsi="仿宋" w:eastAsia="仿宋" w:cs="仿宋"/>
                <w:sz w:val="24"/>
              </w:rPr>
            </w:pPr>
          </w:p>
        </w:tc>
        <w:tc>
          <w:tcPr>
            <w:tcW w:w="1181" w:type="dxa"/>
            <w:noWrap w:val="0"/>
            <w:vAlign w:val="center"/>
          </w:tcPr>
          <w:p w14:paraId="6D19BAA7">
            <w:pPr>
              <w:ind w:left="-50" w:right="-50"/>
              <w:jc w:val="center"/>
              <w:rPr>
                <w:rFonts w:hint="eastAsia" w:ascii="仿宋" w:hAnsi="仿宋" w:eastAsia="仿宋" w:cs="仿宋"/>
                <w:sz w:val="24"/>
              </w:rPr>
            </w:pPr>
          </w:p>
        </w:tc>
        <w:tc>
          <w:tcPr>
            <w:tcW w:w="1069" w:type="dxa"/>
            <w:noWrap w:val="0"/>
            <w:vAlign w:val="center"/>
          </w:tcPr>
          <w:p w14:paraId="051B8727">
            <w:pPr>
              <w:ind w:left="-50" w:right="-50"/>
              <w:jc w:val="center"/>
              <w:rPr>
                <w:rFonts w:hint="eastAsia" w:ascii="仿宋" w:hAnsi="仿宋" w:eastAsia="仿宋" w:cs="仿宋"/>
                <w:sz w:val="24"/>
              </w:rPr>
            </w:pPr>
          </w:p>
        </w:tc>
        <w:tc>
          <w:tcPr>
            <w:tcW w:w="1120" w:type="dxa"/>
            <w:noWrap w:val="0"/>
            <w:vAlign w:val="center"/>
          </w:tcPr>
          <w:p w14:paraId="1870E7A6">
            <w:pPr>
              <w:ind w:left="-50" w:right="-50"/>
              <w:jc w:val="center"/>
              <w:rPr>
                <w:rFonts w:hint="eastAsia" w:ascii="仿宋" w:hAnsi="仿宋" w:eastAsia="仿宋" w:cs="仿宋"/>
                <w:sz w:val="24"/>
              </w:rPr>
            </w:pPr>
          </w:p>
        </w:tc>
      </w:tr>
      <w:tr w14:paraId="48A9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125CB093">
            <w:pPr>
              <w:pStyle w:val="4"/>
              <w:jc w:val="center"/>
              <w:rPr>
                <w:rFonts w:hint="eastAsia" w:ascii="仿宋" w:hAnsi="仿宋" w:eastAsia="仿宋" w:cs="仿宋"/>
              </w:rPr>
            </w:pPr>
            <w:r>
              <w:rPr>
                <w:rFonts w:hint="eastAsia" w:ascii="仿宋" w:hAnsi="仿宋" w:eastAsia="仿宋" w:cs="仿宋"/>
                <w:b w:val="0"/>
                <w:bCs/>
              </w:rPr>
              <w:t>...</w:t>
            </w:r>
          </w:p>
        </w:tc>
        <w:tc>
          <w:tcPr>
            <w:tcW w:w="1124" w:type="dxa"/>
            <w:noWrap w:val="0"/>
            <w:vAlign w:val="center"/>
          </w:tcPr>
          <w:p w14:paraId="0C832CBA">
            <w:pPr>
              <w:ind w:left="-50" w:right="-50"/>
              <w:jc w:val="center"/>
              <w:rPr>
                <w:rFonts w:hint="eastAsia" w:ascii="仿宋" w:hAnsi="仿宋" w:eastAsia="仿宋" w:cs="仿宋"/>
                <w:sz w:val="24"/>
              </w:rPr>
            </w:pPr>
          </w:p>
        </w:tc>
        <w:tc>
          <w:tcPr>
            <w:tcW w:w="2012" w:type="dxa"/>
            <w:noWrap w:val="0"/>
            <w:vAlign w:val="center"/>
          </w:tcPr>
          <w:p w14:paraId="66A0DC00">
            <w:pPr>
              <w:ind w:left="-50" w:right="-50"/>
              <w:jc w:val="center"/>
              <w:rPr>
                <w:rFonts w:hint="eastAsia" w:ascii="仿宋" w:hAnsi="仿宋" w:eastAsia="仿宋" w:cs="仿宋"/>
                <w:sz w:val="24"/>
              </w:rPr>
            </w:pPr>
          </w:p>
        </w:tc>
        <w:tc>
          <w:tcPr>
            <w:tcW w:w="984" w:type="dxa"/>
            <w:noWrap w:val="0"/>
            <w:vAlign w:val="center"/>
          </w:tcPr>
          <w:p w14:paraId="63F31653">
            <w:pPr>
              <w:ind w:left="-50" w:right="-50"/>
              <w:jc w:val="center"/>
              <w:rPr>
                <w:rFonts w:hint="eastAsia" w:ascii="仿宋" w:hAnsi="仿宋" w:eastAsia="仿宋" w:cs="仿宋"/>
                <w:sz w:val="24"/>
              </w:rPr>
            </w:pPr>
          </w:p>
        </w:tc>
        <w:tc>
          <w:tcPr>
            <w:tcW w:w="1313" w:type="dxa"/>
            <w:noWrap w:val="0"/>
            <w:vAlign w:val="center"/>
          </w:tcPr>
          <w:p w14:paraId="0663384C">
            <w:pPr>
              <w:ind w:left="-50" w:right="-50"/>
              <w:jc w:val="center"/>
              <w:rPr>
                <w:rFonts w:hint="eastAsia" w:ascii="仿宋" w:hAnsi="仿宋" w:eastAsia="仿宋" w:cs="仿宋"/>
                <w:sz w:val="24"/>
              </w:rPr>
            </w:pPr>
          </w:p>
        </w:tc>
        <w:tc>
          <w:tcPr>
            <w:tcW w:w="1181" w:type="dxa"/>
            <w:noWrap w:val="0"/>
            <w:vAlign w:val="center"/>
          </w:tcPr>
          <w:p w14:paraId="575CA739">
            <w:pPr>
              <w:ind w:left="-50" w:right="-50"/>
              <w:jc w:val="center"/>
              <w:rPr>
                <w:rFonts w:hint="eastAsia" w:ascii="仿宋" w:hAnsi="仿宋" w:eastAsia="仿宋" w:cs="仿宋"/>
                <w:sz w:val="24"/>
              </w:rPr>
            </w:pPr>
          </w:p>
        </w:tc>
        <w:tc>
          <w:tcPr>
            <w:tcW w:w="1069" w:type="dxa"/>
            <w:noWrap w:val="0"/>
            <w:vAlign w:val="center"/>
          </w:tcPr>
          <w:p w14:paraId="0DDE4286">
            <w:pPr>
              <w:ind w:left="-50" w:right="-50"/>
              <w:jc w:val="center"/>
              <w:rPr>
                <w:rFonts w:hint="eastAsia" w:ascii="仿宋" w:hAnsi="仿宋" w:eastAsia="仿宋" w:cs="仿宋"/>
                <w:sz w:val="24"/>
              </w:rPr>
            </w:pPr>
          </w:p>
        </w:tc>
        <w:tc>
          <w:tcPr>
            <w:tcW w:w="1120" w:type="dxa"/>
            <w:noWrap w:val="0"/>
            <w:vAlign w:val="center"/>
          </w:tcPr>
          <w:p w14:paraId="3069FFEB">
            <w:pPr>
              <w:ind w:left="-50" w:right="-50"/>
              <w:jc w:val="center"/>
              <w:rPr>
                <w:rFonts w:hint="eastAsia" w:ascii="仿宋" w:hAnsi="仿宋" w:eastAsia="仿宋" w:cs="仿宋"/>
                <w:sz w:val="24"/>
              </w:rPr>
            </w:pPr>
          </w:p>
        </w:tc>
      </w:tr>
      <w:tr w14:paraId="5C26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468" w:type="dxa"/>
            <w:gridSpan w:val="8"/>
            <w:noWrap w:val="0"/>
            <w:vAlign w:val="center"/>
          </w:tcPr>
          <w:p w14:paraId="0108A20A">
            <w:pPr>
              <w:ind w:left="-50" w:right="-50"/>
              <w:jc w:val="left"/>
              <w:rPr>
                <w:rFonts w:hint="eastAsia" w:ascii="仿宋" w:hAnsi="仿宋" w:eastAsia="仿宋" w:cs="仿宋"/>
                <w:sz w:val="24"/>
              </w:rPr>
            </w:pPr>
            <w:r>
              <w:rPr>
                <w:rFonts w:hint="eastAsia" w:ascii="仿宋" w:hAnsi="仿宋" w:eastAsia="仿宋" w:cs="仿宋"/>
                <w:sz w:val="24"/>
                <w:lang w:val="en-US" w:eastAsia="zh-CN"/>
              </w:rPr>
              <w:t>投标总</w:t>
            </w:r>
            <w:r>
              <w:rPr>
                <w:rFonts w:hint="eastAsia" w:ascii="仿宋" w:hAnsi="仿宋" w:eastAsia="仿宋" w:cs="仿宋"/>
                <w:sz w:val="24"/>
              </w:rPr>
              <w:t>报价：</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10377C9B">
      <w:pPr>
        <w:shd w:val="clear" w:color="auto" w:fill="FFFFFF"/>
        <w:spacing w:line="360" w:lineRule="auto"/>
        <w:ind w:firstLine="480" w:firstLineChars="200"/>
        <w:rPr>
          <w:rFonts w:hint="eastAsia" w:ascii="仿宋" w:eastAsia="仿宋" w:cs="仿宋"/>
          <w:kern w:val="28"/>
          <w:sz w:val="24"/>
        </w:rPr>
      </w:pPr>
    </w:p>
    <w:p w14:paraId="0865F185">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2、支付方式: 合同款支付全部通过银行转账，</w:t>
      </w:r>
    </w:p>
    <w:p w14:paraId="4BFABC0E">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名     称： </w:t>
      </w:r>
    </w:p>
    <w:p w14:paraId="446B16E9">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开  户 行： </w:t>
      </w:r>
    </w:p>
    <w:p w14:paraId="4EDD4B3F">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账     号： </w:t>
      </w:r>
    </w:p>
    <w:p w14:paraId="09037D05">
      <w:pPr>
        <w:pStyle w:val="7"/>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2.1 付款方式: </w:t>
      </w:r>
    </w:p>
    <w:p w14:paraId="26B21CAC">
      <w:pPr>
        <w:spacing w:line="360" w:lineRule="auto"/>
        <w:ind w:firstLine="480" w:firstLineChars="200"/>
        <w:rPr>
          <w:rFonts w:hint="eastAsia" w:ascii="仿宋" w:eastAsia="仿宋" w:cs="仿宋"/>
          <w:kern w:val="28"/>
          <w:sz w:val="24"/>
        </w:rPr>
      </w:pPr>
      <w:r>
        <w:rPr>
          <w:rFonts w:hint="eastAsia" w:ascii="仿宋" w:eastAsia="仿宋" w:cs="仿宋"/>
          <w:kern w:val="28"/>
          <w:sz w:val="24"/>
        </w:rPr>
        <w:t>3、结算方式</w:t>
      </w:r>
    </w:p>
    <w:p w14:paraId="4FB52F01">
      <w:pPr>
        <w:spacing w:line="360" w:lineRule="auto"/>
        <w:ind w:firstLine="480" w:firstLineChars="200"/>
        <w:rPr>
          <w:rFonts w:ascii="仿宋" w:eastAsia="仿宋" w:cs="仿宋"/>
          <w:sz w:val="24"/>
          <w:u w:val="single"/>
        </w:rPr>
      </w:pPr>
      <w:r>
        <w:rPr>
          <w:rFonts w:hint="eastAsia" w:ascii="仿宋" w:eastAsia="仿宋" w:cs="仿宋"/>
          <w:sz w:val="24"/>
        </w:rPr>
        <w:t xml:space="preserve">3.1 </w:t>
      </w:r>
      <w:r>
        <w:rPr>
          <w:rFonts w:hint="eastAsia" w:ascii="仿宋" w:eastAsia="仿宋" w:cs="仿宋"/>
          <w:kern w:val="28"/>
          <w:sz w:val="24"/>
        </w:rPr>
        <w:t>结算方式：</w:t>
      </w:r>
      <w:r>
        <w:rPr>
          <w:rFonts w:hint="eastAsia" w:ascii="仿宋" w:eastAsia="仿宋" w:cs="仿宋"/>
          <w:kern w:val="28"/>
          <w:sz w:val="24"/>
          <w:u w:val="single"/>
        </w:rPr>
        <w:t xml:space="preserve">            </w:t>
      </w:r>
      <w:r>
        <w:rPr>
          <w:rFonts w:hint="eastAsia" w:ascii="仿宋" w:eastAsia="仿宋" w:cs="仿宋"/>
          <w:kern w:val="28"/>
          <w:sz w:val="24"/>
        </w:rPr>
        <w:t>。</w:t>
      </w:r>
    </w:p>
    <w:p w14:paraId="38ABA5A4">
      <w:pPr>
        <w:spacing w:line="360" w:lineRule="auto"/>
        <w:ind w:firstLine="480" w:firstLineChars="200"/>
        <w:rPr>
          <w:rFonts w:hint="eastAsia" w:ascii="仿宋" w:eastAsia="仿宋" w:cs="仿宋"/>
          <w:sz w:val="24"/>
        </w:rPr>
      </w:pPr>
      <w:r>
        <w:rPr>
          <w:rFonts w:hint="eastAsia" w:ascii="仿宋" w:eastAsia="仿宋" w:cs="仿宋"/>
          <w:sz w:val="24"/>
        </w:rPr>
        <w:t>3.2 凡因乙方投标漏项、误报等导致的费用差异均由乙方自行承担，且必须按合同约定继续履行此部分合同内容，结算时不予调整。</w:t>
      </w:r>
    </w:p>
    <w:p w14:paraId="2940479C">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43" w:name="_Toc32188"/>
      <w:bookmarkStart w:id="44" w:name="_Toc5378"/>
      <w:bookmarkStart w:id="45" w:name="_Toc2908"/>
      <w:bookmarkStart w:id="46" w:name="_Toc495505734"/>
      <w:bookmarkStart w:id="47" w:name="_Toc31980"/>
      <w:bookmarkStart w:id="48" w:name="_Toc1500"/>
      <w:bookmarkStart w:id="49" w:name="_Toc29829"/>
      <w:bookmarkStart w:id="50" w:name="_Toc8091"/>
      <w:r>
        <w:rPr>
          <w:rFonts w:hint="eastAsia" w:ascii="仿宋" w:eastAsia="仿宋" w:cs="仿宋"/>
          <w:b/>
          <w:bCs/>
          <w:sz w:val="24"/>
        </w:rPr>
        <w:t>五、权利与义务</w:t>
      </w:r>
      <w:bookmarkEnd w:id="43"/>
      <w:bookmarkEnd w:id="44"/>
      <w:bookmarkEnd w:id="45"/>
      <w:bookmarkEnd w:id="46"/>
      <w:bookmarkEnd w:id="47"/>
      <w:bookmarkEnd w:id="48"/>
      <w:bookmarkEnd w:id="49"/>
      <w:bookmarkEnd w:id="50"/>
    </w:p>
    <w:p w14:paraId="4B52FD49">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51" w:name="_Toc18574"/>
      <w:bookmarkStart w:id="52" w:name="_Toc17993"/>
      <w:bookmarkStart w:id="53" w:name="_Toc495505735"/>
      <w:bookmarkStart w:id="54" w:name="_Toc11151"/>
      <w:bookmarkStart w:id="55" w:name="_Toc2473"/>
      <w:bookmarkStart w:id="56" w:name="_Toc20499"/>
      <w:bookmarkStart w:id="57" w:name="_Toc26177"/>
      <w:bookmarkStart w:id="58" w:name="_Toc3422"/>
      <w:r>
        <w:rPr>
          <w:rFonts w:hint="eastAsia" w:ascii="仿宋" w:eastAsia="仿宋" w:cs="仿宋"/>
          <w:b/>
          <w:bCs/>
          <w:sz w:val="24"/>
        </w:rPr>
        <w:t>（一）甲方的权利与义务</w:t>
      </w:r>
      <w:bookmarkEnd w:id="51"/>
      <w:bookmarkEnd w:id="52"/>
      <w:bookmarkEnd w:id="53"/>
      <w:bookmarkEnd w:id="54"/>
      <w:bookmarkEnd w:id="55"/>
      <w:bookmarkEnd w:id="56"/>
      <w:bookmarkEnd w:id="57"/>
      <w:bookmarkEnd w:id="58"/>
    </w:p>
    <w:p w14:paraId="72ED5C9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1、甲方有权要求乙方供货的项目内容符合国家相关规范，符合国家验收标准，能够通过国家验收。</w:t>
      </w:r>
    </w:p>
    <w:p w14:paraId="21632562">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2、甲方有权要求乙方配合甲方完成所采购项目内容的预验收工作以及正式验收工作。</w:t>
      </w:r>
    </w:p>
    <w:p w14:paraId="6188637F">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3、甲方有权要求乙方提供的产品所涉及的第三方权利进行免责。</w:t>
      </w:r>
    </w:p>
    <w:p w14:paraId="2CF42111">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4、甲方有义务保证按合同所规定的内容及时间支付乙方相关费用。</w:t>
      </w:r>
    </w:p>
    <w:p w14:paraId="3C93F4F9">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5、甲方项目负责人为</w:t>
      </w:r>
      <w:r>
        <w:rPr>
          <w:rFonts w:hint="eastAsia" w:ascii="仿宋" w:eastAsia="仿宋" w:cs="仿宋"/>
          <w:kern w:val="28"/>
          <w:sz w:val="24"/>
          <w:u w:val="single"/>
        </w:rPr>
        <w:t xml:space="preserve">         </w:t>
      </w:r>
      <w:r>
        <w:rPr>
          <w:rFonts w:hint="eastAsia" w:ascii="仿宋" w:eastAsia="仿宋" w:cs="仿宋"/>
          <w:kern w:val="28"/>
          <w:sz w:val="24"/>
        </w:rPr>
        <w:t>。</w:t>
      </w:r>
    </w:p>
    <w:p w14:paraId="102F2951">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6、协调乙方供货时与其他单位的关系。</w:t>
      </w:r>
    </w:p>
    <w:p w14:paraId="3CD9E044">
      <w:pPr>
        <w:spacing w:line="360" w:lineRule="auto"/>
        <w:ind w:firstLine="480" w:firstLineChars="200"/>
        <w:rPr>
          <w:rFonts w:hint="eastAsia" w:ascii="仿宋" w:eastAsia="仿宋" w:cs="仿宋"/>
          <w:kern w:val="28"/>
          <w:sz w:val="24"/>
        </w:rPr>
      </w:pPr>
      <w:r>
        <w:rPr>
          <w:rFonts w:hint="eastAsia" w:ascii="仿宋" w:eastAsia="仿宋" w:cs="仿宋"/>
          <w:kern w:val="28"/>
          <w:sz w:val="24"/>
        </w:rPr>
        <w:t>7、乙方不能按甲方要求及时供货，甲方有单方解除合同的权利。解除合同的同时，甲方有权利与评标报告中排名第二的供应商签订新的供货合同。</w:t>
      </w:r>
    </w:p>
    <w:p w14:paraId="2D74DDF6">
      <w:pPr>
        <w:spacing w:line="360" w:lineRule="auto"/>
        <w:ind w:firstLine="480" w:firstLineChars="200"/>
        <w:rPr>
          <w:rFonts w:hint="eastAsia" w:ascii="仿宋" w:eastAsia="仿宋" w:cs="仿宋"/>
          <w:kern w:val="28"/>
          <w:sz w:val="24"/>
        </w:rPr>
      </w:pPr>
      <w:r>
        <w:rPr>
          <w:rFonts w:hint="eastAsia" w:ascii="仿宋" w:eastAsia="仿宋" w:cs="仿宋"/>
          <w:kern w:val="28"/>
          <w:sz w:val="24"/>
        </w:rPr>
        <w:t>8、因乙方原因供货延误，给甲方造成损失或被第三方要求索赔的，乙方应全额承担。</w:t>
      </w:r>
    </w:p>
    <w:p w14:paraId="3B83AB5D">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59" w:name="_Toc2426"/>
      <w:bookmarkStart w:id="60" w:name="_Toc15332"/>
      <w:bookmarkStart w:id="61" w:name="_Toc495505736"/>
      <w:bookmarkStart w:id="62" w:name="_Toc646"/>
      <w:bookmarkStart w:id="63" w:name="_Toc9124"/>
      <w:bookmarkStart w:id="64" w:name="_Toc1058"/>
      <w:bookmarkStart w:id="65" w:name="_Toc14200"/>
      <w:bookmarkStart w:id="66" w:name="_Toc30731"/>
      <w:r>
        <w:rPr>
          <w:rFonts w:hint="eastAsia" w:ascii="仿宋" w:eastAsia="仿宋" w:cs="仿宋"/>
          <w:b/>
          <w:bCs/>
          <w:sz w:val="24"/>
        </w:rPr>
        <w:t>（二）乙方的权利与义务</w:t>
      </w:r>
      <w:bookmarkEnd w:id="59"/>
      <w:bookmarkEnd w:id="60"/>
      <w:bookmarkEnd w:id="61"/>
      <w:bookmarkEnd w:id="62"/>
      <w:bookmarkEnd w:id="63"/>
      <w:bookmarkEnd w:id="64"/>
      <w:bookmarkEnd w:id="65"/>
      <w:bookmarkEnd w:id="66"/>
    </w:p>
    <w:p w14:paraId="75AAAFEE">
      <w:pPr>
        <w:spacing w:line="360" w:lineRule="auto"/>
        <w:ind w:firstLine="480" w:firstLineChars="200"/>
        <w:rPr>
          <w:rFonts w:hint="eastAsia" w:ascii="仿宋" w:eastAsia="仿宋" w:cs="仿宋"/>
          <w:sz w:val="24"/>
        </w:rPr>
      </w:pPr>
      <w:r>
        <w:rPr>
          <w:rFonts w:hint="eastAsia" w:ascii="仿宋" w:eastAsia="仿宋" w:cs="仿宋"/>
          <w:kern w:val="28"/>
          <w:sz w:val="24"/>
        </w:rPr>
        <w:t>1、乙方应</w:t>
      </w:r>
      <w:r>
        <w:rPr>
          <w:rFonts w:hint="eastAsia" w:ascii="仿宋" w:eastAsia="仿宋" w:cs="仿宋"/>
          <w:sz w:val="24"/>
        </w:rPr>
        <w:t>按本合同的规定供货，并保证产品质量。</w:t>
      </w:r>
    </w:p>
    <w:p w14:paraId="43C2E85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2、乙方有义务配合甲方参与项目的预验收、正式竣工验收工作，并确保所供货物符合本项目国家现行标准。</w:t>
      </w:r>
    </w:p>
    <w:p w14:paraId="0BB0C842">
      <w:pPr>
        <w:shd w:val="clear" w:color="auto" w:fill="FFFFFF"/>
        <w:spacing w:line="360" w:lineRule="auto"/>
        <w:ind w:firstLine="480" w:firstLineChars="200"/>
        <w:rPr>
          <w:rFonts w:hint="eastAsia" w:ascii="仿宋" w:eastAsia="仿宋" w:cs="仿宋"/>
          <w:sz w:val="24"/>
        </w:rPr>
      </w:pPr>
      <w:r>
        <w:rPr>
          <w:rFonts w:hint="eastAsia" w:ascii="仿宋" w:eastAsia="仿宋" w:cs="仿宋"/>
          <w:kern w:val="28"/>
          <w:sz w:val="24"/>
        </w:rPr>
        <w:t>3、乙方</w:t>
      </w:r>
      <w:r>
        <w:rPr>
          <w:rFonts w:hint="eastAsia" w:ascii="仿宋" w:eastAsia="仿宋" w:cs="仿宋"/>
          <w:sz w:val="24"/>
        </w:rPr>
        <w:t>项目负责人为</w:t>
      </w:r>
      <w:r>
        <w:rPr>
          <w:rFonts w:hint="eastAsia" w:ascii="仿宋" w:eastAsia="仿宋" w:cs="仿宋"/>
          <w:sz w:val="24"/>
          <w:u w:val="single"/>
        </w:rPr>
        <w:t xml:space="preserve">         </w:t>
      </w:r>
      <w:r>
        <w:rPr>
          <w:rFonts w:hint="eastAsia" w:ascii="仿宋" w:eastAsia="仿宋" w:cs="仿宋"/>
          <w:sz w:val="24"/>
        </w:rPr>
        <w:t>。</w:t>
      </w:r>
    </w:p>
    <w:p w14:paraId="5CAAD646">
      <w:pPr>
        <w:pStyle w:val="8"/>
        <w:autoSpaceDN w:val="0"/>
        <w:spacing w:line="360" w:lineRule="auto"/>
        <w:ind w:firstLine="480" w:firstLineChars="200"/>
        <w:rPr>
          <w:rFonts w:hint="eastAsia" w:ascii="仿宋" w:eastAsia="仿宋" w:cs="仿宋"/>
          <w:sz w:val="24"/>
          <w:szCs w:val="24"/>
        </w:rPr>
      </w:pPr>
      <w:r>
        <w:rPr>
          <w:rFonts w:hint="eastAsia" w:ascii="仿宋" w:eastAsia="仿宋" w:cs="仿宋"/>
          <w:sz w:val="24"/>
          <w:szCs w:val="24"/>
        </w:rPr>
        <w:t>4、乙方产品进场时应充分了解甲方的现场各项管理标准文件，并在进场后全面服从甲方的管理制度、管理细则等。</w:t>
      </w:r>
    </w:p>
    <w:p w14:paraId="609140AF">
      <w:pPr>
        <w:spacing w:line="360" w:lineRule="auto"/>
        <w:ind w:firstLine="480" w:firstLineChars="200"/>
        <w:rPr>
          <w:rFonts w:hint="eastAsia" w:ascii="仿宋" w:eastAsia="仿宋" w:cs="仿宋"/>
          <w:sz w:val="24"/>
        </w:rPr>
      </w:pPr>
      <w:r>
        <w:rPr>
          <w:rFonts w:hint="eastAsia" w:ascii="仿宋" w:eastAsia="仿宋" w:cs="仿宋"/>
          <w:sz w:val="24"/>
        </w:rPr>
        <w:t>5、遵守产品安装</w:t>
      </w:r>
      <w:r>
        <w:rPr>
          <w:rFonts w:hint="eastAsia" w:ascii="仿宋" w:eastAsia="仿宋" w:cs="仿宋"/>
          <w:sz w:val="24"/>
          <w:lang w:val="en-US" w:eastAsia="zh-CN"/>
        </w:rPr>
        <w:t>设备</w:t>
      </w:r>
      <w:r>
        <w:rPr>
          <w:rFonts w:hint="eastAsia" w:ascii="仿宋" w:eastAsia="仿宋" w:cs="仿宋"/>
          <w:sz w:val="24"/>
        </w:rPr>
        <w:t>的有关规定，做好现场安全管理；协助甲方做好</w:t>
      </w:r>
      <w:r>
        <w:rPr>
          <w:rFonts w:hint="eastAsia" w:ascii="仿宋" w:eastAsia="仿宋" w:cs="仿宋"/>
          <w:sz w:val="24"/>
          <w:lang w:val="en-US" w:eastAsia="zh-CN"/>
        </w:rPr>
        <w:t>安装</w:t>
      </w:r>
      <w:r>
        <w:rPr>
          <w:rFonts w:hint="eastAsia" w:ascii="仿宋" w:eastAsia="仿宋" w:cs="仿宋"/>
          <w:sz w:val="24"/>
        </w:rPr>
        <w:t>现场的安全保卫、防火防盗工作，确保施工顺利进行，如因乙方原因造成安全问题，因此所产生的所有责任和费用均由乙方承担；接受甲方现场管理人员的监督和检查，保证施工质量和安全文明施工。</w:t>
      </w:r>
    </w:p>
    <w:p w14:paraId="3C0E83A0">
      <w:pPr>
        <w:spacing w:line="360" w:lineRule="auto"/>
        <w:ind w:firstLine="480" w:firstLineChars="200"/>
        <w:rPr>
          <w:rFonts w:hint="eastAsia" w:ascii="仿宋" w:eastAsia="仿宋" w:cs="仿宋"/>
          <w:sz w:val="24"/>
        </w:rPr>
      </w:pPr>
      <w:r>
        <w:rPr>
          <w:rFonts w:hint="eastAsia" w:ascii="仿宋" w:eastAsia="仿宋" w:cs="仿宋"/>
          <w:sz w:val="24"/>
        </w:rPr>
        <w:t>6、按甲方指定地点将货物码放整齐，及时清运过程中产生的垃圾，保持现场整洁。</w:t>
      </w:r>
    </w:p>
    <w:p w14:paraId="3DF8F224">
      <w:pPr>
        <w:spacing w:line="360" w:lineRule="auto"/>
        <w:ind w:firstLine="480" w:firstLineChars="200"/>
        <w:rPr>
          <w:rFonts w:hint="eastAsia" w:ascii="仿宋" w:eastAsia="仿宋" w:cs="仿宋"/>
          <w:sz w:val="24"/>
        </w:rPr>
      </w:pPr>
      <w:r>
        <w:rPr>
          <w:rFonts w:hint="eastAsia" w:ascii="仿宋" w:eastAsia="仿宋" w:cs="仿宋"/>
          <w:sz w:val="24"/>
        </w:rPr>
        <w:t>7、遵守国家对施工现场交通、市容和施工噪音的管理规定。</w:t>
      </w:r>
    </w:p>
    <w:p w14:paraId="230BE8C8">
      <w:pPr>
        <w:spacing w:line="360" w:lineRule="auto"/>
        <w:ind w:firstLine="480" w:firstLineChars="200"/>
        <w:rPr>
          <w:rFonts w:hint="eastAsia" w:ascii="仿宋" w:eastAsia="仿宋" w:cs="仿宋"/>
          <w:sz w:val="24"/>
        </w:rPr>
      </w:pPr>
      <w:r>
        <w:rPr>
          <w:rFonts w:hint="eastAsia" w:ascii="仿宋" w:eastAsia="仿宋" w:cs="仿宋"/>
          <w:sz w:val="24"/>
        </w:rPr>
        <w:t>8、在货物验收时，向买方提供《货物合格证》、《货物使用说明书》等技术文件。</w:t>
      </w:r>
    </w:p>
    <w:p w14:paraId="3FEE5588">
      <w:pPr>
        <w:shd w:val="clear" w:color="auto" w:fill="FFFFFF"/>
        <w:tabs>
          <w:tab w:val="left" w:pos="425"/>
        </w:tabs>
        <w:spacing w:line="360" w:lineRule="auto"/>
        <w:ind w:firstLine="482" w:firstLineChars="200"/>
        <w:textAlignment w:val="baseline"/>
        <w:rPr>
          <w:rFonts w:hint="eastAsia"/>
        </w:rPr>
      </w:pPr>
      <w:bookmarkStart w:id="67" w:name="_Toc30482"/>
      <w:bookmarkStart w:id="68" w:name="_Toc27946"/>
      <w:bookmarkStart w:id="69" w:name="_Toc495505737"/>
      <w:bookmarkStart w:id="70" w:name="_Toc1900"/>
      <w:bookmarkStart w:id="71" w:name="_Toc4497"/>
      <w:bookmarkStart w:id="72" w:name="_Toc13339"/>
      <w:bookmarkStart w:id="73" w:name="_Toc2230"/>
      <w:bookmarkStart w:id="74" w:name="_Toc10049"/>
      <w:r>
        <w:rPr>
          <w:rFonts w:hint="eastAsia" w:ascii="仿宋" w:eastAsia="仿宋" w:cs="仿宋"/>
          <w:b/>
          <w:bCs/>
          <w:sz w:val="24"/>
        </w:rPr>
        <w:t>六、质量要求、技术标准</w:t>
      </w:r>
      <w:bookmarkEnd w:id="67"/>
      <w:bookmarkEnd w:id="68"/>
      <w:bookmarkEnd w:id="69"/>
      <w:bookmarkEnd w:id="70"/>
      <w:bookmarkEnd w:id="71"/>
      <w:bookmarkEnd w:id="72"/>
      <w:bookmarkEnd w:id="73"/>
      <w:bookmarkEnd w:id="74"/>
    </w:p>
    <w:p w14:paraId="6AC427F4">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75" w:name="_Toc17293"/>
      <w:bookmarkStart w:id="76" w:name="_Toc14187"/>
      <w:bookmarkStart w:id="77" w:name="_Toc9387"/>
      <w:bookmarkStart w:id="78" w:name="_Toc963"/>
      <w:bookmarkStart w:id="79" w:name="_Toc1299"/>
      <w:bookmarkStart w:id="80" w:name="_Toc27339"/>
      <w:bookmarkStart w:id="81" w:name="_Toc495505738"/>
      <w:bookmarkStart w:id="82" w:name="_Toc21713"/>
      <w:r>
        <w:rPr>
          <w:rFonts w:hint="eastAsia" w:ascii="仿宋" w:eastAsia="仿宋" w:cs="仿宋"/>
          <w:b/>
          <w:bCs/>
          <w:sz w:val="24"/>
        </w:rPr>
        <w:t>七、交货要求</w:t>
      </w:r>
      <w:bookmarkEnd w:id="75"/>
      <w:bookmarkEnd w:id="76"/>
      <w:bookmarkEnd w:id="77"/>
      <w:bookmarkEnd w:id="78"/>
      <w:bookmarkEnd w:id="79"/>
      <w:bookmarkEnd w:id="80"/>
      <w:bookmarkEnd w:id="81"/>
      <w:bookmarkEnd w:id="82"/>
    </w:p>
    <w:p w14:paraId="1C25F558">
      <w:pPr>
        <w:spacing w:line="360" w:lineRule="auto"/>
        <w:ind w:firstLine="482" w:firstLineChars="200"/>
        <w:rPr>
          <w:rFonts w:hint="eastAsia" w:ascii="仿宋" w:eastAsia="仿宋" w:cs="仿宋"/>
          <w:b/>
          <w:bCs/>
          <w:sz w:val="24"/>
        </w:rPr>
      </w:pPr>
      <w:bookmarkStart w:id="83" w:name="_Toc25598"/>
      <w:bookmarkStart w:id="84" w:name="_Toc495505739"/>
      <w:bookmarkStart w:id="85" w:name="_Toc14577"/>
      <w:bookmarkStart w:id="86" w:name="_Toc24368"/>
      <w:bookmarkStart w:id="87" w:name="_Toc14581"/>
      <w:bookmarkStart w:id="88" w:name="_Toc6392"/>
      <w:bookmarkStart w:id="89" w:name="_Toc7205"/>
      <w:bookmarkStart w:id="90" w:name="_Toc1949"/>
      <w:r>
        <w:rPr>
          <w:rFonts w:hint="eastAsia" w:ascii="仿宋" w:eastAsia="仿宋" w:cs="仿宋"/>
          <w:b/>
          <w:bCs/>
          <w:sz w:val="24"/>
        </w:rPr>
        <w:t>八、交货地点</w:t>
      </w:r>
      <w:bookmarkEnd w:id="83"/>
      <w:bookmarkEnd w:id="84"/>
      <w:bookmarkEnd w:id="85"/>
      <w:bookmarkEnd w:id="86"/>
      <w:bookmarkEnd w:id="87"/>
      <w:bookmarkEnd w:id="88"/>
      <w:bookmarkEnd w:id="89"/>
      <w:bookmarkEnd w:id="90"/>
    </w:p>
    <w:p w14:paraId="6F9F076D">
      <w:pPr>
        <w:shd w:val="clear" w:color="auto" w:fill="FFFFFF"/>
        <w:tabs>
          <w:tab w:val="left" w:pos="425"/>
        </w:tabs>
        <w:spacing w:line="360" w:lineRule="auto"/>
        <w:ind w:firstLine="480" w:firstLineChars="200"/>
        <w:textAlignment w:val="baseline"/>
        <w:rPr>
          <w:rFonts w:hint="eastAsia" w:ascii="仿宋" w:eastAsia="仿宋" w:cs="仿宋"/>
          <w:sz w:val="24"/>
        </w:rPr>
      </w:pPr>
      <w:r>
        <w:rPr>
          <w:rFonts w:hint="eastAsia" w:ascii="仿宋" w:eastAsia="仿宋" w:cs="仿宋"/>
          <w:sz w:val="24"/>
        </w:rPr>
        <w:t>具体交货及安装地点由甲方指定（乙方负责运输及装卸，运费、运杂费及保险费等其他费用已包括在合同总价内）。</w:t>
      </w:r>
    </w:p>
    <w:p w14:paraId="2D69A004">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91" w:name="_Toc650"/>
      <w:bookmarkStart w:id="92" w:name="_Toc6317"/>
      <w:bookmarkStart w:id="93" w:name="_Toc4093"/>
      <w:bookmarkStart w:id="94" w:name="_Toc10613"/>
      <w:bookmarkStart w:id="95" w:name="_Toc25164"/>
      <w:bookmarkStart w:id="96" w:name="_Toc495505740"/>
      <w:bookmarkStart w:id="97" w:name="_Toc15100"/>
      <w:bookmarkStart w:id="98" w:name="_Toc7356"/>
      <w:r>
        <w:rPr>
          <w:rFonts w:hint="eastAsia" w:ascii="仿宋" w:eastAsia="仿宋" w:cs="仿宋"/>
          <w:b/>
          <w:bCs/>
          <w:sz w:val="24"/>
        </w:rPr>
        <w:t>九、货物验收</w:t>
      </w:r>
      <w:bookmarkEnd w:id="91"/>
      <w:bookmarkEnd w:id="92"/>
      <w:bookmarkEnd w:id="93"/>
      <w:bookmarkEnd w:id="94"/>
      <w:bookmarkEnd w:id="95"/>
      <w:bookmarkEnd w:id="96"/>
      <w:bookmarkEnd w:id="97"/>
      <w:bookmarkEnd w:id="98"/>
    </w:p>
    <w:p w14:paraId="2300F5DD">
      <w:pPr>
        <w:spacing w:line="360" w:lineRule="auto"/>
        <w:ind w:firstLine="480" w:firstLineChars="200"/>
        <w:rPr>
          <w:rFonts w:hint="eastAsia" w:ascii="仿宋" w:eastAsia="仿宋" w:cs="仿宋"/>
          <w:sz w:val="24"/>
        </w:rPr>
      </w:pPr>
      <w:r>
        <w:rPr>
          <w:rFonts w:hint="eastAsia" w:ascii="仿宋" w:eastAsia="仿宋" w:cs="仿宋"/>
          <w:sz w:val="24"/>
        </w:rPr>
        <w:t>1、在发货前，乙方应对货物的质量、规格、数量等进行准确而全面的检验，并出具产品生产产地证明材料 (加盖公章)。</w:t>
      </w:r>
    </w:p>
    <w:p w14:paraId="30F90A7D">
      <w:pPr>
        <w:spacing w:line="360" w:lineRule="auto"/>
        <w:ind w:firstLine="480" w:firstLineChars="200"/>
        <w:rPr>
          <w:rFonts w:hint="eastAsia" w:ascii="仿宋" w:eastAsia="仿宋" w:cs="仿宋"/>
          <w:sz w:val="24"/>
        </w:rPr>
      </w:pPr>
      <w:r>
        <w:rPr>
          <w:rFonts w:hint="eastAsia" w:ascii="仿宋" w:eastAsia="仿宋" w:cs="仿宋"/>
          <w:sz w:val="24"/>
        </w:rPr>
        <w:t>2、甲方将在供货单位交货现场组织验收，如果货物达不到国家的质量及企业标准或与投标时封存样品不符，甲方有权拒绝接收。</w:t>
      </w:r>
    </w:p>
    <w:p w14:paraId="04A210F5">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99" w:name="_Toc23832"/>
      <w:bookmarkStart w:id="100" w:name="_Toc18219"/>
      <w:bookmarkStart w:id="101" w:name="_Toc495505741"/>
      <w:bookmarkStart w:id="102" w:name="_Toc10128"/>
      <w:bookmarkStart w:id="103" w:name="_Toc6039"/>
      <w:bookmarkStart w:id="104" w:name="_Toc11808"/>
      <w:bookmarkStart w:id="105" w:name="_Toc17815"/>
      <w:bookmarkStart w:id="106" w:name="_Toc13809"/>
      <w:r>
        <w:rPr>
          <w:rFonts w:hint="eastAsia" w:ascii="仿宋" w:eastAsia="仿宋" w:cs="仿宋"/>
          <w:b/>
          <w:bCs/>
          <w:sz w:val="24"/>
        </w:rPr>
        <w:t>十、保密条款</w:t>
      </w:r>
      <w:bookmarkEnd w:id="99"/>
      <w:bookmarkEnd w:id="100"/>
      <w:bookmarkEnd w:id="101"/>
      <w:bookmarkEnd w:id="102"/>
      <w:bookmarkEnd w:id="103"/>
      <w:bookmarkEnd w:id="104"/>
      <w:bookmarkEnd w:id="105"/>
      <w:bookmarkEnd w:id="106"/>
    </w:p>
    <w:p w14:paraId="2BC8B54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三方承诺，除非法律另有规定或双方一致同意，任何一方不得将本协议的内容向第三方透露，否则，应向对方承担相应的违约责任。</w:t>
      </w:r>
    </w:p>
    <w:p w14:paraId="0CF1C082">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551CC387">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A8B512D">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07" w:name="_Toc10838"/>
      <w:bookmarkStart w:id="108" w:name="_Toc495505742"/>
      <w:bookmarkStart w:id="109" w:name="_Toc20566"/>
      <w:bookmarkStart w:id="110" w:name="_Toc28760"/>
      <w:bookmarkStart w:id="111" w:name="_Toc29234"/>
      <w:bookmarkStart w:id="112" w:name="_Toc1827"/>
      <w:bookmarkStart w:id="113" w:name="_Toc9252"/>
      <w:bookmarkStart w:id="114" w:name="_Toc16688"/>
      <w:r>
        <w:rPr>
          <w:rFonts w:hint="eastAsia" w:ascii="仿宋" w:eastAsia="仿宋" w:cs="仿宋"/>
          <w:b/>
          <w:bCs/>
          <w:sz w:val="24"/>
        </w:rPr>
        <w:t>十一、违约责任</w:t>
      </w:r>
      <w:bookmarkEnd w:id="107"/>
      <w:bookmarkEnd w:id="108"/>
      <w:bookmarkEnd w:id="109"/>
      <w:bookmarkEnd w:id="110"/>
      <w:bookmarkEnd w:id="111"/>
      <w:bookmarkEnd w:id="112"/>
      <w:bookmarkEnd w:id="113"/>
      <w:bookmarkEnd w:id="114"/>
    </w:p>
    <w:p w14:paraId="0CD11988">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1、乙方逾期供货，每延迟1日，应按合同总价款的1‰向甲方支付违约金，因不可抗力或经甲方同意除外，但违约金总额不超过合同总价的10％。如合同总价5％以上的货物迟达10日的，甲方有权解除本合同。</w:t>
      </w:r>
    </w:p>
    <w:p w14:paraId="779AF694">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2、甲方逾期付款，每延迟1日，应按合同总价款的1‰向乙方支付违约金，因不可抗力或经乙方同意除外。</w:t>
      </w:r>
    </w:p>
    <w:p w14:paraId="3B801BF4">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3</w:t>
      </w:r>
      <w:r>
        <w:rPr>
          <w:rFonts w:hint="eastAsia" w:ascii="仿宋" w:eastAsia="仿宋" w:cs="仿宋"/>
          <w:b/>
          <w:bCs/>
          <w:sz w:val="24"/>
        </w:rPr>
        <w:t>、</w:t>
      </w:r>
      <w:r>
        <w:rPr>
          <w:rFonts w:hint="eastAsia" w:ascii="仿宋" w:eastAsia="仿宋" w:cs="仿宋"/>
          <w:sz w:val="24"/>
        </w:rPr>
        <w:t>如乙方产品质量不符合国家标准或未达到本企业内控标准，甲方有权退货，并且乙方应承担甲方合同总价款的10％的违约金并赔偿其他损失。</w:t>
      </w:r>
    </w:p>
    <w:p w14:paraId="5B2EBED7">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4、在合同规定的供货期内乙方未如数交货，除应如数补齐外，还应承担合同总款的10％违约金。</w:t>
      </w:r>
    </w:p>
    <w:p w14:paraId="21B1A520">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5、保修期内因产品质量问题，乙方未按合同规定及时进行维修、更换，甲方可自行组织人员进行维修、更换，因此造成的相关责任、费用由乙方承担。</w:t>
      </w:r>
    </w:p>
    <w:p w14:paraId="0A8AB835">
      <w:pPr>
        <w:spacing w:line="360" w:lineRule="auto"/>
        <w:ind w:firstLine="480" w:firstLineChars="200"/>
        <w:rPr>
          <w:rFonts w:hint="eastAsia" w:ascii="仿宋" w:eastAsia="仿宋" w:cs="仿宋"/>
          <w:sz w:val="24"/>
        </w:rPr>
      </w:pPr>
      <w:r>
        <w:rPr>
          <w:rFonts w:hint="eastAsia" w:ascii="仿宋" w:eastAsia="仿宋" w:cs="仿宋"/>
          <w:sz w:val="24"/>
        </w:rPr>
        <w:t>6、乙方对材料不按招标文件要求，擅自更换，除恢复原招标产品外，应承担更换部分价款10%的违约金。</w:t>
      </w:r>
    </w:p>
    <w:p w14:paraId="056AB060">
      <w:pPr>
        <w:spacing w:line="360" w:lineRule="auto"/>
        <w:ind w:firstLine="480" w:firstLineChars="200"/>
        <w:rPr>
          <w:rFonts w:hint="eastAsia" w:ascii="仿宋" w:eastAsia="仿宋" w:cs="仿宋"/>
          <w:sz w:val="24"/>
        </w:rPr>
      </w:pPr>
      <w:r>
        <w:rPr>
          <w:rFonts w:hint="eastAsia" w:ascii="仿宋" w:eastAsia="仿宋" w:cs="仿宋"/>
          <w:sz w:val="24"/>
        </w:rPr>
        <w:t>7、乙方如对材料以次充好，除全部按要求恢复外，应承担此部分价款10%的违约金。</w:t>
      </w:r>
    </w:p>
    <w:p w14:paraId="75E8DCC4">
      <w:pPr>
        <w:spacing w:line="360" w:lineRule="auto"/>
        <w:ind w:firstLine="480" w:firstLineChars="200"/>
        <w:rPr>
          <w:rFonts w:hint="eastAsia" w:ascii="仿宋" w:eastAsia="仿宋" w:cs="仿宋"/>
          <w:sz w:val="24"/>
        </w:rPr>
      </w:pPr>
      <w:r>
        <w:rPr>
          <w:rFonts w:hint="eastAsia" w:ascii="仿宋" w:eastAsia="仿宋" w:cs="仿宋"/>
          <w:sz w:val="24"/>
        </w:rPr>
        <w:t>8、如由于产品质量原因，不能通过验收，乙方除按规定无偿更换外，应承担所涉及产品总价款的10％违约金。</w:t>
      </w:r>
    </w:p>
    <w:p w14:paraId="75B25B2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9、乙方负责现场施工人员及其他人员安全。如因乙方原因造成人员伤亡或财产损失，由乙方负责并承担一切赔偿责任。甲方有权追究乙方的违约责任。</w:t>
      </w:r>
    </w:p>
    <w:p w14:paraId="6DB666CD">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15" w:name="_Toc32547"/>
      <w:bookmarkStart w:id="116" w:name="_Toc28632"/>
      <w:bookmarkStart w:id="117" w:name="_Toc31159"/>
      <w:bookmarkStart w:id="118" w:name="_Toc1947"/>
      <w:bookmarkStart w:id="119" w:name="_Toc30755"/>
      <w:bookmarkStart w:id="120" w:name="_Toc27206"/>
      <w:bookmarkStart w:id="121" w:name="_Toc495505743"/>
      <w:bookmarkStart w:id="122" w:name="_Toc13636"/>
      <w:r>
        <w:rPr>
          <w:rFonts w:hint="eastAsia" w:ascii="仿宋" w:eastAsia="仿宋" w:cs="仿宋"/>
          <w:b/>
          <w:bCs/>
          <w:sz w:val="24"/>
        </w:rPr>
        <w:t>十二、争议解决</w:t>
      </w:r>
      <w:bookmarkEnd w:id="115"/>
      <w:bookmarkEnd w:id="116"/>
      <w:bookmarkEnd w:id="117"/>
      <w:bookmarkEnd w:id="118"/>
      <w:bookmarkEnd w:id="119"/>
      <w:bookmarkEnd w:id="120"/>
      <w:bookmarkEnd w:id="121"/>
      <w:bookmarkEnd w:id="122"/>
    </w:p>
    <w:p w14:paraId="5953ED10">
      <w:pPr>
        <w:shd w:val="clear" w:color="auto" w:fill="FFFFFF"/>
        <w:spacing w:line="360" w:lineRule="auto"/>
        <w:ind w:firstLine="480" w:firstLineChars="200"/>
        <w:rPr>
          <w:rFonts w:hint="eastAsia" w:ascii="仿宋" w:eastAsia="仿宋" w:cs="仿宋"/>
          <w:sz w:val="24"/>
        </w:rPr>
      </w:pPr>
      <w:r>
        <w:rPr>
          <w:rFonts w:hint="eastAsia" w:ascii="仿宋" w:eastAsia="仿宋" w:cs="仿宋"/>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eastAsia="仿宋" w:cs="仿宋"/>
          <w:sz w:val="24"/>
        </w:rPr>
        <w:t>甲方所在地人民法院管辖。</w:t>
      </w:r>
    </w:p>
    <w:p w14:paraId="5F9F2265">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23" w:name="_Toc9611"/>
      <w:bookmarkStart w:id="124" w:name="_Toc13438"/>
      <w:bookmarkStart w:id="125" w:name="_Toc8221"/>
      <w:bookmarkStart w:id="126" w:name="_Toc22951"/>
      <w:bookmarkStart w:id="127" w:name="_Toc8557"/>
      <w:bookmarkStart w:id="128" w:name="_Toc76"/>
      <w:bookmarkStart w:id="129" w:name="_Toc495505744"/>
      <w:bookmarkStart w:id="130" w:name="_Toc26763"/>
      <w:r>
        <w:rPr>
          <w:rFonts w:hint="eastAsia" w:ascii="仿宋" w:eastAsia="仿宋" w:cs="仿宋"/>
          <w:b/>
          <w:bCs/>
          <w:sz w:val="24"/>
        </w:rPr>
        <w:t>十三、协议期限</w:t>
      </w:r>
      <w:bookmarkEnd w:id="123"/>
      <w:bookmarkEnd w:id="124"/>
      <w:bookmarkEnd w:id="125"/>
      <w:bookmarkEnd w:id="126"/>
      <w:bookmarkEnd w:id="127"/>
      <w:bookmarkEnd w:id="128"/>
      <w:bookmarkEnd w:id="129"/>
      <w:bookmarkEnd w:id="130"/>
    </w:p>
    <w:p w14:paraId="3B6AA81B">
      <w:pPr>
        <w:spacing w:line="360" w:lineRule="auto"/>
        <w:ind w:firstLine="480" w:firstLineChars="200"/>
        <w:rPr>
          <w:rFonts w:hint="eastAsia" w:ascii="仿宋" w:eastAsia="仿宋" w:cs="仿宋"/>
          <w:sz w:val="24"/>
        </w:rPr>
      </w:pPr>
      <w:r>
        <w:rPr>
          <w:rFonts w:hint="eastAsia" w:ascii="仿宋" w:eastAsia="仿宋" w:cs="仿宋"/>
          <w:sz w:val="24"/>
        </w:rPr>
        <w:t>1、</w:t>
      </w:r>
      <w:r>
        <w:rPr>
          <w:rFonts w:hint="eastAsia" w:ascii="仿宋" w:eastAsia="仿宋" w:cs="仿宋"/>
          <w:spacing w:val="10"/>
          <w:sz w:val="24"/>
        </w:rPr>
        <w:t>合同经</w:t>
      </w:r>
      <w:r>
        <w:rPr>
          <w:rFonts w:hint="eastAsia" w:ascii="仿宋" w:eastAsia="仿宋" w:cs="仿宋"/>
          <w:sz w:val="24"/>
        </w:rPr>
        <w:t>发包</w:t>
      </w:r>
      <w:r>
        <w:rPr>
          <w:rFonts w:hint="eastAsia" w:ascii="仿宋" w:eastAsia="仿宋" w:cs="仿宋"/>
          <w:spacing w:val="10"/>
          <w:sz w:val="24"/>
        </w:rPr>
        <w:t>方、</w:t>
      </w:r>
      <w:r>
        <w:rPr>
          <w:rFonts w:hint="eastAsia" w:ascii="仿宋" w:eastAsia="仿宋" w:cs="仿宋"/>
          <w:sz w:val="24"/>
        </w:rPr>
        <w:t>承包</w:t>
      </w:r>
      <w:r>
        <w:rPr>
          <w:rFonts w:hint="eastAsia" w:ascii="仿宋" w:eastAsia="仿宋" w:cs="仿宋"/>
          <w:spacing w:val="10"/>
          <w:sz w:val="24"/>
        </w:rPr>
        <w:t>方和监督方三方法定代表人或者代表人签字并加盖公章(或合同章)即行生效。</w:t>
      </w:r>
    </w:p>
    <w:p w14:paraId="0E7E4CE8">
      <w:pPr>
        <w:spacing w:line="360" w:lineRule="auto"/>
        <w:ind w:firstLine="480" w:firstLineChars="200"/>
        <w:rPr>
          <w:rFonts w:hint="eastAsia" w:ascii="仿宋" w:eastAsia="仿宋" w:cs="仿宋"/>
          <w:sz w:val="24"/>
        </w:rPr>
      </w:pPr>
      <w:r>
        <w:rPr>
          <w:rFonts w:hint="eastAsia" w:ascii="仿宋" w:eastAsia="仿宋" w:cs="仿宋"/>
          <w:sz w:val="24"/>
        </w:rPr>
        <w:t>2、合同签订后三方即直接产生权利与义务的关系，合同执行过程中出现的问题应按照合同法等有关规定办理。</w:t>
      </w:r>
    </w:p>
    <w:p w14:paraId="720F78ED">
      <w:pPr>
        <w:spacing w:line="360" w:lineRule="auto"/>
        <w:ind w:firstLine="480" w:firstLineChars="200"/>
        <w:rPr>
          <w:rFonts w:hint="eastAsia" w:ascii="仿宋" w:eastAsia="仿宋" w:cs="仿宋"/>
          <w:sz w:val="24"/>
        </w:rPr>
      </w:pPr>
      <w:r>
        <w:rPr>
          <w:rFonts w:hint="eastAsia" w:ascii="仿宋" w:eastAsia="仿宋" w:cs="仿宋"/>
          <w:sz w:val="24"/>
        </w:rPr>
        <w:t>3、合同在执行过程中出现的未尽事宜，三方在不违背本合同和招标文件的原则下协商解决，协商结果以“纪要”形式盖章记录在案，作为本合同的附件，与本合同具有同等效力。</w:t>
      </w:r>
    </w:p>
    <w:p w14:paraId="2B3728CE">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31" w:name="_Toc14551"/>
      <w:bookmarkStart w:id="132" w:name="_Toc29992"/>
      <w:bookmarkStart w:id="133" w:name="_Toc14186"/>
      <w:bookmarkStart w:id="134" w:name="_Toc495505745"/>
      <w:bookmarkStart w:id="135" w:name="_Toc793"/>
      <w:bookmarkStart w:id="136" w:name="_Toc26328"/>
      <w:bookmarkStart w:id="137" w:name="_Toc9839"/>
      <w:bookmarkStart w:id="138" w:name="_Toc11030"/>
      <w:r>
        <w:rPr>
          <w:rFonts w:hint="eastAsia" w:ascii="仿宋" w:eastAsia="仿宋" w:cs="仿宋"/>
          <w:b/>
          <w:bCs/>
          <w:sz w:val="24"/>
        </w:rPr>
        <w:t>十四、不可抗力</w:t>
      </w:r>
      <w:bookmarkEnd w:id="131"/>
      <w:bookmarkEnd w:id="132"/>
      <w:bookmarkEnd w:id="133"/>
      <w:bookmarkEnd w:id="134"/>
      <w:bookmarkEnd w:id="135"/>
      <w:bookmarkEnd w:id="136"/>
      <w:bookmarkEnd w:id="137"/>
      <w:bookmarkEnd w:id="138"/>
    </w:p>
    <w:p w14:paraId="0F5AB27B">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1、本合同项下的“不可抗力”是指不能预见，不能避免且不能克服的客观情况，使得本合同一方当事人无法履行合同义务，如战争、严重火灾、水灾、风灾和地震属于不可抗力的事故。</w:t>
      </w:r>
    </w:p>
    <w:p w14:paraId="68B60DB5">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5BD847F">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3、如不可抗力时间延续120天以上的，各方通过协商达成在合理的时间内继续履行合同，或部分履行合同，或终止合同的履行。</w:t>
      </w:r>
    </w:p>
    <w:p w14:paraId="51C0A4DD">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4、一方迟延履行后发生不可抗力的，不能免除责任。</w:t>
      </w:r>
    </w:p>
    <w:p w14:paraId="1E4A39C6">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39" w:name="_Toc1081"/>
      <w:bookmarkStart w:id="140" w:name="_Toc11676"/>
      <w:bookmarkStart w:id="141" w:name="_Toc495505746"/>
      <w:bookmarkStart w:id="142" w:name="_Toc30719"/>
      <w:bookmarkStart w:id="143" w:name="_Toc18101"/>
      <w:bookmarkStart w:id="144" w:name="_Toc11652"/>
      <w:bookmarkStart w:id="145" w:name="_Toc2681"/>
      <w:bookmarkStart w:id="146" w:name="_Toc14470"/>
      <w:r>
        <w:rPr>
          <w:rFonts w:hint="eastAsia" w:ascii="仿宋" w:eastAsia="仿宋" w:cs="仿宋"/>
          <w:b/>
          <w:bCs/>
          <w:sz w:val="24"/>
        </w:rPr>
        <w:t>十五、通知和合同修改</w:t>
      </w:r>
      <w:bookmarkEnd w:id="139"/>
      <w:bookmarkEnd w:id="140"/>
      <w:bookmarkEnd w:id="141"/>
      <w:bookmarkEnd w:id="142"/>
      <w:bookmarkEnd w:id="143"/>
      <w:bookmarkEnd w:id="144"/>
      <w:bookmarkEnd w:id="145"/>
      <w:bookmarkEnd w:id="146"/>
    </w:p>
    <w:p w14:paraId="467A04B0">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本合同一方给另一方的通知，都应以书面的形式（信函、传真）发送至对方，对本合同条款进行任何改动，均须由甲乙双方签署书面合同修改签证，方为有效。</w:t>
      </w:r>
    </w:p>
    <w:p w14:paraId="5937D425">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47" w:name="_Toc7297"/>
      <w:bookmarkStart w:id="148" w:name="_Toc25799"/>
      <w:bookmarkStart w:id="149" w:name="_Toc29101"/>
      <w:bookmarkStart w:id="150" w:name="_Toc8569"/>
      <w:bookmarkStart w:id="151" w:name="_Toc30726"/>
      <w:bookmarkStart w:id="152" w:name="_Toc26152"/>
      <w:bookmarkStart w:id="153" w:name="_Toc19637"/>
      <w:bookmarkStart w:id="154" w:name="_Toc495505747"/>
      <w:r>
        <w:rPr>
          <w:rFonts w:hint="eastAsia" w:ascii="仿宋" w:eastAsia="仿宋" w:cs="仿宋"/>
          <w:b/>
          <w:bCs/>
          <w:sz w:val="24"/>
        </w:rPr>
        <w:t>十六、其他规定</w:t>
      </w:r>
      <w:bookmarkEnd w:id="147"/>
      <w:bookmarkEnd w:id="148"/>
      <w:bookmarkEnd w:id="149"/>
      <w:bookmarkEnd w:id="150"/>
      <w:bookmarkEnd w:id="151"/>
      <w:bookmarkEnd w:id="152"/>
      <w:bookmarkEnd w:id="153"/>
      <w:bookmarkEnd w:id="154"/>
    </w:p>
    <w:p w14:paraId="24B0DFE4">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3CB0174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本合同甲、乙双方均同意以上条款内容。</w:t>
      </w:r>
    </w:p>
    <w:p w14:paraId="032D561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本合同正本叁份，副本陆份，具有同等效力。</w:t>
      </w:r>
    </w:p>
    <w:p w14:paraId="0C4715A6">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本合同的订立、履行、变更、终止、解释等均适用中华人民共和国法律。</w:t>
      </w:r>
    </w:p>
    <w:p w14:paraId="57448F22">
      <w:pPr>
        <w:shd w:val="clear" w:color="auto" w:fill="FFFFFF"/>
        <w:spacing w:line="360" w:lineRule="auto"/>
        <w:ind w:firstLine="480" w:firstLineChars="200"/>
        <w:rPr>
          <w:rFonts w:hint="eastAsia" w:ascii="仿宋" w:eastAsia="仿宋" w:cs="仿宋"/>
          <w:sz w:val="24"/>
          <w:u w:val="single"/>
        </w:rPr>
      </w:pPr>
      <w:r>
        <w:rPr>
          <w:rFonts w:hint="eastAsia" w:ascii="仿宋" w:eastAsia="仿宋" w:cs="仿宋"/>
          <w:kern w:val="28"/>
          <w:sz w:val="24"/>
        </w:rPr>
        <w:t>本合同未尽事宜由双方共同协商，另行订立补充协议，补充协议与本协议具有同样的法律效力。如果本合同之附件与本合同规定不符, 以本合同规定为准。</w:t>
      </w:r>
    </w:p>
    <w:p w14:paraId="56587529">
      <w:pPr>
        <w:shd w:val="clear" w:color="auto" w:fill="FFFFFF"/>
        <w:spacing w:line="360" w:lineRule="auto"/>
        <w:rPr>
          <w:rFonts w:ascii="仿宋" w:eastAsia="仿宋" w:cs="仿宋"/>
          <w:sz w:val="24"/>
        </w:rPr>
      </w:pPr>
      <w:r>
        <w:rPr>
          <w:rFonts w:hint="eastAsia" w:ascii="仿宋" w:eastAsia="仿宋" w:cs="仿宋"/>
          <w:sz w:val="24"/>
        </w:rPr>
        <w:t xml:space="preserve">甲方：                                乙方：            </w:t>
      </w:r>
    </w:p>
    <w:p w14:paraId="2029B42E">
      <w:pPr>
        <w:spacing w:line="360" w:lineRule="auto"/>
        <w:rPr>
          <w:rFonts w:ascii="仿宋" w:eastAsia="仿宋" w:cs="仿宋"/>
          <w:sz w:val="24"/>
        </w:rPr>
      </w:pPr>
      <w:bookmarkStart w:id="155" w:name="_Toc21962"/>
      <w:bookmarkStart w:id="156" w:name="_Toc2812"/>
      <w:bookmarkStart w:id="157" w:name="_Toc29674"/>
      <w:bookmarkStart w:id="158" w:name="_Toc1048"/>
      <w:bookmarkStart w:id="159" w:name="_Toc25927"/>
      <w:r>
        <w:rPr>
          <w:rFonts w:hint="eastAsia" w:ascii="仿宋" w:eastAsia="仿宋" w:cs="仿宋"/>
          <w:sz w:val="24"/>
        </w:rPr>
        <w:t xml:space="preserve">法人代表或授权代表：                  法人代表或授权代表：            </w:t>
      </w:r>
    </w:p>
    <w:p w14:paraId="16425016">
      <w:r>
        <w:rPr>
          <w:rFonts w:hint="eastAsia" w:ascii="仿宋" w:eastAsia="仿宋" w:cs="仿宋"/>
          <w:sz w:val="24"/>
        </w:rPr>
        <w:t>签订日期：202</w:t>
      </w:r>
      <w:r>
        <w:rPr>
          <w:rFonts w:hint="eastAsia" w:ascii="仿宋" w:eastAsia="仿宋" w:cs="仿宋"/>
          <w:sz w:val="24"/>
          <w:lang w:val="en-US" w:eastAsia="zh-CN"/>
        </w:rPr>
        <w:t>5</w:t>
      </w:r>
      <w:r>
        <w:rPr>
          <w:rFonts w:hint="eastAsia" w:ascii="仿宋" w:eastAsia="仿宋" w:cs="仿宋"/>
          <w:sz w:val="24"/>
        </w:rPr>
        <w:t>年    月    日          签订日期：202</w:t>
      </w:r>
      <w:r>
        <w:rPr>
          <w:rFonts w:hint="eastAsia" w:ascii="仿宋" w:eastAsia="仿宋" w:cs="仿宋"/>
          <w:sz w:val="24"/>
          <w:lang w:val="en-US" w:eastAsia="zh-CN"/>
        </w:rPr>
        <w:t>5</w:t>
      </w:r>
      <w:r>
        <w:rPr>
          <w:rFonts w:hint="eastAsia" w:ascii="仿宋" w:eastAsia="仿宋" w:cs="仿宋"/>
          <w:sz w:val="24"/>
        </w:rPr>
        <w:t>年    月    日</w:t>
      </w:r>
      <w:bookmarkEnd w:id="155"/>
      <w:bookmarkEnd w:id="156"/>
      <w:bookmarkEnd w:id="157"/>
      <w:bookmarkEnd w:id="158"/>
      <w:bookmarkEnd w:id="15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667E10"/>
    <w:rsid w:val="4F083BA2"/>
    <w:rsid w:val="63C8071D"/>
    <w:rsid w:val="70B7217C"/>
    <w:rsid w:val="7938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7"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iPriority w:val="7"/>
    <w:pPr>
      <w:ind w:firstLine="420"/>
    </w:pPr>
    <w:rPr>
      <w:kern w:val="1"/>
    </w:rPr>
  </w:style>
  <w:style w:type="paragraph" w:styleId="4">
    <w:name w:val="Body Text"/>
    <w:basedOn w:val="1"/>
    <w:next w:val="1"/>
    <w:qFormat/>
    <w:uiPriority w:val="6"/>
    <w:rPr>
      <w:b/>
      <w:kern w:val="1"/>
      <w:sz w:val="28"/>
    </w:rPr>
  </w:style>
  <w:style w:type="paragraph" w:styleId="7">
    <w:name w:val="List Paragraph"/>
    <w:basedOn w:val="1"/>
    <w:qFormat/>
    <w:uiPriority w:val="7"/>
    <w:pPr>
      <w:ind w:firstLine="420"/>
    </w:pPr>
    <w:rPr>
      <w:kern w:val="1"/>
      <w:szCs w:val="21"/>
    </w:rPr>
  </w:style>
  <w:style w:type="paragraph" w:customStyle="1" w:styleId="8">
    <w:name w:val="列出段落1"/>
    <w:basedOn w:val="1"/>
    <w:qFormat/>
    <w:uiPriority w:val="1723"/>
    <w:pPr>
      <w:ind w:firstLine="420"/>
    </w:pPr>
    <w:rPr>
      <w:rFonts w:ascii="Calibri" w:hAnsi="Calibri" w:cs="Calibri"/>
      <w:kern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3146</Words>
  <Characters>3173</Characters>
  <Lines>0</Lines>
  <Paragraphs>0</Paragraphs>
  <TotalTime>0</TotalTime>
  <ScaleCrop>false</ScaleCrop>
  <LinksUpToDate>false</LinksUpToDate>
  <CharactersWithSpaces>3724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2024-11-26T06:36:00Z</dcterms:created>
  <dc:creator>Administrator</dc:creator>
  <cp:lastModifiedBy>wangx</cp:lastModifiedBy>
  <dcterms:modified xsi:type="dcterms:W3CDTF">2025-01-09T07:54:34Z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E6750166082B4B97A2586EC6E3C7BCA6_12</vt:lpwstr>
  </property>
  <property fmtid="{D5CDD505-2E9C-101B-9397-08002B2CF9AE}" pid="4" name="KSOTemplateDocerSaveRecord">
    <vt:lpwstr>eyJoZGlkIjoiZTQ5ZWY0NzI1YzM2ZGRkNzQ5Zjg2YjFkZTNiNDRiZDgiLCJ1c2VySWQiOiIxMTM2NjQzNDU4In0=</vt:lpwstr>
  </property>
</Properties>
</file>