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版本号：SZT2025-SN-XC-ZC-HW-017420250509001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呼吸道传染病综合监测试剂采购项目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SZT2025-SN-XC-ZC-HW-0174</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呼吸道传染病综合监测试剂采购项目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SZT2025-SN-XC-ZC-HW-0174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呼吸道传染病综合监测试剂采购项目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呼吸道传染病综合监测试剂采购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2、医疗器械生产许可证：提供生产企业医疗器械生产许可证；</w:t>
      </w:r>
    </w:p>
    <w:p>
      <w:pPr>
        <w:pStyle w:val="null3"/>
      </w:pPr>
      <w:r>
        <w:rPr>
          <w:rFonts w:ascii="仿宋_GB2312" w:hAnsi="仿宋_GB2312" w:cs="仿宋_GB2312" w:eastAsia="仿宋_GB2312"/>
        </w:rPr>
        <w:t>3、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2、国家和行业制定的相应的标准和规范；3、验收清单（注明品名、数量、价格、规格型号、产地和生产厂家）。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呼吸道传染病综合监测试剂采购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6种呼吸道病原体核酸多重实时荧光PCR 检测试剂盒</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盒</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标的名称：6种呼吸道病原体核酸多重实时荧光PCR 检测试剂盒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60"/>
              <w:tblBorders>
                <w:top w:val="none" w:color="000000" w:sz="4"/>
                <w:left w:val="none" w:color="000000" w:sz="4"/>
                <w:bottom w:val="none" w:color="000000" w:sz="4"/>
                <w:right w:val="none" w:color="000000" w:sz="4"/>
                <w:insideH w:val="none"/>
                <w:insideV w:val="none"/>
              </w:tblBorders>
            </w:tblPr>
            <w:tblGrid>
              <w:gridCol w:w="1194"/>
              <w:gridCol w:w="624"/>
              <w:gridCol w:w="607"/>
            </w:tblGrid>
            <w:tr>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试剂名称</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r>
                    <w:br/>
                  </w:r>
                  <w:r>
                    <w:rPr>
                      <w:rFonts w:ascii="仿宋_GB2312" w:hAnsi="仿宋_GB2312" w:cs="仿宋_GB2312" w:eastAsia="仿宋_GB2312"/>
                      <w:sz w:val="20"/>
                      <w:b/>
                      <w:color w:val="000000"/>
                    </w:rPr>
                    <w:t>（盒）</w:t>
                  </w:r>
                </w:p>
              </w:tc>
            </w:tr>
            <w:tr>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6种呼吸道病原体核酸多重实时荧光PCR 检测试剂盒</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50T</w:t>
                  </w:r>
                </w:p>
              </w:tc>
              <w:tc>
                <w:tcPr>
                  <w:tcW w:type="dxa" w:w="6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0"/>
              </w:rPr>
              <w:t>6 种呼吸道病原体核酸多重实时荧光PCR检测试剂盒技术参数</w:t>
            </w:r>
          </w:p>
          <w:p>
            <w:pPr>
              <w:pStyle w:val="null3"/>
              <w:jc w:val="both"/>
            </w:pPr>
            <w:r>
              <w:rPr>
                <w:rFonts w:ascii="仿宋_GB2312" w:hAnsi="仿宋_GB2312" w:cs="仿宋_GB2312" w:eastAsia="仿宋_GB2312"/>
                <w:sz w:val="20"/>
              </w:rPr>
              <w:t>1.开放型平台，适用于各种多通道校正的全自动荧光PCR检测仪。</w:t>
            </w:r>
          </w:p>
          <w:p>
            <w:pPr>
              <w:pStyle w:val="null3"/>
              <w:jc w:val="both"/>
            </w:pPr>
            <w:r>
              <w:rPr>
                <w:rFonts w:ascii="仿宋_GB2312" w:hAnsi="仿宋_GB2312" w:cs="仿宋_GB2312" w:eastAsia="仿宋_GB2312"/>
                <w:sz w:val="20"/>
              </w:rPr>
              <w:t>2.适用于定性检测从咽拭子、痰液和培养物等样本中提取的军团菌、肺炎衣原体、鹦鹉热衣原体、曲霉菌属、隐球菌、肺炎克雷伯菌的核酸。</w:t>
            </w:r>
          </w:p>
          <w:p>
            <w:pPr>
              <w:pStyle w:val="null3"/>
              <w:jc w:val="both"/>
            </w:pPr>
            <w:r>
              <w:rPr>
                <w:rFonts w:ascii="仿宋_GB2312" w:hAnsi="仿宋_GB2312" w:cs="仿宋_GB2312" w:eastAsia="仿宋_GB2312"/>
                <w:sz w:val="20"/>
              </w:rPr>
              <w:t>3.检测性能：采用多重实时荧光PCR技术，灵敏度≤500copies/mL，与其他病原菌均无交叉反应。</w:t>
            </w:r>
          </w:p>
          <w:p>
            <w:pPr>
              <w:pStyle w:val="null3"/>
              <w:jc w:val="both"/>
            </w:pPr>
            <w:r>
              <w:rPr>
                <w:rFonts w:ascii="仿宋_GB2312" w:hAnsi="仿宋_GB2312" w:cs="仿宋_GB2312" w:eastAsia="仿宋_GB2312"/>
                <w:sz w:val="20"/>
              </w:rPr>
              <w:t>4.提供除酶以外一管预混液体系包装，也可提供可拆卸的96孔板0.1ml或0.2ml包装。每个反应孔核酸体积≤5μL，终体积≤25μL，核酸上样孔数≤2孔，同品牌多个不同试剂可使用同一扩增程序上机使用。反应理论时间≤28min，反应时长≤60min。 （提供证明材料）</w:t>
            </w:r>
          </w:p>
          <w:p>
            <w:pPr>
              <w:pStyle w:val="null3"/>
              <w:jc w:val="both"/>
            </w:pPr>
            <w:r>
              <w:rPr>
                <w:rFonts w:ascii="仿宋_GB2312" w:hAnsi="仿宋_GB2312" w:cs="仿宋_GB2312" w:eastAsia="仿宋_GB2312"/>
                <w:sz w:val="20"/>
              </w:rPr>
              <w:t>5.荧光PCR反应程序</w:t>
            </w:r>
            <w:r>
              <w:rPr>
                <w:rFonts w:ascii="仿宋_GB2312" w:hAnsi="仿宋_GB2312" w:cs="仿宋_GB2312" w:eastAsia="仿宋_GB2312"/>
                <w:sz w:val="20"/>
              </w:rPr>
              <w:t>：（提供证明材料）</w:t>
            </w:r>
          </w:p>
          <w:p>
            <w:pPr>
              <w:pStyle w:val="null3"/>
              <w:jc w:val="both"/>
            </w:pPr>
            <w:r>
              <w:rPr>
                <w:rFonts w:ascii="仿宋_GB2312" w:hAnsi="仿宋_GB2312" w:cs="仿宋_GB2312" w:eastAsia="仿宋_GB2312"/>
                <w:sz w:val="20"/>
              </w:rPr>
              <w:t>5.1.预变性95℃，≤30sec；</w:t>
            </w:r>
          </w:p>
          <w:p>
            <w:pPr>
              <w:pStyle w:val="null3"/>
              <w:jc w:val="both"/>
            </w:pPr>
            <w:r>
              <w:rPr>
                <w:rFonts w:ascii="仿宋_GB2312" w:hAnsi="仿宋_GB2312" w:cs="仿宋_GB2312" w:eastAsia="仿宋_GB2312"/>
                <w:sz w:val="20"/>
              </w:rPr>
              <w:t>5.2.退火/延伸/检测荧光95℃，5sec及60℃，30 sec，循环≤40次。</w:t>
            </w:r>
          </w:p>
          <w:p>
            <w:pPr>
              <w:pStyle w:val="null3"/>
              <w:jc w:val="both"/>
            </w:pPr>
            <w:r>
              <w:rPr>
                <w:rFonts w:ascii="仿宋_GB2312" w:hAnsi="仿宋_GB2312" w:cs="仿宋_GB2312" w:eastAsia="仿宋_GB2312"/>
                <w:sz w:val="20"/>
              </w:rPr>
              <w:t>6. 试剂规格：每盒的检测量≥50T</w:t>
            </w:r>
          </w:p>
          <w:p>
            <w:pPr>
              <w:pStyle w:val="null3"/>
              <w:jc w:val="both"/>
            </w:pPr>
            <w:r>
              <w:rPr>
                <w:rFonts w:ascii="仿宋_GB2312" w:hAnsi="仿宋_GB2312" w:cs="仿宋_GB2312" w:eastAsia="仿宋_GB2312"/>
                <w:sz w:val="20"/>
              </w:rPr>
              <w:t>7、生产厂家拥有二级病原微生物实验室备案。</w:t>
            </w:r>
          </w:p>
          <w:p>
            <w:pPr>
              <w:pStyle w:val="null3"/>
              <w:jc w:val="both"/>
            </w:pP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1.有效期：≥12个月，到货后质保期≥10个月</w:t>
            </w:r>
          </w:p>
          <w:p>
            <w:pPr>
              <w:pStyle w:val="null3"/>
              <w:jc w:val="both"/>
            </w:pPr>
            <w:r>
              <w:rPr>
                <w:rFonts w:ascii="仿宋_GB2312" w:hAnsi="仿宋_GB2312" w:cs="仿宋_GB2312" w:eastAsia="仿宋_GB2312"/>
                <w:sz w:val="20"/>
              </w:rPr>
              <w:t>2.售后服务保障：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接到采购人送货通知后，30天内送达采购人指定地点。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货物验收合格之日起计算,有效期：≥12个月，到货后质保期≥10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提供生产企业医疗器械生产许可证；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接到采购人送货通知后，30天内送达采购人指定地点。</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货物验收合格之日起计算,有效期：≥12个月，到货后质保期≥10个月。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资格响应表.docx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响应招标文件的每一项要求，没有负偏离计18分；参数每负偏离一项扣3分，扣完为止。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1、供货组织安排、安装、检测措施；2、仓储、设施设备及完整的冷链储运系统，运输的安全保证；3、安全控制方案及质量措施；4、组织机构人员配置、协调能力；5、验收方案等。方案各项内容全面详细、阐述条理清晰详尽、符合本项目采购需求、平台技术先进，功能配置合理，能有效保障本项目实施的得15分，每有一个缺项扣3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1、质量控制方法和措施、流程，控制重点思路清晰明确，产品来源渠道证明材料齐全得6分； 2、质量控制方法和措施、流程，控制重点存在优化空间，产品来源渠道证明材料齐全得4分； 3、质量控制措施内容无针对性，有缺陷，产品来源渠道证明材料不齐的得2分；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试剂使用过程中出现问题答复时间、到达现场时间、解决问题时间承诺函；（3）退/调换货方案；（4）应急补救措施或方案。 方案各项内容全面详细、阐述条理清晰详尽、符合本项目采购需求、能有效保障本项目实施的得12分，每有一个缺项扣3分，每有一处内容存在缺陷，扣1分，扣完为止。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实施保障</w:t>
            </w:r>
          </w:p>
        </w:tc>
        <w:tc>
          <w:tcPr>
            <w:tcW w:type="dxa" w:w="2492"/>
          </w:tcPr>
          <w:p>
            <w:pPr>
              <w:pStyle w:val="null3"/>
            </w:pPr>
            <w:r>
              <w:rPr>
                <w:rFonts w:ascii="仿宋_GB2312" w:hAnsi="仿宋_GB2312" w:cs="仿宋_GB2312" w:eastAsia="仿宋_GB2312"/>
              </w:rPr>
              <w:t>1、投标产品生产厂商具有ISO14001体系认证证书，计1分； 2、投标产品生产厂商具有ISO 45001体系认证证书，计1分； 3、投标产品生产厂商具有ISO9001体系认证证书，计1分； 4、投标产品生产厂商具有ISO13485体系认证证书，计1分；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供应商自2022年1月1日以来类似所投产品业绩，每提供1份完整有效的合同得1分，共4分。（以合同签订时间为准）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