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67085">
      <w:pPr>
        <w:tabs>
          <w:tab w:val="left" w:pos="1260"/>
          <w:tab w:val="left" w:pos="5669"/>
        </w:tabs>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inline distT="0" distB="0" distL="114300" distR="114300">
            <wp:extent cx="3082925" cy="575310"/>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082925" cy="575310"/>
                    </a:xfrm>
                    <a:prstGeom prst="rect">
                      <a:avLst/>
                    </a:prstGeom>
                    <a:noFill/>
                    <a:ln>
                      <a:noFill/>
                    </a:ln>
                  </pic:spPr>
                </pic:pic>
              </a:graphicData>
            </a:graphic>
          </wp:inline>
        </w:drawing>
      </w:r>
    </w:p>
    <w:p w14:paraId="65C80F0B">
      <w:pPr>
        <w:spacing w:line="360" w:lineRule="auto"/>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36"/>
          <w14:textFill>
            <w14:solidFill>
              <w14:schemeClr w14:val="tx1"/>
            </w14:solidFill>
          </w14:textFill>
        </w:rPr>
        <w:t xml:space="preserve">                 </w:t>
      </w:r>
    </w:p>
    <w:p w14:paraId="28818AD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 xml:space="preserve">             </w:t>
      </w:r>
    </w:p>
    <w:p w14:paraId="55D05E6E">
      <w:pPr>
        <w:spacing w:line="360" w:lineRule="auto"/>
        <w:jc w:val="center"/>
        <w:rPr>
          <w:rFonts w:hint="eastAsia" w:ascii="仿宋" w:hAnsi="仿宋" w:eastAsia="仿宋" w:cs="仿宋"/>
          <w:b/>
          <w:bCs/>
          <w:color w:val="000000" w:themeColor="text1"/>
          <w:sz w:val="52"/>
          <w:szCs w:val="52"/>
          <w:lang w:eastAsia="zh-CN"/>
          <w14:textFill>
            <w14:solidFill>
              <w14:schemeClr w14:val="tx1"/>
            </w14:solidFill>
          </w14:textFill>
        </w:rPr>
      </w:pPr>
      <w:r>
        <w:rPr>
          <w:rFonts w:hint="eastAsia" w:ascii="仿宋" w:hAnsi="仿宋" w:eastAsia="仿宋" w:cs="仿宋"/>
          <w:b/>
          <w:bCs/>
          <w:color w:val="000000" w:themeColor="text1"/>
          <w:sz w:val="52"/>
          <w:szCs w:val="52"/>
          <w:lang w:eastAsia="zh-CN"/>
          <w14:textFill>
            <w14:solidFill>
              <w14:schemeClr w14:val="tx1"/>
            </w14:solidFill>
          </w14:textFill>
        </w:rPr>
        <w:t>仪器设备购置项目</w:t>
      </w:r>
    </w:p>
    <w:p w14:paraId="188B9CD3">
      <w:pPr>
        <w:pStyle w:val="33"/>
        <w:rPr>
          <w:rFonts w:hint="eastAsia" w:ascii="仿宋" w:hAnsi="仿宋" w:eastAsia="仿宋" w:cs="仿宋"/>
          <w:color w:val="000000" w:themeColor="text1"/>
          <w:sz w:val="52"/>
          <w:szCs w:val="52"/>
          <w14:textFill>
            <w14:solidFill>
              <w14:schemeClr w14:val="tx1"/>
            </w14:solidFill>
          </w14:textFill>
        </w:rPr>
      </w:pPr>
    </w:p>
    <w:p w14:paraId="1B055339">
      <w:pPr>
        <w:pStyle w:val="25"/>
        <w:spacing w:line="360" w:lineRule="auto"/>
        <w:rPr>
          <w:rFonts w:hint="eastAsia" w:ascii="仿宋" w:hAnsi="仿宋" w:eastAsia="仿宋" w:cs="仿宋"/>
          <w:color w:val="000000" w:themeColor="text1"/>
          <w14:textFill>
            <w14:solidFill>
              <w14:schemeClr w14:val="tx1"/>
            </w14:solidFill>
          </w14:textFill>
        </w:rPr>
      </w:pPr>
    </w:p>
    <w:p w14:paraId="4F1FBDFD">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招 标 文 件</w:t>
      </w:r>
    </w:p>
    <w:p w14:paraId="45360F42">
      <w:pPr>
        <w:spacing w:line="360" w:lineRule="auto"/>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采购项目编号：</w:t>
      </w:r>
      <w:r>
        <w:rPr>
          <w:rFonts w:hint="eastAsia" w:ascii="仿宋" w:hAnsi="仿宋" w:eastAsia="仿宋" w:cs="仿宋"/>
          <w:b/>
          <w:color w:val="000000" w:themeColor="text1"/>
          <w:sz w:val="32"/>
          <w:szCs w:val="32"/>
          <w:lang w:eastAsia="zh-CN"/>
          <w14:textFill>
            <w14:solidFill>
              <w14:schemeClr w14:val="tx1"/>
            </w14:solidFill>
          </w14:textFill>
        </w:rPr>
        <w:t>SZT2025-SN-XC-ZC-HW-0303</w:t>
      </w:r>
    </w:p>
    <w:p w14:paraId="6BDBA3B4">
      <w:pPr>
        <w:tabs>
          <w:tab w:val="left" w:pos="7410"/>
        </w:tabs>
        <w:spacing w:line="360" w:lineRule="auto"/>
        <w:rPr>
          <w:rFonts w:hint="eastAsia" w:ascii="仿宋" w:hAnsi="仿宋" w:eastAsia="仿宋" w:cs="仿宋"/>
          <w:color w:val="000000" w:themeColor="text1"/>
          <w:sz w:val="32"/>
          <w14:textFill>
            <w14:solidFill>
              <w14:schemeClr w14:val="tx1"/>
            </w14:solidFill>
          </w14:textFill>
        </w:rPr>
      </w:pPr>
    </w:p>
    <w:p w14:paraId="60A2D023">
      <w:pPr>
        <w:tabs>
          <w:tab w:val="left" w:pos="7410"/>
        </w:tabs>
        <w:spacing w:line="360" w:lineRule="auto"/>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ab/>
      </w:r>
    </w:p>
    <w:p w14:paraId="64CAE93B">
      <w:pPr>
        <w:pStyle w:val="25"/>
        <w:rPr>
          <w:rFonts w:hint="eastAsia" w:ascii="仿宋" w:hAnsi="仿宋" w:eastAsia="仿宋" w:cs="仿宋"/>
          <w:color w:val="000000" w:themeColor="text1"/>
          <w:sz w:val="32"/>
          <w14:textFill>
            <w14:solidFill>
              <w14:schemeClr w14:val="tx1"/>
            </w14:solidFill>
          </w14:textFill>
        </w:rPr>
      </w:pPr>
    </w:p>
    <w:p w14:paraId="4D9E724A">
      <w:pPr>
        <w:pStyle w:val="25"/>
        <w:rPr>
          <w:rFonts w:hint="eastAsia" w:ascii="仿宋" w:hAnsi="仿宋" w:eastAsia="仿宋" w:cs="仿宋"/>
          <w:color w:val="000000" w:themeColor="text1"/>
          <w:sz w:val="32"/>
          <w14:textFill>
            <w14:solidFill>
              <w14:schemeClr w14:val="tx1"/>
            </w14:solidFill>
          </w14:textFill>
        </w:rPr>
      </w:pPr>
    </w:p>
    <w:p w14:paraId="68420173">
      <w:pPr>
        <w:pStyle w:val="25"/>
        <w:rPr>
          <w:rFonts w:hint="eastAsia" w:ascii="仿宋" w:hAnsi="仿宋" w:eastAsia="仿宋" w:cs="仿宋"/>
          <w:color w:val="000000" w:themeColor="text1"/>
          <w:sz w:val="32"/>
          <w14:textFill>
            <w14:solidFill>
              <w14:schemeClr w14:val="tx1"/>
            </w14:solidFill>
          </w14:textFill>
        </w:rPr>
      </w:pPr>
    </w:p>
    <w:p w14:paraId="4ADEA113">
      <w:pPr>
        <w:pStyle w:val="39"/>
        <w:spacing w:line="360" w:lineRule="auto"/>
        <w:ind w:firstLine="0"/>
        <w:rPr>
          <w:rFonts w:hint="eastAsia" w:ascii="仿宋" w:hAnsi="仿宋" w:eastAsia="仿宋" w:cs="仿宋"/>
          <w:color w:val="000000" w:themeColor="text1"/>
          <w14:textFill>
            <w14:solidFill>
              <w14:schemeClr w14:val="tx1"/>
            </w14:solidFill>
          </w14:textFill>
        </w:rPr>
      </w:pPr>
    </w:p>
    <w:p w14:paraId="31EC6D8D">
      <w:pPr>
        <w:spacing w:line="360" w:lineRule="auto"/>
        <w:ind w:firstLine="1641" w:firstLineChars="545"/>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采   购   人：</w:t>
      </w:r>
      <w:r>
        <w:rPr>
          <w:rFonts w:hint="eastAsia" w:ascii="仿宋" w:hAnsi="仿宋" w:eastAsia="仿宋" w:cs="仿宋"/>
          <w:b/>
          <w:color w:val="000000" w:themeColor="text1"/>
          <w:sz w:val="30"/>
          <w:szCs w:val="30"/>
          <w:u w:val="single"/>
          <w14:textFill>
            <w14:solidFill>
              <w14:schemeClr w14:val="tx1"/>
            </w14:solidFill>
          </w14:textFill>
        </w:rPr>
        <w:t xml:space="preserve">   </w:t>
      </w:r>
      <w:r>
        <w:rPr>
          <w:rFonts w:hint="eastAsia" w:ascii="仿宋" w:hAnsi="仿宋" w:eastAsia="仿宋" w:cs="仿宋"/>
          <w:b/>
          <w:color w:val="000000" w:themeColor="text1"/>
          <w:sz w:val="30"/>
          <w:szCs w:val="30"/>
          <w:u w:val="single"/>
          <w:lang w:eastAsia="zh-CN"/>
          <w14:textFill>
            <w14:solidFill>
              <w14:schemeClr w14:val="tx1"/>
            </w14:solidFill>
          </w14:textFill>
        </w:rPr>
        <w:t>商洛市药品检验所</w:t>
      </w:r>
      <w:r>
        <w:rPr>
          <w:rFonts w:hint="eastAsia" w:ascii="仿宋" w:hAnsi="仿宋" w:eastAsia="仿宋" w:cs="仿宋"/>
          <w:b/>
          <w:color w:val="000000" w:themeColor="text1"/>
          <w:sz w:val="30"/>
          <w:szCs w:val="30"/>
          <w:u w:val="single"/>
          <w14:textFill>
            <w14:solidFill>
              <w14:schemeClr w14:val="tx1"/>
            </w14:solidFill>
          </w14:textFill>
        </w:rPr>
        <w:t xml:space="preserve">     </w:t>
      </w:r>
    </w:p>
    <w:p w14:paraId="5CFEB822">
      <w:pPr>
        <w:spacing w:line="360" w:lineRule="auto"/>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           采购代理机构：</w:t>
      </w:r>
      <w:r>
        <w:rPr>
          <w:rFonts w:hint="eastAsia" w:ascii="仿宋" w:hAnsi="仿宋" w:eastAsia="仿宋" w:cs="仿宋"/>
          <w:b/>
          <w:color w:val="000000" w:themeColor="text1"/>
          <w:sz w:val="30"/>
          <w:szCs w:val="30"/>
          <w:u w:val="single"/>
          <w14:textFill>
            <w14:solidFill>
              <w14:schemeClr w14:val="tx1"/>
            </w14:solidFill>
          </w14:textFill>
        </w:rPr>
        <w:t xml:space="preserve"> 陕西中技招标有限公司 </w:t>
      </w:r>
    </w:p>
    <w:p w14:paraId="76A7250D">
      <w:pPr>
        <w:pStyle w:val="25"/>
        <w:spacing w:line="360" w:lineRule="auto"/>
        <w:rPr>
          <w:rFonts w:hint="eastAsia" w:ascii="仿宋" w:hAnsi="仿宋" w:eastAsia="仿宋" w:cs="仿宋"/>
          <w:b/>
          <w:color w:val="000000" w:themeColor="text1"/>
          <w:sz w:val="30"/>
          <w:szCs w:val="30"/>
          <w:u w:val="single"/>
          <w14:textFill>
            <w14:solidFill>
              <w14:schemeClr w14:val="tx1"/>
            </w14:solidFill>
          </w14:textFill>
        </w:rPr>
      </w:pPr>
    </w:p>
    <w:p w14:paraId="793D278E">
      <w:pPr>
        <w:spacing w:line="360" w:lineRule="auto"/>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二零二五</w:t>
      </w:r>
      <w:r>
        <w:rPr>
          <w:rFonts w:hint="eastAsia" w:ascii="仿宋" w:hAnsi="仿宋" w:eastAsia="仿宋" w:cs="仿宋"/>
          <w:b/>
          <w:color w:val="000000" w:themeColor="text1"/>
          <w:sz w:val="30"/>
          <w:szCs w:val="30"/>
          <w14:textFill>
            <w14:solidFill>
              <w14:schemeClr w14:val="tx1"/>
            </w14:solidFill>
          </w14:textFill>
        </w:rPr>
        <w:t>年</w:t>
      </w:r>
      <w:r>
        <w:rPr>
          <w:rFonts w:hint="eastAsia" w:ascii="仿宋" w:hAnsi="仿宋" w:eastAsia="仿宋" w:cs="仿宋"/>
          <w:b/>
          <w:color w:val="000000" w:themeColor="text1"/>
          <w:sz w:val="30"/>
          <w:szCs w:val="30"/>
          <w:lang w:val="en-US"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月</w:t>
      </w:r>
    </w:p>
    <w:p w14:paraId="39D0DE68">
      <w:pPr>
        <w:spacing w:line="360" w:lineRule="auto"/>
        <w:jc w:val="center"/>
        <w:rPr>
          <w:rFonts w:hint="eastAsia" w:ascii="仿宋" w:hAnsi="仿宋" w:eastAsia="仿宋" w:cs="仿宋"/>
          <w:b/>
          <w:bCs/>
          <w:color w:val="000000" w:themeColor="text1"/>
          <w:sz w:val="44"/>
          <w14:textFill>
            <w14:solidFill>
              <w14:schemeClr w14:val="tx1"/>
            </w14:solidFill>
          </w14:textFill>
        </w:rPr>
        <w:sectPr>
          <w:headerReference r:id="rId3" w:type="default"/>
          <w:pgSz w:w="11906" w:h="16838"/>
          <w:pgMar w:top="1440" w:right="1423" w:bottom="1219" w:left="1644" w:header="720" w:footer="720" w:gutter="0"/>
          <w:pgNumType w:start="1"/>
          <w:cols w:space="720" w:num="1"/>
          <w:docGrid w:linePitch="312" w:charSpace="0"/>
        </w:sectPr>
      </w:pPr>
    </w:p>
    <w:p w14:paraId="024AE693">
      <w:pPr>
        <w:spacing w:line="360" w:lineRule="auto"/>
        <w:jc w:val="center"/>
        <w:rPr>
          <w:rFonts w:hint="eastAsia" w:ascii="仿宋" w:hAnsi="仿宋" w:eastAsia="仿宋" w:cs="仿宋"/>
          <w:b/>
          <w:bCs/>
          <w:color w:val="000000" w:themeColor="text1"/>
          <w:sz w:val="44"/>
          <w14:textFill>
            <w14:solidFill>
              <w14:schemeClr w14:val="tx1"/>
            </w14:solidFill>
          </w14:textFill>
        </w:rPr>
      </w:pPr>
      <w:r>
        <w:rPr>
          <w:rFonts w:hint="eastAsia" w:ascii="仿宋" w:hAnsi="仿宋" w:eastAsia="仿宋" w:cs="仿宋"/>
          <w:b/>
          <w:bCs/>
          <w:color w:val="000000" w:themeColor="text1"/>
          <w:sz w:val="44"/>
          <w14:textFill>
            <w14:solidFill>
              <w14:schemeClr w14:val="tx1"/>
            </w14:solidFill>
          </w14:textFill>
        </w:rPr>
        <w:t>目  录</w:t>
      </w:r>
    </w:p>
    <w:p w14:paraId="588EA028">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bookmarkStart w:id="0" w:name="_Toc193702467"/>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TOC \o "1-3" \h \z \u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_Toc2308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第一部分  招标公告</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_Toc2308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C375EC4">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_Toc10801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 xml:space="preserve">第二部分  </w:t>
      </w:r>
      <w:r>
        <w:rPr>
          <w:rFonts w:hint="eastAsia" w:ascii="仿宋" w:hAnsi="仿宋" w:eastAsia="仿宋" w:cs="仿宋"/>
          <w:i w:val="0"/>
          <w:iCs w:val="0"/>
          <w:color w:val="000000" w:themeColor="text1"/>
          <w:sz w:val="24"/>
          <w:szCs w:val="24"/>
          <w:lang w:eastAsia="zh-CN"/>
          <w14:textFill>
            <w14:solidFill>
              <w14:schemeClr w14:val="tx1"/>
            </w14:solidFill>
          </w14:textFill>
        </w:rPr>
        <w:t>投标人</w:t>
      </w:r>
      <w:r>
        <w:rPr>
          <w:rFonts w:hint="eastAsia" w:ascii="仿宋" w:hAnsi="仿宋" w:eastAsia="仿宋" w:cs="仿宋"/>
          <w:i w:val="0"/>
          <w:iCs w:val="0"/>
          <w:color w:val="000000" w:themeColor="text1"/>
          <w:sz w:val="24"/>
          <w:szCs w:val="24"/>
          <w14:textFill>
            <w14:solidFill>
              <w14:schemeClr w14:val="tx1"/>
            </w14:solidFill>
          </w14:textFill>
        </w:rPr>
        <w:t>须知前附表</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_Toc10801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7</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248142F5">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_Toc10462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 xml:space="preserve">第三部分  </w:t>
      </w:r>
      <w:r>
        <w:rPr>
          <w:rFonts w:hint="eastAsia" w:ascii="仿宋" w:hAnsi="仿宋" w:eastAsia="仿宋" w:cs="仿宋"/>
          <w:i w:val="0"/>
          <w:iCs w:val="0"/>
          <w:color w:val="000000" w:themeColor="text1"/>
          <w:sz w:val="24"/>
          <w:szCs w:val="24"/>
          <w:lang w:eastAsia="zh-CN"/>
          <w14:textFill>
            <w14:solidFill>
              <w14:schemeClr w14:val="tx1"/>
            </w14:solidFill>
          </w14:textFill>
        </w:rPr>
        <w:t>投标人</w:t>
      </w:r>
      <w:r>
        <w:rPr>
          <w:rFonts w:hint="eastAsia" w:ascii="仿宋" w:hAnsi="仿宋" w:eastAsia="仿宋" w:cs="仿宋"/>
          <w:i w:val="0"/>
          <w:iCs w:val="0"/>
          <w:color w:val="000000" w:themeColor="text1"/>
          <w:sz w:val="24"/>
          <w:szCs w:val="24"/>
          <w14:textFill>
            <w14:solidFill>
              <w14:schemeClr w14:val="tx1"/>
            </w14:solidFill>
          </w14:textFill>
        </w:rPr>
        <w:t>须知</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_Toc10462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36FEEC85">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_Toc4067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A 总则</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_Toc4067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4A142EB">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_Toc21664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 适用范围</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_Toc21664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1212A32C">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_Toc28726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 定义</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_Toc28726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DFA3429">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_Toc6787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3 合格的</w:t>
      </w:r>
      <w:r>
        <w:rPr>
          <w:rFonts w:hint="eastAsia" w:ascii="仿宋" w:hAnsi="仿宋" w:eastAsia="仿宋" w:cs="仿宋"/>
          <w:i w:val="0"/>
          <w:iCs w:val="0"/>
          <w:color w:val="000000" w:themeColor="text1"/>
          <w:sz w:val="24"/>
          <w:szCs w:val="24"/>
          <w:lang w:eastAsia="zh-CN"/>
          <w14:textFill>
            <w14:solidFill>
              <w14:schemeClr w14:val="tx1"/>
            </w14:solidFill>
          </w14:textFill>
        </w:rPr>
        <w:t>投标人</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_Toc6787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F96C268">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_Toc13606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4 费用</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_Toc13606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13</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B7AABD0">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_Toc9867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B 招标文件说明</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_Toc9867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13</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A17BC97">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_Toc9373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5 招标文件的构成</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_Toc9373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13</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7DC41B5">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_Toc12566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6 招标文件的澄清</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_Toc12566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4AC11DC1">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_Toc16208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7 招标文件的修改</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_Toc16208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135E3C27">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_Toc25251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C 投标文件的编写</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_Toc25251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BB9271C">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_Toc5083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8 投标文件语言</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_Toc5083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3104716">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_Toc24334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9 计量单位</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_Toc24334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2299BADC">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_Toc3985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10 投标文件的组成</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_Toc3985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581A9E5">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_Toc31651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11 投标文件格式</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_Toc31651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15</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7CF1B1C2">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_Toc25292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12 投标报价</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_Toc25292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15</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46C0AE1">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_Toc32422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13 投标货币</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_Toc32422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15</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2D4017A">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_Toc31942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14 证明</w:t>
      </w:r>
      <w:r>
        <w:rPr>
          <w:rFonts w:hint="eastAsia" w:ascii="仿宋" w:hAnsi="仿宋" w:eastAsia="仿宋" w:cs="仿宋"/>
          <w:i w:val="0"/>
          <w:iCs w:val="0"/>
          <w:color w:val="000000" w:themeColor="text1"/>
          <w:sz w:val="24"/>
          <w:szCs w:val="24"/>
          <w:lang w:eastAsia="zh-CN"/>
          <w14:textFill>
            <w14:solidFill>
              <w14:schemeClr w14:val="tx1"/>
            </w14:solidFill>
          </w14:textFill>
        </w:rPr>
        <w:t>投标人</w:t>
      </w:r>
      <w:r>
        <w:rPr>
          <w:rFonts w:hint="eastAsia" w:ascii="仿宋" w:hAnsi="仿宋" w:eastAsia="仿宋" w:cs="仿宋"/>
          <w:i w:val="0"/>
          <w:iCs w:val="0"/>
          <w:color w:val="000000" w:themeColor="text1"/>
          <w:sz w:val="24"/>
          <w:szCs w:val="24"/>
          <w14:textFill>
            <w14:solidFill>
              <w14:schemeClr w14:val="tx1"/>
            </w14:solidFill>
          </w14:textFill>
        </w:rPr>
        <w:t>资格的证明文件</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_Toc31942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16</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3F70D9D3">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_Toc31817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15 证明产品的合格性和符合招标文件规定的文件</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_Toc31817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16</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7954890C">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_Toc840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16 投标保证金</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_Toc840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16</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7BE56A11">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_Toc17446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17 投标有效期</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_Toc17446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16</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1F2D390">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_Toc3241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 投标文件的签署及格式</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_Toc3241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17</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652E6C7">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_Toc11192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D 投标文件的递交</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_Toc11192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17</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23665F56">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_Toc22264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19 投标文件的包装和标记</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_Toc22264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17</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4C6FE8D5">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_Toc9573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20 投标截止时间</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_Toc9573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CAD1051">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_Toc19781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E 投标和评标</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_Toc19781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477FA845">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_Toc20763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 投标</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_Toc20763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1102FB3E">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_Toc29799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22 评标委员会</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_Toc29799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43A0A46">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_Toc23180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23 对</w:t>
      </w:r>
      <w:r>
        <w:rPr>
          <w:rFonts w:hint="eastAsia" w:ascii="仿宋" w:hAnsi="仿宋" w:eastAsia="仿宋" w:cs="仿宋"/>
          <w:i w:val="0"/>
          <w:iCs w:val="0"/>
          <w:color w:val="000000" w:themeColor="text1"/>
          <w:sz w:val="24"/>
          <w:szCs w:val="24"/>
          <w:lang w:eastAsia="zh-CN"/>
          <w14:textFill>
            <w14:solidFill>
              <w14:schemeClr w14:val="tx1"/>
            </w14:solidFill>
          </w14:textFill>
        </w:rPr>
        <w:t>投标人</w:t>
      </w:r>
      <w:r>
        <w:rPr>
          <w:rFonts w:hint="eastAsia" w:ascii="仿宋" w:hAnsi="仿宋" w:eastAsia="仿宋" w:cs="仿宋"/>
          <w:i w:val="0"/>
          <w:iCs w:val="0"/>
          <w:color w:val="000000" w:themeColor="text1"/>
          <w:sz w:val="24"/>
          <w:szCs w:val="24"/>
          <w14:textFill>
            <w14:solidFill>
              <w14:schemeClr w14:val="tx1"/>
            </w14:solidFill>
          </w14:textFill>
        </w:rPr>
        <w:t>资格性的审查</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_Toc23180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79DACEE">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_Toc25262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24 投标文件的评估和比较</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_Toc25262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2C7B5B0A">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_Toc23179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25 评标原则及主要方法</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_Toc23179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19</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4CD487E9">
      <w:pPr>
        <w:pStyle w:val="31"/>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_Toc16988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F 授予合同</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_Toc16988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2A904A2">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_Toc23580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26 中标</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_Toc23580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73AABA00">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_Toc7406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27 中标通知</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_Toc7406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2C44BC5">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_Toc27443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28 签订合同</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_Toc27443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2AE9DA83">
      <w:pPr>
        <w:pStyle w:val="19"/>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_Toc23912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29 招标代理服务费</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_Toc23912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21</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703B58EF">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_Toc563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第四部分 合同格式</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_Toc563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23</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18DEC2F5">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_Toc10818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第五部分  附件--投标文件（格式）</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_Toc10818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28</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004FFDB5">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_Toc3185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第六部分  评标方法</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_Toc3185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49</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543FF9CC">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_Toc13819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第七部分 采购内容及要求</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_Toc13819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52</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111023D3">
      <w:pPr>
        <w:pStyle w:val="27"/>
        <w:tabs>
          <w:tab w:val="right" w:leader="dot" w:pos="8839"/>
        </w:tabs>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HYPERLINK \l _Toc26312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第八部分 需要落实的政府采购政策</w:t>
      </w:r>
      <w:r>
        <w:rPr>
          <w:rFonts w:hint="eastAsia" w:ascii="仿宋" w:hAnsi="仿宋" w:eastAsia="仿宋" w:cs="仿宋"/>
          <w:i w:val="0"/>
          <w:iCs w:val="0"/>
          <w:color w:val="000000" w:themeColor="text1"/>
          <w:sz w:val="24"/>
          <w:szCs w:val="24"/>
          <w14:textFill>
            <w14:solidFill>
              <w14:schemeClr w14:val="tx1"/>
            </w14:solidFill>
          </w14:textFill>
        </w:rPr>
        <w:tab/>
      </w:r>
      <w:r>
        <w:rPr>
          <w:rFonts w:hint="eastAsia" w:ascii="仿宋" w:hAnsi="仿宋" w:eastAsia="仿宋" w:cs="仿宋"/>
          <w:i w:val="0"/>
          <w:iCs w:val="0"/>
          <w:color w:val="000000" w:themeColor="text1"/>
          <w:sz w:val="24"/>
          <w:szCs w:val="24"/>
          <w14:textFill>
            <w14:solidFill>
              <w14:schemeClr w14:val="tx1"/>
            </w14:solidFill>
          </w14:textFill>
        </w:rPr>
        <w:fldChar w:fldCharType="begin"/>
      </w:r>
      <w:r>
        <w:rPr>
          <w:rFonts w:hint="eastAsia" w:ascii="仿宋" w:hAnsi="仿宋" w:eastAsia="仿宋" w:cs="仿宋"/>
          <w:i w:val="0"/>
          <w:iCs w:val="0"/>
          <w:color w:val="000000" w:themeColor="text1"/>
          <w:sz w:val="24"/>
          <w:szCs w:val="24"/>
          <w14:textFill>
            <w14:solidFill>
              <w14:schemeClr w14:val="tx1"/>
            </w14:solidFill>
          </w14:textFill>
        </w:rPr>
        <w:instrText xml:space="preserve"> PAGEREF _Toc26312 \h </w:instrText>
      </w:r>
      <w:r>
        <w:rPr>
          <w:rFonts w:hint="eastAsia" w:ascii="仿宋" w:hAnsi="仿宋" w:eastAsia="仿宋" w:cs="仿宋"/>
          <w:i w:val="0"/>
          <w:iCs w:val="0"/>
          <w:color w:val="000000" w:themeColor="text1"/>
          <w:sz w:val="24"/>
          <w:szCs w:val="24"/>
          <w14:textFill>
            <w14:solidFill>
              <w14:schemeClr w14:val="tx1"/>
            </w14:solidFill>
          </w14:textFill>
        </w:rPr>
        <w:fldChar w:fldCharType="separate"/>
      </w:r>
      <w:r>
        <w:rPr>
          <w:rFonts w:hint="eastAsia" w:ascii="仿宋" w:hAnsi="仿宋" w:eastAsia="仿宋" w:cs="仿宋"/>
          <w:i w:val="0"/>
          <w:iCs w:val="0"/>
          <w:color w:val="000000" w:themeColor="text1"/>
          <w:sz w:val="24"/>
          <w:szCs w:val="24"/>
          <w14:textFill>
            <w14:solidFill>
              <w14:schemeClr w14:val="tx1"/>
            </w14:solidFill>
          </w14:textFill>
        </w:rPr>
        <w:t>64</w:t>
      </w:r>
      <w:r>
        <w:rPr>
          <w:rFonts w:hint="eastAsia" w:ascii="仿宋" w:hAnsi="仿宋" w:eastAsia="仿宋" w:cs="仿宋"/>
          <w:i w:val="0"/>
          <w:iCs w:val="0"/>
          <w:color w:val="000000" w:themeColor="text1"/>
          <w:sz w:val="24"/>
          <w:szCs w:val="24"/>
          <w14:textFill>
            <w14:solidFill>
              <w14:schemeClr w14:val="tx1"/>
            </w14:solidFill>
          </w14:textFill>
        </w:rPr>
        <w:fldChar w:fldCharType="end"/>
      </w: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4CC7D62">
      <w:pPr>
        <w:spacing w:line="360" w:lineRule="auto"/>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fldChar w:fldCharType="end"/>
      </w:r>
    </w:p>
    <w:p w14:paraId="60419728">
      <w:pPr>
        <w:pStyle w:val="2"/>
        <w:spacing w:before="0" w:after="120" w:line="360" w:lineRule="auto"/>
        <w:ind w:firstLine="221" w:firstLineChars="50"/>
        <w:jc w:val="center"/>
        <w:rPr>
          <w:rFonts w:hint="eastAsia" w:ascii="仿宋" w:hAnsi="仿宋" w:eastAsia="仿宋" w:cs="仿宋"/>
          <w:color w:val="000000" w:themeColor="text1"/>
          <w14:textFill>
            <w14:solidFill>
              <w14:schemeClr w14:val="tx1"/>
            </w14:solidFill>
          </w14:textFill>
        </w:rPr>
      </w:pPr>
      <w:bookmarkStart w:id="1" w:name="_Toc17601"/>
      <w:bookmarkStart w:id="2" w:name="_Toc20489"/>
      <w:bookmarkStart w:id="3" w:name="_Toc2308"/>
      <w:bookmarkStart w:id="4" w:name="_Toc15421"/>
      <w:bookmarkStart w:id="5" w:name="_Toc15277"/>
      <w:bookmarkStart w:id="6" w:name="_Toc233435913"/>
      <w:bookmarkStart w:id="7" w:name="_Toc8737"/>
      <w:bookmarkStart w:id="8" w:name="_Toc3538"/>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14:textFill>
            <w14:solidFill>
              <w14:schemeClr w14:val="tx1"/>
            </w14:solidFill>
          </w14:textFill>
        </w:rPr>
        <w:t>第一部分</w:t>
      </w:r>
      <w:bookmarkEnd w:id="0"/>
      <w:r>
        <w:rPr>
          <w:rFonts w:hint="eastAsia" w:ascii="仿宋" w:hAnsi="仿宋" w:eastAsia="仿宋" w:cs="仿宋"/>
          <w:color w:val="000000" w:themeColor="text1"/>
          <w14:textFill>
            <w14:solidFill>
              <w14:schemeClr w14:val="tx1"/>
            </w14:solidFill>
          </w14:textFill>
        </w:rPr>
        <w:t xml:space="preserve">  招标公告</w:t>
      </w:r>
      <w:bookmarkEnd w:id="1"/>
      <w:bookmarkEnd w:id="2"/>
      <w:bookmarkEnd w:id="3"/>
      <w:bookmarkEnd w:id="4"/>
      <w:bookmarkEnd w:id="5"/>
      <w:bookmarkEnd w:id="6"/>
      <w:bookmarkEnd w:id="7"/>
      <w:bookmarkEnd w:id="8"/>
    </w:p>
    <w:p w14:paraId="242621CB">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5"/>
        <w:rPr>
          <w:rFonts w:hint="eastAsia" w:ascii="仿宋" w:hAnsi="仿宋" w:eastAsia="仿宋" w:cs="仿宋"/>
          <w:sz w:val="24"/>
          <w:szCs w:val="24"/>
        </w:rPr>
      </w:pPr>
      <w:bookmarkStart w:id="9" w:name="_Toc233435915"/>
      <w:r>
        <w:rPr>
          <w:rFonts w:hint="eastAsia" w:ascii="仿宋" w:hAnsi="仿宋" w:eastAsia="仿宋" w:cs="仿宋"/>
          <w:b/>
          <w:sz w:val="24"/>
          <w:szCs w:val="24"/>
        </w:rPr>
        <w:t>项目概况</w:t>
      </w:r>
    </w:p>
    <w:p w14:paraId="1ED913C9">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仪器设备购置项目招标项目的潜在投标人应在西安市高新区高新四路1号高科广场A座10楼1001室获取招标文件，并于 2025年06月04日 09时30分 （北京时间）前递交投标文件。</w:t>
      </w:r>
    </w:p>
    <w:p w14:paraId="7A313C26">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2C10A0F6">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项目编号：SZT2025-SN-XC-ZC-HW-0303</w:t>
      </w:r>
    </w:p>
    <w:p w14:paraId="32FAFFC1">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项目名称：仪器设备购置项目</w:t>
      </w:r>
    </w:p>
    <w:p w14:paraId="5EFD5EB0">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采购方式：公开招标</w:t>
      </w:r>
    </w:p>
    <w:p w14:paraId="49B7831E">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预算金额：1,125,000.00元</w:t>
      </w:r>
    </w:p>
    <w:p w14:paraId="3AD4C26A">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2DD7BA89">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合同包1(仪器设备购置项目):</w:t>
      </w:r>
    </w:p>
    <w:p w14:paraId="04D20464">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合同包预算金额：1,125,000.00元</w:t>
      </w:r>
    </w:p>
    <w:p w14:paraId="5B18E16E">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合同包最高限价：1,125,000.00元</w:t>
      </w:r>
    </w:p>
    <w:tbl>
      <w:tblPr>
        <w:tblStyle w:val="4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0"/>
        <w:gridCol w:w="750"/>
        <w:gridCol w:w="1453"/>
        <w:gridCol w:w="1060"/>
        <w:gridCol w:w="1509"/>
        <w:gridCol w:w="1660"/>
        <w:gridCol w:w="1713"/>
      </w:tblGrid>
      <w:tr w14:paraId="26701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dxa"/>
          </w:tcPr>
          <w:p w14:paraId="78B8D9DB">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750" w:type="dxa"/>
          </w:tcPr>
          <w:p w14:paraId="34DE30A1">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453" w:type="dxa"/>
          </w:tcPr>
          <w:p w14:paraId="3B427CBD">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060" w:type="dxa"/>
          </w:tcPr>
          <w:p w14:paraId="7A82BCF3">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数量</w:t>
            </w:r>
          </w:p>
          <w:p w14:paraId="3192156D">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1509" w:type="dxa"/>
          </w:tcPr>
          <w:p w14:paraId="2EF30F96">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660" w:type="dxa"/>
          </w:tcPr>
          <w:p w14:paraId="4910CAAF">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c>
          <w:tcPr>
            <w:tcW w:w="1713" w:type="dxa"/>
          </w:tcPr>
          <w:p w14:paraId="065ADFED">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最高限价(元)</w:t>
            </w:r>
          </w:p>
        </w:tc>
      </w:tr>
      <w:tr w14:paraId="17D16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dxa"/>
          </w:tcPr>
          <w:p w14:paraId="54B0F516">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750" w:type="dxa"/>
          </w:tcPr>
          <w:p w14:paraId="59267570">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其他仪器仪表</w:t>
            </w:r>
          </w:p>
        </w:tc>
        <w:tc>
          <w:tcPr>
            <w:tcW w:w="1453" w:type="dxa"/>
          </w:tcPr>
          <w:p w14:paraId="4B153DEE">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薄层色谱扫描仪等33套仪器设备</w:t>
            </w:r>
          </w:p>
        </w:tc>
        <w:tc>
          <w:tcPr>
            <w:tcW w:w="1060" w:type="dxa"/>
          </w:tcPr>
          <w:p w14:paraId="62C3D1FD">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33(台)</w:t>
            </w:r>
          </w:p>
        </w:tc>
        <w:tc>
          <w:tcPr>
            <w:tcW w:w="1509" w:type="dxa"/>
          </w:tcPr>
          <w:p w14:paraId="20012444">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660" w:type="dxa"/>
          </w:tcPr>
          <w:p w14:paraId="6D6E6C49">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1,125,000.00</w:t>
            </w:r>
          </w:p>
        </w:tc>
        <w:tc>
          <w:tcPr>
            <w:tcW w:w="1713" w:type="dxa"/>
          </w:tcPr>
          <w:p w14:paraId="6BA84F7B">
            <w:pPr>
              <w:pStyle w:val="21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1,125,000.00</w:t>
            </w:r>
          </w:p>
        </w:tc>
      </w:tr>
    </w:tbl>
    <w:p w14:paraId="32BCFB60">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6A999EA4">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合同履行期限：自合同签订生效之日起30个日历日内完成产品的供货、安装、调试并正常运行</w:t>
      </w:r>
    </w:p>
    <w:p w14:paraId="37209759">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549A67CD">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4F823EB9">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1DF41CC0">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合同包1(仪器设备购置项目)落实政府采购政策需满足的资格要求如下:</w:t>
      </w:r>
    </w:p>
    <w:p w14:paraId="2C22C2E7">
      <w:pPr>
        <w:pStyle w:val="214"/>
        <w:keepNext w:val="0"/>
        <w:keepLines w:val="0"/>
        <w:pageBreakBefore w:val="0"/>
        <w:kinsoku/>
        <w:wordWrap/>
        <w:overflowPunct/>
        <w:topLinePunct w:val="0"/>
        <w:autoSpaceDE/>
        <w:autoSpaceDN/>
        <w:bidi w:val="0"/>
        <w:adjustRightInd/>
        <w:snapToGrid/>
        <w:spacing w:line="360" w:lineRule="auto"/>
        <w:ind w:left="48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本项目专门面向中小企业采购，仅限符合《政府采购促进中小企业发展管理办法》（财库〔2020〕46 号）条件的中小微企业参与，供应商应填写中小企业声明函并对真实性负责（残疾人福利性单位及监狱企业视同为小型、微型企业）。</w:t>
      </w:r>
    </w:p>
    <w:p w14:paraId="71D968C8">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1A4D0CD">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合同包1(仪器设备购置项目)特定资格要求如下:</w:t>
      </w:r>
    </w:p>
    <w:p w14:paraId="71C5C6B8">
      <w:pPr>
        <w:pStyle w:val="214"/>
        <w:keepNext w:val="0"/>
        <w:keepLines w:val="0"/>
        <w:pageBreakBefore w:val="0"/>
        <w:kinsoku/>
        <w:wordWrap/>
        <w:overflowPunct/>
        <w:topLinePunct w:val="0"/>
        <w:autoSpaceDE/>
        <w:autoSpaceDN/>
        <w:bidi w:val="0"/>
        <w:adjustRightInd/>
        <w:snapToGrid/>
        <w:spacing w:line="360" w:lineRule="auto"/>
        <w:ind w:left="48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应授权合法的人员参加投标全过程，其中法定代表人直接参加投标的，须出具法定代表人身份证，并与营业执照上信息一致。法定代表人授权代表参加投标的，须出具法定代表人授权书及授权代表身份证。（其他组织或自然人参照执行）；</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（3）单位负责人为同一人或者存在直接控股、管理关系的不同投标人，不得参加同一合同项下的政府采购活动；</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（4）本项目不接受联合体投标。</w:t>
      </w:r>
    </w:p>
    <w:p w14:paraId="25DC8AD2">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三、获取招标文件</w:t>
      </w:r>
    </w:p>
    <w:p w14:paraId="039A134C">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 2025年05月12日 至 2025年05月19日 ，每天上午 08:30:00 至 12:00:00 ，下午 12:00:00 至 17:30:00 （北京时间）</w:t>
      </w:r>
    </w:p>
    <w:p w14:paraId="091816C5">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途径：西安市高新区高新四路1号高科广场A座10楼1001室</w:t>
      </w:r>
    </w:p>
    <w:p w14:paraId="71D23F4A">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方式：现场获取</w:t>
      </w:r>
    </w:p>
    <w:p w14:paraId="22CF9044">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 0元</w:t>
      </w:r>
    </w:p>
    <w:p w14:paraId="279A6C01">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四、提交投标文件截止时间、开标时间和地点</w:t>
      </w:r>
    </w:p>
    <w:p w14:paraId="339AF0A5">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 2025年06月04日 09时30分00秒 （北京时间）</w:t>
      </w:r>
    </w:p>
    <w:p w14:paraId="034E69FD">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提交投标文件地点：西安市高新区高新四路1号高科广场A座5楼0503第三会议室</w:t>
      </w:r>
    </w:p>
    <w:p w14:paraId="64C73D09">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开标地点：西安市高新区高新四路1号高科广场A座5楼0503第三会议室</w:t>
      </w:r>
    </w:p>
    <w:p w14:paraId="6CB64768">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五、公告期限</w:t>
      </w:r>
    </w:p>
    <w:p w14:paraId="00898587">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06713596">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六、其他补充事宜</w:t>
      </w:r>
    </w:p>
    <w:p w14:paraId="1D4383B2">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（1）财政部、工业和信息化部关于印发《政府采购促进中小企业发展管理办法》的通知-财库〔2020〕46号 （2）关于进一步加大政府采购支持中小企业力度的通知-财库〔2022〕19号 （3）财政部 司法部关于政府采购支持监狱企业发展有关问题的通知-财库〔2014〕68号 （4）财政部 民政部 中国残疾人联合会关于促进残疾人就业政府采购政策的通知-财库〔2017〕141号 （5）财政部 国家发展和改革委员会关于印发《节能产品政府采购实施意见》的通知-财库〔2004〕185号 （6）财政部发展改革委关于印发节能产品政府采购品目清单的通知 -财库〔2019〕19号 （7）财政部、国家环保总局联合印发《关于环境标志产品政府采购实施的意见》-财库〔2006〕90号 （8）关于调整优化节能产品、环境标志产品政府采购执行机制的通知-财库〔2019〕9号 （9）财政部生态环境部关于印发环境标志产品政府采购品目清单的通知-财库〔2019〕18号 （10）财政部 农业农村部 国家乡村振兴局关于运用政府采购政策支持乡村产业振兴的通知-财库〔2021〕19号 （11）财政部、农业农村部、国家乡村振兴局、中华全国供销合作总社关于印发《关于深入开展政府采购脱贫地区农副产品工作推进乡村产业振兴的实施意见》的通知-财库〔2021〕20号 （12）陕西省财政厅关于落实政府采购支持中小企业政策有关事项的通知-陕财办采函〔2022〕10号 （13）陕西省财政厅关于进一步加强政府绿色采购有关问题的通知-陕财办采〔2021〕29号 （14）陕西省财政厅关于印发《陕西省中小企业政府采购信用融资办法》-陕财办采〔2018〕23号 （15）陕西省财政厅关于加快推进我省中小企业政府采购信用融资工作的通知-陕财办采〔2020〕15号 （16）陕西省财政厅中国人民银行西安分行关于深入推进政府采购信用融资业务的通知-陕财办采〔2023〕5号</w:t>
      </w:r>
    </w:p>
    <w:p w14:paraId="4F35680B">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七、对本次招标提出询问，请按以下方式联系。</w:t>
      </w:r>
    </w:p>
    <w:p w14:paraId="0A60EC16">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49DE2DD9">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名称：商洛市药品检验所</w:t>
      </w:r>
    </w:p>
    <w:p w14:paraId="557DE0DB">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地址：商州区州城路西段</w:t>
      </w:r>
    </w:p>
    <w:p w14:paraId="6743BE38">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联系方式：0914-2360916</w:t>
      </w:r>
    </w:p>
    <w:p w14:paraId="48485EB3">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7E811BDF">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名称：陕西中技招标有限公司</w:t>
      </w:r>
    </w:p>
    <w:p w14:paraId="3659C532">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地址：西安市高新区高新四路 1 号高科广场 A 座 10 楼 1001 会议室</w:t>
      </w:r>
    </w:p>
    <w:p w14:paraId="77743FDE">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联系方式：029-88364979-833</w:t>
      </w:r>
    </w:p>
    <w:p w14:paraId="62689DC9">
      <w:pPr>
        <w:pStyle w:val="214"/>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5C4041E1">
      <w:pPr>
        <w:pStyle w:val="21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项目联系人：张志翰、陈先德、马帅、李娜、单博</w:t>
      </w:r>
    </w:p>
    <w:p w14:paraId="2864BF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rPr>
        <w:t>电话：029-88364979-833</w:t>
      </w:r>
    </w:p>
    <w:p w14:paraId="5C7E5172">
      <w:pPr>
        <w:pStyle w:val="33"/>
        <w:ind w:firstLine="720" w:firstLineChars="300"/>
        <w:rPr>
          <w:rFonts w:hint="eastAsia" w:ascii="仿宋" w:hAnsi="仿宋" w:eastAsia="仿宋" w:cs="仿宋"/>
          <w:color w:val="000000" w:themeColor="text1"/>
          <w:u w:val="none"/>
          <w14:textFill>
            <w14:solidFill>
              <w14:schemeClr w14:val="tx1"/>
            </w14:solidFill>
          </w14:textFill>
        </w:rPr>
      </w:pPr>
    </w:p>
    <w:p w14:paraId="628D9BA6">
      <w:pPr>
        <w:pStyle w:val="2"/>
        <w:spacing w:before="0" w:after="120" w:line="360" w:lineRule="auto"/>
        <w:ind w:firstLine="221" w:firstLineChars="50"/>
        <w:jc w:val="center"/>
        <w:rPr>
          <w:rFonts w:hint="eastAsia" w:ascii="仿宋" w:hAnsi="仿宋" w:eastAsia="仿宋" w:cs="仿宋"/>
          <w:color w:val="000000" w:themeColor="text1"/>
          <w14:textFill>
            <w14:solidFill>
              <w14:schemeClr w14:val="tx1"/>
            </w14:solidFill>
          </w14:textFill>
        </w:rPr>
      </w:pPr>
      <w:bookmarkStart w:id="10" w:name="_Toc25322"/>
      <w:bookmarkStart w:id="11" w:name="_Toc11261"/>
      <w:bookmarkStart w:id="12" w:name="_Toc10801"/>
      <w:bookmarkStart w:id="13" w:name="_Toc10447"/>
      <w:bookmarkStart w:id="14" w:name="_Toc18962"/>
      <w:bookmarkStart w:id="15" w:name="_Toc6942"/>
      <w:bookmarkStart w:id="16" w:name="_Toc10547"/>
      <w:r>
        <w:rPr>
          <w:rFonts w:hint="eastAsia" w:ascii="仿宋" w:hAnsi="仿宋" w:eastAsia="仿宋" w:cs="仿宋"/>
          <w:color w:val="000000" w:themeColor="text1"/>
          <w14:textFill>
            <w14:solidFill>
              <w14:schemeClr w14:val="tx1"/>
            </w14:solidFill>
          </w14:textFill>
        </w:rPr>
        <w:t xml:space="preserve">第二部分  </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须知前附表</w:t>
      </w:r>
      <w:bookmarkEnd w:id="9"/>
      <w:bookmarkEnd w:id="10"/>
      <w:bookmarkEnd w:id="11"/>
      <w:bookmarkEnd w:id="12"/>
      <w:bookmarkEnd w:id="13"/>
      <w:bookmarkEnd w:id="14"/>
      <w:bookmarkEnd w:id="15"/>
      <w:bookmarkEnd w:id="16"/>
    </w:p>
    <w:tbl>
      <w:tblPr>
        <w:tblStyle w:val="40"/>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78"/>
        <w:gridCol w:w="6610"/>
      </w:tblGrid>
      <w:tr w14:paraId="21F9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23" w:type="pct"/>
            <w:noWrap w:val="0"/>
            <w:vAlign w:val="center"/>
          </w:tcPr>
          <w:p w14:paraId="0D81676B">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项号</w:t>
            </w:r>
          </w:p>
        </w:tc>
        <w:tc>
          <w:tcPr>
            <w:tcW w:w="882" w:type="pct"/>
            <w:noWrap w:val="0"/>
            <w:vAlign w:val="center"/>
          </w:tcPr>
          <w:p w14:paraId="20E5A42E">
            <w:pPr>
              <w:spacing w:line="360" w:lineRule="auto"/>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类别</w:t>
            </w:r>
          </w:p>
        </w:tc>
        <w:tc>
          <w:tcPr>
            <w:tcW w:w="3694" w:type="pct"/>
            <w:noWrap w:val="0"/>
            <w:vAlign w:val="center"/>
          </w:tcPr>
          <w:p w14:paraId="30771ECA">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编列内容</w:t>
            </w:r>
          </w:p>
        </w:tc>
      </w:tr>
      <w:tr w14:paraId="5734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3" w:type="pct"/>
            <w:noWrap w:val="0"/>
            <w:vAlign w:val="center"/>
          </w:tcPr>
          <w:p w14:paraId="6BC788AB">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3D621D01">
            <w:pPr>
              <w:spacing w:line="360" w:lineRule="auto"/>
              <w:ind w:leftChars="-9" w:hanging="19" w:hangingChars="8"/>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3694" w:type="pct"/>
            <w:noWrap w:val="0"/>
            <w:vAlign w:val="center"/>
          </w:tcPr>
          <w:p w14:paraId="77BA6E52">
            <w:pPr>
              <w:spacing w:line="360" w:lineRule="auto"/>
              <w:ind w:leftChars="-9" w:hanging="19" w:hangingChars="8"/>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仪器设备购置项目</w:t>
            </w:r>
          </w:p>
        </w:tc>
      </w:tr>
      <w:tr w14:paraId="7D4A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23" w:type="pct"/>
            <w:noWrap w:val="0"/>
            <w:vAlign w:val="center"/>
          </w:tcPr>
          <w:p w14:paraId="5ECB26C5">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1B754DEA">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w:t>
            </w:r>
            <w:r>
              <w:rPr>
                <w:rFonts w:hint="eastAsia" w:ascii="仿宋" w:hAnsi="仿宋" w:eastAsia="仿宋" w:cs="仿宋"/>
                <w:color w:val="000000" w:themeColor="text1"/>
                <w:sz w:val="24"/>
                <w:szCs w:val="24"/>
                <w:lang w:val="en-US"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采购代理机构</w:t>
            </w:r>
          </w:p>
        </w:tc>
        <w:tc>
          <w:tcPr>
            <w:tcW w:w="3694" w:type="pct"/>
            <w:noWrap w:val="0"/>
            <w:vAlign w:val="center"/>
          </w:tcPr>
          <w:p w14:paraId="299AB2F7">
            <w:pPr>
              <w:spacing w:line="360" w:lineRule="auto"/>
              <w:ind w:left="960" w:hanging="960" w:hangingChars="400"/>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w:t>
            </w:r>
            <w:r>
              <w:rPr>
                <w:rFonts w:hint="eastAsia" w:ascii="仿宋" w:hAnsi="仿宋" w:eastAsia="仿宋" w:cs="仿宋"/>
                <w:color w:val="000000" w:themeColor="text1"/>
                <w:sz w:val="24"/>
                <w:szCs w:val="24"/>
                <w:u w:val="single"/>
                <w:lang w:eastAsia="zh-CN"/>
                <w14:textFill>
                  <w14:solidFill>
                    <w14:schemeClr w14:val="tx1"/>
                  </w14:solidFill>
                </w14:textFill>
              </w:rPr>
              <w:t>商洛市药品检验所</w:t>
            </w:r>
          </w:p>
          <w:p w14:paraId="6F7963CD">
            <w:pPr>
              <w:spacing w:line="360" w:lineRule="auto"/>
              <w:ind w:left="960" w:hanging="960" w:hangingChars="4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w:t>
            </w:r>
            <w:r>
              <w:rPr>
                <w:rFonts w:hint="eastAsia" w:ascii="仿宋" w:hAnsi="仿宋" w:eastAsia="仿宋" w:cs="仿宋"/>
                <w:color w:val="000000" w:themeColor="text1"/>
                <w:sz w:val="24"/>
                <w:szCs w:val="24"/>
                <w:u w:val="single"/>
                <w14:textFill>
                  <w14:solidFill>
                    <w14:schemeClr w14:val="tx1"/>
                  </w14:solidFill>
                </w14:textFill>
              </w:rPr>
              <w:t>陕西中技招标有限公司</w:t>
            </w:r>
          </w:p>
        </w:tc>
      </w:tr>
      <w:tr w14:paraId="6E5E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23" w:type="pct"/>
            <w:noWrap w:val="0"/>
            <w:vAlign w:val="center"/>
          </w:tcPr>
          <w:p w14:paraId="4D4C90AA">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4D43F975">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采购内容及要求</w:t>
            </w:r>
          </w:p>
        </w:tc>
        <w:tc>
          <w:tcPr>
            <w:tcW w:w="3694" w:type="pct"/>
            <w:noWrap w:val="0"/>
            <w:vAlign w:val="center"/>
          </w:tcPr>
          <w:p w14:paraId="0F33DEB7">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详</w:t>
            </w:r>
            <w:r>
              <w:rPr>
                <w:rFonts w:hint="eastAsia" w:ascii="仿宋" w:hAnsi="仿宋" w:eastAsia="仿宋" w:cs="仿宋"/>
                <w:color w:val="000000" w:themeColor="text1"/>
                <w:sz w:val="24"/>
                <w:szCs w:val="24"/>
                <w14:textFill>
                  <w14:solidFill>
                    <w14:schemeClr w14:val="tx1"/>
                  </w14:solidFill>
                </w14:textFill>
              </w:rPr>
              <w:t>见招标文件第七部分。</w:t>
            </w:r>
          </w:p>
          <w:p w14:paraId="65360C7A">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本次招标、投标、评标和合同授予均以项目为单位，</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必须就一个完整项目进行响应，不完整的投标将被拒绝</w:t>
            </w:r>
          </w:p>
        </w:tc>
      </w:tr>
      <w:tr w14:paraId="4153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3" w:type="pct"/>
            <w:noWrap w:val="0"/>
            <w:vAlign w:val="center"/>
          </w:tcPr>
          <w:p w14:paraId="2E429F01">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2CD46D4F">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采购预算</w:t>
            </w:r>
          </w:p>
        </w:tc>
        <w:tc>
          <w:tcPr>
            <w:tcW w:w="3694" w:type="pct"/>
            <w:noWrap w:val="0"/>
            <w:vAlign w:val="center"/>
          </w:tcPr>
          <w:p w14:paraId="16EE111A">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112.5万元</w:t>
            </w:r>
          </w:p>
        </w:tc>
      </w:tr>
      <w:tr w14:paraId="73A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3" w:type="pct"/>
            <w:noWrap w:val="0"/>
            <w:vAlign w:val="center"/>
          </w:tcPr>
          <w:p w14:paraId="0A81B07D">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5D751FF6">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最高限价</w:t>
            </w:r>
          </w:p>
        </w:tc>
        <w:tc>
          <w:tcPr>
            <w:tcW w:w="3694" w:type="pct"/>
            <w:noWrap w:val="0"/>
            <w:vAlign w:val="center"/>
          </w:tcPr>
          <w:p w14:paraId="5BE4E731">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112.5万元</w:t>
            </w:r>
          </w:p>
        </w:tc>
      </w:tr>
      <w:tr w14:paraId="3F8E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23" w:type="pct"/>
            <w:noWrap w:val="0"/>
            <w:vAlign w:val="center"/>
          </w:tcPr>
          <w:p w14:paraId="110594C4">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2E81B179">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交货地点</w:t>
            </w:r>
          </w:p>
        </w:tc>
        <w:tc>
          <w:tcPr>
            <w:tcW w:w="3694" w:type="pct"/>
            <w:noWrap w:val="0"/>
            <w:vAlign w:val="center"/>
          </w:tcPr>
          <w:p w14:paraId="016080FD">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采购人指定地点</w:t>
            </w:r>
          </w:p>
        </w:tc>
      </w:tr>
      <w:tr w14:paraId="3922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23" w:type="pct"/>
            <w:noWrap w:val="0"/>
            <w:vAlign w:val="center"/>
          </w:tcPr>
          <w:p w14:paraId="3D05A7E4">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7AD22C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交货期</w:t>
            </w:r>
          </w:p>
        </w:tc>
        <w:tc>
          <w:tcPr>
            <w:tcW w:w="3694" w:type="pct"/>
            <w:noWrap w:val="0"/>
            <w:vAlign w:val="center"/>
          </w:tcPr>
          <w:p w14:paraId="19E5BA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自合同签订生效之日起30个日历日内完成产品的供货、安装、调试并正常运行</w:t>
            </w:r>
          </w:p>
        </w:tc>
      </w:tr>
      <w:tr w14:paraId="19D2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3" w:type="pct"/>
            <w:noWrap w:val="0"/>
            <w:vAlign w:val="center"/>
          </w:tcPr>
          <w:p w14:paraId="31F1DFBE">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2391874B">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w:t>
            </w:r>
          </w:p>
        </w:tc>
        <w:tc>
          <w:tcPr>
            <w:tcW w:w="3694" w:type="pct"/>
            <w:noWrap w:val="0"/>
            <w:vAlign w:val="center"/>
          </w:tcPr>
          <w:p w14:paraId="68714403">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产品质保期 3 年，质保期起始时间为终验合格之日。产品在质保期出现质量问题，投标人应负责三包（包修、包换、包退），费用由投标人负担，采购人有权到投标人生产场地检查产品质量和生产进度</w:t>
            </w:r>
          </w:p>
        </w:tc>
      </w:tr>
      <w:tr w14:paraId="1B39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3" w:type="pct"/>
            <w:noWrap w:val="0"/>
            <w:vAlign w:val="center"/>
          </w:tcPr>
          <w:p w14:paraId="10E0888B">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319D4C38">
            <w:pPr>
              <w:spacing w:line="36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投标有效期</w:t>
            </w:r>
          </w:p>
        </w:tc>
        <w:tc>
          <w:tcPr>
            <w:tcW w:w="3694" w:type="pct"/>
            <w:noWrap w:val="0"/>
            <w:vAlign w:val="center"/>
          </w:tcPr>
          <w:p w14:paraId="70083CA6">
            <w:pPr>
              <w:spacing w:line="36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90日历天</w:t>
            </w:r>
          </w:p>
        </w:tc>
      </w:tr>
      <w:tr w14:paraId="73B6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3" w:type="pct"/>
            <w:noWrap w:val="0"/>
            <w:vAlign w:val="center"/>
          </w:tcPr>
          <w:p w14:paraId="73DB5575">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671FBA85">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付款方式</w:t>
            </w:r>
          </w:p>
        </w:tc>
        <w:tc>
          <w:tcPr>
            <w:tcW w:w="3694" w:type="pct"/>
            <w:noWrap w:val="0"/>
            <w:vAlign w:val="center"/>
          </w:tcPr>
          <w:p w14:paraId="2FBACDB0">
            <w:pPr>
              <w:spacing w:line="36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1、合同签订后5个工作日内向采购人支付合同总额3%作为履约保证金</w:t>
            </w:r>
            <w:r>
              <w:rPr>
                <w:rFonts w:hint="eastAsia" w:ascii="仿宋" w:hAnsi="仿宋" w:eastAsia="仿宋" w:cs="仿宋"/>
                <w:color w:val="000000" w:themeColor="text1"/>
                <w:kern w:val="0"/>
                <w:sz w:val="24"/>
                <w:highlight w:val="none"/>
                <w:lang w:val="en-US" w:eastAsia="zh-CN"/>
                <w14:textFill>
                  <w14:solidFill>
                    <w14:schemeClr w14:val="tx1"/>
                  </w14:solidFill>
                </w14:textFill>
              </w:rPr>
              <w:t>或提供等额履约担保</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全部货物</w:t>
            </w:r>
            <w:r>
              <w:rPr>
                <w:rFonts w:hint="eastAsia" w:ascii="仿宋" w:hAnsi="仿宋" w:eastAsia="仿宋" w:cs="仿宋"/>
                <w:color w:val="000000" w:themeColor="text1"/>
                <w:sz w:val="24"/>
                <w:szCs w:val="24"/>
                <w:highlight w:val="none"/>
                <w:lang w:val="en-US" w:eastAsia="zh-CN"/>
                <w14:textFill>
                  <w14:solidFill>
                    <w14:schemeClr w14:val="tx1"/>
                  </w14:solidFill>
                </w14:textFill>
              </w:rPr>
              <w:t>到达采购人指定地点后，全额无息退还。</w:t>
            </w:r>
          </w:p>
          <w:p w14:paraId="22C16560">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2、全部货物到达采购人指定地点、安装调试完成并验收合格后，10个工作日内支付合同总价款的100％。</w:t>
            </w:r>
          </w:p>
        </w:tc>
      </w:tr>
      <w:tr w14:paraId="5C4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3" w:type="pct"/>
            <w:noWrap w:val="0"/>
            <w:vAlign w:val="center"/>
          </w:tcPr>
          <w:p w14:paraId="7968058E">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47E6322F">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质量要求</w:t>
            </w:r>
          </w:p>
        </w:tc>
        <w:tc>
          <w:tcPr>
            <w:tcW w:w="3694" w:type="pct"/>
            <w:noWrap w:val="0"/>
            <w:vAlign w:val="center"/>
          </w:tcPr>
          <w:p w14:paraId="372C546C">
            <w:pPr>
              <w:spacing w:line="360" w:lineRule="auto"/>
              <w:jc w:val="both"/>
              <w:rPr>
                <w:rFonts w:hint="eastAsia" w:ascii="仿宋" w:hAnsi="仿宋" w:eastAsia="仿宋" w:cs="仿宋"/>
                <w:color w:val="000000" w:themeColor="text1"/>
                <w:sz w:val="24"/>
                <w:szCs w:val="24"/>
                <w:lang w:val="zh-CN"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w:t>
            </w:r>
            <w:r>
              <w:rPr>
                <w:rFonts w:hint="eastAsia" w:ascii="仿宋" w:hAnsi="仿宋" w:eastAsia="仿宋" w:cs="仿宋"/>
                <w:color w:val="000000" w:themeColor="text1"/>
                <w:sz w:val="24"/>
                <w:szCs w:val="24"/>
                <w:lang w:val="en-US" w:eastAsia="zh-CN"/>
                <w14:textFill>
                  <w14:solidFill>
                    <w14:schemeClr w14:val="tx1"/>
                  </w14:solidFill>
                </w14:textFill>
              </w:rPr>
              <w:t>及行业</w:t>
            </w:r>
            <w:r>
              <w:rPr>
                <w:rFonts w:hint="eastAsia" w:ascii="仿宋" w:hAnsi="仿宋" w:eastAsia="仿宋" w:cs="仿宋"/>
                <w:color w:val="000000" w:themeColor="text1"/>
                <w:sz w:val="24"/>
                <w:szCs w:val="24"/>
                <w14:textFill>
                  <w14:solidFill>
                    <w14:schemeClr w14:val="tx1"/>
                  </w14:solidFill>
                </w14:textFill>
              </w:rPr>
              <w:t>有关现行规范、标准，质量合格。</w:t>
            </w:r>
          </w:p>
        </w:tc>
      </w:tr>
      <w:tr w14:paraId="3909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23" w:type="pct"/>
            <w:noWrap w:val="0"/>
            <w:vAlign w:val="center"/>
          </w:tcPr>
          <w:p w14:paraId="6FF23743">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56E6D3C5">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投标保证金</w:t>
            </w:r>
          </w:p>
        </w:tc>
        <w:tc>
          <w:tcPr>
            <w:tcW w:w="3694" w:type="pct"/>
            <w:noWrap w:val="0"/>
            <w:vAlign w:val="center"/>
          </w:tcPr>
          <w:p w14:paraId="59A5E898">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投标保证金</w:t>
            </w:r>
            <w:r>
              <w:rPr>
                <w:rFonts w:hint="eastAsia" w:ascii="仿宋" w:hAnsi="仿宋" w:eastAsia="仿宋" w:cs="仿宋"/>
                <w:color w:val="000000" w:themeColor="text1"/>
                <w:sz w:val="24"/>
                <w:szCs w:val="24"/>
                <w:lang w:val="en-US" w:eastAsia="zh-CN"/>
                <w14:textFill>
                  <w14:solidFill>
                    <w14:schemeClr w14:val="tx1"/>
                  </w14:solidFill>
                </w14:textFill>
              </w:rPr>
              <w:t>金额</w:t>
            </w:r>
            <w:r>
              <w:rPr>
                <w:rFonts w:hint="eastAsia" w:ascii="仿宋" w:hAnsi="仿宋" w:eastAsia="仿宋" w:cs="仿宋"/>
                <w:color w:val="000000" w:themeColor="text1"/>
                <w:sz w:val="24"/>
                <w:szCs w:val="24"/>
                <w14:textFill>
                  <w14:solidFill>
                    <w14:schemeClr w14:val="tx1"/>
                  </w14:solidFill>
                </w14:textFill>
              </w:rPr>
              <w:t>：人民币</w:t>
            </w:r>
            <w:r>
              <w:rPr>
                <w:rFonts w:hint="eastAsia" w:ascii="仿宋" w:hAnsi="仿宋" w:eastAsia="仿宋" w:cs="仿宋"/>
                <w:color w:val="000000" w:themeColor="text1"/>
                <w:sz w:val="24"/>
                <w:szCs w:val="24"/>
                <w:lang w:val="en-US" w:eastAsia="zh-CN"/>
                <w14:textFill>
                  <w14:solidFill>
                    <w14:schemeClr w14:val="tx1"/>
                  </w14:solidFill>
                </w14:textFill>
              </w:rPr>
              <w:t>壹</w:t>
            </w:r>
            <w:r>
              <w:rPr>
                <w:rFonts w:hint="eastAsia" w:ascii="仿宋" w:hAnsi="仿宋" w:eastAsia="仿宋" w:cs="仿宋"/>
                <w:color w:val="000000" w:themeColor="text1"/>
                <w:sz w:val="24"/>
                <w:szCs w:val="24"/>
                <w14:textFill>
                  <w14:solidFill>
                    <w14:schemeClr w14:val="tx1"/>
                  </w14:solidFill>
                </w14:textFill>
              </w:rPr>
              <w:t>万元整</w:t>
            </w:r>
          </w:p>
          <w:p w14:paraId="66B79687">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采用电汇</w:t>
            </w:r>
            <w:r>
              <w:rPr>
                <w:rFonts w:hint="eastAsia" w:ascii="仿宋" w:hAnsi="仿宋" w:eastAsia="仿宋" w:cs="仿宋"/>
                <w:color w:val="000000" w:themeColor="text1"/>
                <w:sz w:val="24"/>
                <w:szCs w:val="24"/>
                <w14:textFill>
                  <w14:solidFill>
                    <w14:schemeClr w14:val="tx1"/>
                  </w14:solidFill>
                </w14:textFill>
              </w:rPr>
              <w:t>、网上银行支付等非现金形式交纳，且确保</w:t>
            </w:r>
            <w:r>
              <w:rPr>
                <w:rFonts w:hint="eastAsia" w:ascii="仿宋" w:hAnsi="仿宋" w:eastAsia="仿宋" w:cs="仿宋"/>
                <w:color w:val="000000" w:themeColor="text1"/>
                <w:sz w:val="24"/>
                <w:szCs w:val="24"/>
                <w:u w:val="single"/>
                <w14:textFill>
                  <w14:solidFill>
                    <w14:schemeClr w14:val="tx1"/>
                  </w14:solidFill>
                </w14:textFill>
              </w:rPr>
              <w:t>开标截止时间前</w:t>
            </w:r>
            <w:r>
              <w:rPr>
                <w:rFonts w:hint="eastAsia" w:ascii="仿宋" w:hAnsi="仿宋" w:eastAsia="仿宋" w:cs="仿宋"/>
                <w:color w:val="000000" w:themeColor="text1"/>
                <w:sz w:val="24"/>
                <w:szCs w:val="24"/>
                <w14:textFill>
                  <w14:solidFill>
                    <w14:schemeClr w14:val="tx1"/>
                  </w14:solidFill>
                </w14:textFill>
              </w:rPr>
              <w:t>到达采购代理机构指定账户，采用保函形式提交的，须在投标文件递交截止时间前将保函提交至采购代理机构财务部登记，投标保证金有效期与投标有效期一致。</w:t>
            </w:r>
          </w:p>
          <w:p w14:paraId="0A16BACC">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收取保证金单位名称：陕西中技招标有限公司</w:t>
            </w:r>
          </w:p>
          <w:p w14:paraId="37882D5F">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开户名称：陕西中技招标有限公司</w:t>
            </w:r>
          </w:p>
          <w:p w14:paraId="63E25FAB">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开户行名称：招商银行西安分行营业部</w:t>
            </w:r>
          </w:p>
          <w:p w14:paraId="04B4E312">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账      号：1299 1681 2810 001 </w:t>
            </w:r>
          </w:p>
          <w:p w14:paraId="147A0C67">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转账事由： </w:t>
            </w:r>
            <w:r>
              <w:rPr>
                <w:rFonts w:hint="eastAsia" w:ascii="仿宋" w:hAnsi="仿宋" w:eastAsia="仿宋" w:cs="仿宋"/>
                <w:color w:val="000000" w:themeColor="text1"/>
                <w:sz w:val="24"/>
                <w:szCs w:val="24"/>
                <w:lang w:eastAsia="zh-CN"/>
                <w14:textFill>
                  <w14:solidFill>
                    <w14:schemeClr w14:val="tx1"/>
                  </w14:solidFill>
                </w14:textFill>
              </w:rPr>
              <w:t>SZT2025-SN-XC-ZC-HW-0303</w:t>
            </w:r>
            <w:r>
              <w:rPr>
                <w:rFonts w:hint="eastAsia" w:ascii="仿宋" w:hAnsi="仿宋" w:eastAsia="仿宋" w:cs="仿宋"/>
                <w:color w:val="000000" w:themeColor="text1"/>
                <w:sz w:val="24"/>
                <w:szCs w:val="24"/>
                <w14:textFill>
                  <w14:solidFill>
                    <w14:schemeClr w14:val="tx1"/>
                  </w14:solidFill>
                </w14:textFill>
              </w:rPr>
              <w:t>项目保证金</w:t>
            </w:r>
          </w:p>
          <w:p w14:paraId="2A3A508C">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保证金专管人员电话：029-88364979转810</w:t>
            </w:r>
          </w:p>
        </w:tc>
      </w:tr>
      <w:tr w14:paraId="3B86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423" w:type="pct"/>
            <w:noWrap w:val="0"/>
            <w:vAlign w:val="center"/>
          </w:tcPr>
          <w:p w14:paraId="2392AE83">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27B310AB">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封装要求</w:t>
            </w:r>
          </w:p>
        </w:tc>
        <w:tc>
          <w:tcPr>
            <w:tcW w:w="3694" w:type="pct"/>
            <w:noWrap w:val="0"/>
            <w:vAlign w:val="center"/>
          </w:tcPr>
          <w:p w14:paraId="1C0106BB">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应提交：一套正本“投标文件”、三套副本“投标文件”（投标文件不退还），电子版一份（u盘或光盘）。</w:t>
            </w:r>
          </w:p>
          <w:p w14:paraId="45799344">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所有密封袋/箱正面和投标文件封面须标明采购项目名称、采购项目编号、</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名称及“正本”、“副本”“电子版”字样。</w:t>
            </w:r>
          </w:p>
          <w:p w14:paraId="6B9CE2EF">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应在投标文件密封文件袋正面及背面加盖公章，以保证文件密封性完整。</w:t>
            </w:r>
          </w:p>
        </w:tc>
      </w:tr>
      <w:tr w14:paraId="1AFA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23" w:type="pct"/>
            <w:noWrap w:val="0"/>
            <w:vAlign w:val="center"/>
          </w:tcPr>
          <w:p w14:paraId="600F8734">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6169AAA2">
            <w:pPr>
              <w:autoSpaceDE w:val="0"/>
              <w:autoSpaceDN w:val="0"/>
              <w:adjustRightInd w:val="0"/>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信用查询</w:t>
            </w:r>
          </w:p>
        </w:tc>
        <w:tc>
          <w:tcPr>
            <w:tcW w:w="3694" w:type="pct"/>
            <w:noWrap w:val="0"/>
            <w:vAlign w:val="center"/>
          </w:tcPr>
          <w:p w14:paraId="74207C4E">
            <w:pPr>
              <w:autoSpaceDE w:val="0"/>
              <w:autoSpaceDN w:val="0"/>
              <w:adjustRightInd w:val="0"/>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按照财库〔2016〕125号《关于在政府采购活动中查询及使用信用记录有关问题的通知》的规定，</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信用信息查询具体规定如下：</w:t>
            </w:r>
          </w:p>
          <w:p w14:paraId="12CE275A">
            <w:pPr>
              <w:autoSpaceDE w:val="0"/>
              <w:autoSpaceDN w:val="0"/>
              <w:adjustRightInd w:val="0"/>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采购人或采购代理机构在资格审查过程中对</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通过“信用中国”网站(www.creditchina.gov.cn)、中国政府采购网(www.ccgp.gov.cn) 查询相关主体信用记录，并将查询结果和评标报告一并保存。如</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出现“列入失信被执行人、重大税收违法案件当事人名单、政府采购严重违法失信行为记录名单及其他不符合《中华人民共和国政府采购法》第二十二条规定条件的”情况，将被拒绝参与政府采购活动。</w:t>
            </w:r>
          </w:p>
        </w:tc>
      </w:tr>
      <w:tr w14:paraId="46B7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3" w:type="pct"/>
            <w:noWrap w:val="0"/>
            <w:vAlign w:val="center"/>
          </w:tcPr>
          <w:p w14:paraId="3308DA31">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0BDC7E77">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质疑与投诉</w:t>
            </w:r>
          </w:p>
        </w:tc>
        <w:tc>
          <w:tcPr>
            <w:tcW w:w="3694" w:type="pct"/>
            <w:noWrap w:val="0"/>
            <w:vAlign w:val="center"/>
          </w:tcPr>
          <w:p w14:paraId="17BDFF2F">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提出质疑应按照中华人民共和国财政部令第94号《政府采购质疑和投诉办法》的规定：</w:t>
            </w:r>
          </w:p>
          <w:p w14:paraId="6EE6417C">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1.提出质疑的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应当是参与所质疑项目采购活动的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w:t>
            </w:r>
          </w:p>
          <w:p w14:paraId="7288621D">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认为招标文件、采购过程、中标或者成交结果使自己的权益受到损害的，可以在知道或者应知其权益受到损害之日起7个工作日内，以书面形式向采购代理机构提出质疑，</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应在法定质疑期内一次性提出针对同一采购程序环节的质疑。</w:t>
            </w:r>
          </w:p>
          <w:p w14:paraId="196554EA">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应知其权益受到损害之日，是指：</w:t>
            </w:r>
          </w:p>
          <w:p w14:paraId="023B7B00">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（1）对可以质疑的招标文件提出质疑的，为收到招标文件之日或者招标文件公告期限届满之日；</w:t>
            </w:r>
          </w:p>
          <w:p w14:paraId="196B7D21">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（2）对采购过程提出质疑的，为各采购程序环节结束之日；</w:t>
            </w:r>
          </w:p>
          <w:p w14:paraId="315B1405">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（3）对中标或者成交结果提出质疑的，为中标或者成交结果公告期限届满之日。</w:t>
            </w:r>
          </w:p>
          <w:p w14:paraId="5A32AF1D">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提出质疑应当提交质疑函和必要的证明材料。质疑函应当包括：</w:t>
            </w:r>
          </w:p>
          <w:p w14:paraId="6751CC56">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的姓名或者名称、地址、邮编、联系人及联系电话；</w:t>
            </w:r>
          </w:p>
          <w:p w14:paraId="1C4671F9">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3.2质疑项目的名称、编号；</w:t>
            </w:r>
          </w:p>
          <w:p w14:paraId="650F1577">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3.3具体、明确的质疑事项和与质疑事项相关的请求；</w:t>
            </w:r>
          </w:p>
          <w:p w14:paraId="5839DF13">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3.4事实依据；</w:t>
            </w:r>
          </w:p>
          <w:p w14:paraId="5FB0465A">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3.5必要的法律依据；</w:t>
            </w:r>
          </w:p>
          <w:p w14:paraId="7AD5D2D9">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3.6提出质疑的日期。</w:t>
            </w:r>
          </w:p>
          <w:p w14:paraId="4441BE73">
            <w:pPr>
              <w:spacing w:line="360" w:lineRule="auto"/>
              <w:jc w:val="both"/>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质疑函应采用财政部颁布的《政府采购</w:t>
            </w:r>
            <w:r>
              <w:rPr>
                <w:rFonts w:hint="eastAsia" w:ascii="仿宋" w:hAnsi="仿宋" w:eastAsia="仿宋" w:cs="仿宋"/>
                <w:bCs/>
                <w:color w:val="000000" w:themeColor="text1"/>
                <w:sz w:val="24"/>
                <w:szCs w:val="24"/>
                <w:lang w:eastAsia="zh-CN"/>
                <w14:textFill>
                  <w14:solidFill>
                    <w14:schemeClr w14:val="tx1"/>
                  </w14:solidFill>
                </w14:textFill>
              </w:rPr>
              <w:t>投标人</w:t>
            </w:r>
            <w:r>
              <w:rPr>
                <w:rFonts w:hint="eastAsia" w:ascii="仿宋" w:hAnsi="仿宋" w:eastAsia="仿宋" w:cs="仿宋"/>
                <w:bCs/>
                <w:color w:val="000000" w:themeColor="text1"/>
                <w:sz w:val="24"/>
                <w:szCs w:val="24"/>
                <w14:textFill>
                  <w14:solidFill>
                    <w14:schemeClr w14:val="tx1"/>
                  </w14:solidFill>
                </w14:textFill>
              </w:rPr>
              <w:t>质疑函范本》。</w:t>
            </w:r>
          </w:p>
          <w:p w14:paraId="67FDB22F">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为自然人的，应当由本人签字；</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为法人或者其他组织的，应当由法定代表人、主要负责人，或者其授权代表签字或者盖章，并加盖公章。</w:t>
            </w:r>
          </w:p>
          <w:p w14:paraId="63C8EB88">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可以委托代理人进行质疑。其授权委托书应当载明代理人的姓名或者名称、代理事项、具体权限、期限和相关事项。</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为自然人的，应当由本人签字；</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为法人或者其他组织的，应当由法定代表人、主要负责人签字或者盖章，并加盖公章。</w:t>
            </w:r>
          </w:p>
          <w:p w14:paraId="43B6DF79">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5.有下列情形之一的，属于无效质疑，采购代理机构和采购人不予受理：</w:t>
            </w:r>
          </w:p>
          <w:p w14:paraId="4ABE4C7E">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5.1质疑</w:t>
            </w:r>
            <w:r>
              <w:rPr>
                <w:rStyle w:val="43"/>
                <w:rFonts w:hint="eastAsia" w:ascii="仿宋" w:hAnsi="仿宋" w:eastAsia="仿宋" w:cs="仿宋"/>
                <w:b w:val="0"/>
                <w:color w:val="000000" w:themeColor="text1"/>
                <w:sz w:val="24"/>
                <w:szCs w:val="24"/>
                <w:shd w:val="clear" w:color="auto" w:fill="FFFFFF"/>
                <w:lang w:eastAsia="zh-CN"/>
                <w14:textFill>
                  <w14:solidFill>
                    <w14:schemeClr w14:val="tx1"/>
                  </w14:solidFill>
                </w14:textFill>
              </w:rPr>
              <w:t>投标人</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不是</w:t>
            </w:r>
            <w:r>
              <w:rPr>
                <w:rFonts w:hint="eastAsia" w:ascii="仿宋" w:hAnsi="仿宋" w:eastAsia="仿宋" w:cs="仿宋"/>
                <w:color w:val="000000" w:themeColor="text1"/>
                <w:sz w:val="24"/>
                <w:szCs w:val="24"/>
                <w14:textFill>
                  <w14:solidFill>
                    <w14:schemeClr w14:val="tx1"/>
                  </w14:solidFill>
                </w14:textFill>
              </w:rPr>
              <w:t>参与所质疑项目采购活动的</w:t>
            </w:r>
            <w:r>
              <w:rPr>
                <w:rFonts w:hint="eastAsia" w:ascii="仿宋" w:hAnsi="仿宋" w:eastAsia="仿宋" w:cs="仿宋"/>
                <w:color w:val="000000" w:themeColor="text1"/>
                <w:sz w:val="24"/>
                <w:szCs w:val="24"/>
                <w:lang w:eastAsia="zh-CN"/>
                <w14:textFill>
                  <w14:solidFill>
                    <w14:schemeClr w14:val="tx1"/>
                  </w14:solidFill>
                </w14:textFill>
              </w:rPr>
              <w:t>投标人</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w:t>
            </w:r>
          </w:p>
          <w:p w14:paraId="53D16BCE">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5.2未在法定质疑期内发出质疑的；</w:t>
            </w:r>
          </w:p>
          <w:p w14:paraId="7FC9036F">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5.3质疑未以书面形式提出；</w:t>
            </w:r>
          </w:p>
          <w:p w14:paraId="42EDC815">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5.4质疑函没有合法有效的签字、盖章或授权的；</w:t>
            </w:r>
          </w:p>
          <w:p w14:paraId="2BD58F48">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5.5以非法手段取得证据、材料的；</w:t>
            </w:r>
          </w:p>
          <w:p w14:paraId="5D24C072">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5.6质疑答复后，同一质疑人就同一事项再次提出质疑的；</w:t>
            </w:r>
          </w:p>
          <w:p w14:paraId="6DF9BAE5">
            <w:pPr>
              <w:spacing w:line="360" w:lineRule="auto"/>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5.7不符合法律、法规、规章和政府采购监管机构规定的其他条件的。</w:t>
            </w:r>
          </w:p>
          <w:p w14:paraId="65F82CCB">
            <w:pPr>
              <w:spacing w:line="360" w:lineRule="auto"/>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6.质疑答复</w:t>
            </w:r>
          </w:p>
          <w:p w14:paraId="0FFE58EB">
            <w:pPr>
              <w:spacing w:line="360" w:lineRule="auto"/>
              <w:ind w:left="480" w:hanging="480" w:hangingChars="200"/>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采购代理机构在收到质疑函后7个工作日内做出答复。</w:t>
            </w:r>
          </w:p>
          <w:p w14:paraId="68D60538">
            <w:pPr>
              <w:spacing w:line="360" w:lineRule="auto"/>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质疑接收方式：</w:t>
            </w:r>
            <w:r>
              <w:rPr>
                <w:rStyle w:val="43"/>
                <w:rFonts w:hint="eastAsia" w:ascii="仿宋" w:hAnsi="仿宋" w:eastAsia="仿宋" w:cs="仿宋"/>
                <w:b w:val="0"/>
                <w:color w:val="000000" w:themeColor="text1"/>
                <w:sz w:val="24"/>
                <w:szCs w:val="24"/>
                <w:shd w:val="clear" w:color="auto" w:fill="FFFFFF"/>
                <w:lang w:eastAsia="zh-CN"/>
                <w14:textFill>
                  <w14:solidFill>
                    <w14:schemeClr w14:val="tx1"/>
                  </w14:solidFill>
                </w14:textFill>
              </w:rPr>
              <w:t>投标人</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以书面形式将</w:t>
            </w:r>
            <w:r>
              <w:rPr>
                <w:rFonts w:hint="eastAsia" w:ascii="仿宋" w:hAnsi="仿宋" w:eastAsia="仿宋" w:cs="仿宋"/>
                <w:color w:val="000000" w:themeColor="text1"/>
                <w:sz w:val="24"/>
                <w:szCs w:val="24"/>
                <w14:textFill>
                  <w14:solidFill>
                    <w14:schemeClr w14:val="tx1"/>
                  </w14:solidFill>
                </w14:textFill>
              </w:rPr>
              <w:t>质疑函原件和必要的证明材料</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送至接收部门，法定代表人、主要负责人、自然人提交质疑函须提交其身份证复印件，代理人提交质疑函须提交授权委托书及授权人和被授权人身份证复印件。</w:t>
            </w:r>
          </w:p>
          <w:p w14:paraId="113132D5">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质疑接收部门</w:t>
            </w:r>
            <w:r>
              <w:rPr>
                <w:rFonts w:hint="eastAsia" w:ascii="仿宋" w:hAnsi="仿宋" w:eastAsia="仿宋" w:cs="仿宋"/>
                <w:color w:val="000000" w:themeColor="text1"/>
                <w:sz w:val="24"/>
                <w:szCs w:val="24"/>
                <w:u w:val="single"/>
                <w14:textFill>
                  <w14:solidFill>
                    <w14:schemeClr w14:val="tx1"/>
                  </w14:solidFill>
                </w14:textFill>
              </w:rPr>
              <w:t>：陕西中技招标有限公司企管部</w:t>
            </w:r>
          </w:p>
          <w:p w14:paraId="7CD663E0">
            <w:pPr>
              <w:spacing w:line="360" w:lineRule="auto"/>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 收 人：</w:t>
            </w:r>
            <w:r>
              <w:rPr>
                <w:rFonts w:hint="eastAsia" w:ascii="仿宋" w:hAnsi="仿宋" w:eastAsia="仿宋" w:cs="仿宋"/>
                <w:color w:val="000000" w:themeColor="text1"/>
                <w:sz w:val="24"/>
                <w:szCs w:val="24"/>
                <w:lang w:val="en-US" w:eastAsia="zh-CN"/>
                <w14:textFill>
                  <w14:solidFill>
                    <w14:schemeClr w14:val="tx1"/>
                  </w14:solidFill>
                </w14:textFill>
              </w:rPr>
              <w:t>戴经理</w:t>
            </w:r>
          </w:p>
          <w:p w14:paraId="024175C8">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联系电话：029-88364979</w:t>
            </w: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56</w:t>
            </w:r>
          </w:p>
          <w:p w14:paraId="7842F50C">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址：西安市高新区高新四路1号高科广场A座1001室</w:t>
            </w:r>
          </w:p>
        </w:tc>
      </w:tr>
      <w:tr w14:paraId="5D7E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3" w:type="pct"/>
            <w:noWrap w:val="0"/>
            <w:vAlign w:val="center"/>
          </w:tcPr>
          <w:p w14:paraId="51E386B2">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bookmarkStart w:id="17" w:name="_Toc233435916"/>
          </w:p>
        </w:tc>
        <w:tc>
          <w:tcPr>
            <w:tcW w:w="882" w:type="pct"/>
            <w:noWrap w:val="0"/>
            <w:vAlign w:val="center"/>
          </w:tcPr>
          <w:p w14:paraId="6080E5EA">
            <w:pPr>
              <w:spacing w:line="36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权利归属</w:t>
            </w:r>
          </w:p>
        </w:tc>
        <w:tc>
          <w:tcPr>
            <w:tcW w:w="3694" w:type="pct"/>
            <w:noWrap w:val="0"/>
            <w:vAlign w:val="center"/>
          </w:tcPr>
          <w:p w14:paraId="2FDB640B">
            <w:pPr>
              <w:spacing w:line="360" w:lineRule="auto"/>
              <w:jc w:val="both"/>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本项目涉及货物的所有权均归采购人所有。</w:t>
            </w:r>
            <w:r>
              <w:rPr>
                <w:rStyle w:val="43"/>
                <w:rFonts w:hint="eastAsia" w:ascii="仿宋" w:hAnsi="仿宋" w:eastAsia="仿宋" w:cs="仿宋"/>
                <w:b w:val="0"/>
                <w:color w:val="000000" w:themeColor="text1"/>
                <w:sz w:val="24"/>
                <w:szCs w:val="24"/>
                <w:shd w:val="clear" w:color="auto" w:fill="FFFFFF"/>
                <w:lang w:eastAsia="zh-CN"/>
                <w14:textFill>
                  <w14:solidFill>
                    <w14:schemeClr w14:val="tx1"/>
                  </w14:solidFill>
                </w14:textFill>
              </w:rPr>
              <w:t>投标人</w:t>
            </w:r>
            <w:r>
              <w:rPr>
                <w:rStyle w:val="43"/>
                <w:rFonts w:hint="eastAsia" w:ascii="仿宋" w:hAnsi="仿宋" w:eastAsia="仿宋" w:cs="仿宋"/>
                <w:b w:val="0"/>
                <w:color w:val="000000" w:themeColor="text1"/>
                <w:sz w:val="24"/>
                <w:szCs w:val="24"/>
                <w:shd w:val="clear" w:color="auto" w:fill="FFFFFF"/>
                <w14:textFill>
                  <w14:solidFill>
                    <w14:schemeClr w14:val="tx1"/>
                  </w14:solidFill>
                </w14:textFill>
              </w:rPr>
              <w:t>应保证，采购人在国内使用该货物或货物的任何一部分时，免受第三方提出的侵犯其专利权、商标权或工业设计权的起诉。</w:t>
            </w:r>
          </w:p>
        </w:tc>
      </w:tr>
      <w:tr w14:paraId="55DB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3" w:type="pct"/>
            <w:noWrap w:val="0"/>
            <w:vAlign w:val="center"/>
          </w:tcPr>
          <w:p w14:paraId="7084EF96">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highlight w:val="none"/>
                <w14:textFill>
                  <w14:solidFill>
                    <w14:schemeClr w14:val="tx1"/>
                  </w14:solidFill>
                </w14:textFill>
              </w:rPr>
            </w:pPr>
          </w:p>
        </w:tc>
        <w:tc>
          <w:tcPr>
            <w:tcW w:w="882" w:type="pct"/>
            <w:noWrap w:val="0"/>
            <w:vAlign w:val="center"/>
          </w:tcPr>
          <w:p w14:paraId="0B7DCDB0">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核心产品</w:t>
            </w:r>
          </w:p>
        </w:tc>
        <w:tc>
          <w:tcPr>
            <w:tcW w:w="3694" w:type="pct"/>
            <w:noWrap w:val="0"/>
            <w:vAlign w:val="center"/>
          </w:tcPr>
          <w:p w14:paraId="24B132BB">
            <w:pPr>
              <w:spacing w:line="360" w:lineRule="auto"/>
              <w:jc w:val="both"/>
              <w:rPr>
                <w:rStyle w:val="43"/>
                <w:rFonts w:hint="default" w:ascii="仿宋" w:hAnsi="仿宋" w:eastAsia="仿宋" w:cs="仿宋"/>
                <w:b w:val="0"/>
                <w:color w:val="000000" w:themeColor="text1"/>
                <w:sz w:val="24"/>
                <w:szCs w:val="24"/>
                <w:highlight w:val="none"/>
                <w:shd w:val="clear" w:color="auto" w:fill="FFFFFF"/>
                <w:lang w:val="en-US" w:eastAsia="zh-CN"/>
                <w14:textFill>
                  <w14:solidFill>
                    <w14:schemeClr w14:val="tx1"/>
                  </w14:solidFill>
                </w14:textFill>
              </w:rPr>
            </w:pPr>
            <w:r>
              <w:rPr>
                <w:rStyle w:val="43"/>
                <w:rFonts w:hint="eastAsia" w:ascii="仿宋" w:hAnsi="仿宋" w:eastAsia="仿宋" w:cs="仿宋"/>
                <w:b w:val="0"/>
                <w:color w:val="000000" w:themeColor="text1"/>
                <w:sz w:val="24"/>
                <w:szCs w:val="24"/>
                <w:highlight w:val="none"/>
                <w:shd w:val="clear" w:color="auto" w:fill="FFFFFF"/>
                <w:lang w:val="en-US" w:eastAsia="zh-CN"/>
                <w14:textFill>
                  <w14:solidFill>
                    <w14:schemeClr w14:val="tx1"/>
                  </w14:solidFill>
                </w14:textFill>
              </w:rPr>
              <w:t>超纯水机</w:t>
            </w:r>
          </w:p>
        </w:tc>
      </w:tr>
      <w:tr w14:paraId="6765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3" w:type="pct"/>
            <w:noWrap w:val="0"/>
            <w:vAlign w:val="center"/>
          </w:tcPr>
          <w:p w14:paraId="796F23FA">
            <w:pPr>
              <w:numPr>
                <w:ilvl w:val="0"/>
                <w:numId w:val="1"/>
              </w:numPr>
              <w:spacing w:line="360" w:lineRule="auto"/>
              <w:ind w:left="635" w:leftChars="0" w:hanging="609" w:firstLineChars="0"/>
              <w:jc w:val="both"/>
              <w:rPr>
                <w:rFonts w:hint="eastAsia" w:ascii="仿宋" w:hAnsi="仿宋" w:eastAsia="仿宋" w:cs="仿宋"/>
                <w:color w:val="000000" w:themeColor="text1"/>
                <w:sz w:val="24"/>
                <w:szCs w:val="24"/>
                <w14:textFill>
                  <w14:solidFill>
                    <w14:schemeClr w14:val="tx1"/>
                  </w14:solidFill>
                </w14:textFill>
              </w:rPr>
            </w:pPr>
          </w:p>
        </w:tc>
        <w:tc>
          <w:tcPr>
            <w:tcW w:w="882" w:type="pct"/>
            <w:noWrap w:val="0"/>
            <w:vAlign w:val="center"/>
          </w:tcPr>
          <w:p w14:paraId="3C1C2776">
            <w:pPr>
              <w:pStyle w:val="16"/>
              <w:spacing w:line="360" w:lineRule="auto"/>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政府采购政策</w:t>
            </w:r>
          </w:p>
        </w:tc>
        <w:tc>
          <w:tcPr>
            <w:tcW w:w="3694" w:type="pct"/>
            <w:noWrap w:val="0"/>
            <w:vAlign w:val="center"/>
          </w:tcPr>
          <w:p w14:paraId="14CAF552">
            <w:pPr>
              <w:spacing w:line="360" w:lineRule="auto"/>
              <w:jc w:val="both"/>
              <w:rPr>
                <w:rStyle w:val="43"/>
                <w:rFonts w:hint="eastAsia" w:ascii="仿宋" w:hAnsi="仿宋" w:eastAsia="仿宋" w:cs="仿宋"/>
                <w:b w:val="0"/>
                <w:color w:val="000000" w:themeColor="text1"/>
                <w:sz w:val="24"/>
                <w:szCs w:val="24"/>
                <w:shd w:val="clear" w:color="auto" w:fill="FFFFFF"/>
                <w:lang w:val="en-US" w:eastAsia="zh-CN"/>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lang w:val="en-US" w:eastAsia="zh-CN"/>
                <w14:textFill>
                  <w14:solidFill>
                    <w14:schemeClr w14:val="tx1"/>
                  </w14:solidFill>
                </w14:textFill>
              </w:rPr>
              <w:t>本项目为专门面向中小企业采购项目，不再执行价格扣除。</w:t>
            </w:r>
          </w:p>
          <w:p w14:paraId="214CCC89">
            <w:pPr>
              <w:spacing w:line="360" w:lineRule="auto"/>
              <w:jc w:val="both"/>
              <w:rPr>
                <w:rStyle w:val="43"/>
                <w:rFonts w:hint="eastAsia" w:ascii="仿宋" w:hAnsi="仿宋" w:eastAsia="仿宋" w:cs="仿宋"/>
                <w:b w:val="0"/>
                <w:color w:val="000000" w:themeColor="text1"/>
                <w:sz w:val="24"/>
                <w:szCs w:val="24"/>
                <w:shd w:val="clear" w:color="auto" w:fill="FFFFFF"/>
                <w:lang w:val="en-US" w:eastAsia="zh-CN"/>
                <w14:textFill>
                  <w14:solidFill>
                    <w14:schemeClr w14:val="tx1"/>
                  </w14:solidFill>
                </w14:textFill>
              </w:rPr>
            </w:pPr>
            <w:r>
              <w:rPr>
                <w:rStyle w:val="43"/>
                <w:rFonts w:hint="eastAsia" w:ascii="仿宋" w:hAnsi="仿宋" w:eastAsia="仿宋" w:cs="仿宋"/>
                <w:b/>
                <w:bCs/>
                <w:color w:val="000000" w:themeColor="text1"/>
                <w:sz w:val="24"/>
                <w:szCs w:val="24"/>
                <w:shd w:val="clear" w:color="auto" w:fill="FFFFFF"/>
                <w:lang w:val="en-US" w:eastAsia="zh-CN"/>
                <w14:textFill>
                  <w14:solidFill>
                    <w14:schemeClr w14:val="tx1"/>
                  </w14:solidFill>
                </w14:textFill>
              </w:rPr>
              <w:t>本项目划分标准：工业</w:t>
            </w:r>
          </w:p>
          <w:p w14:paraId="27CC447A">
            <w:pPr>
              <w:spacing w:line="360" w:lineRule="auto"/>
              <w:ind w:firstLine="480" w:firstLineChars="200"/>
              <w:jc w:val="both"/>
              <w:rPr>
                <w:rStyle w:val="43"/>
                <w:rFonts w:hint="eastAsia" w:ascii="仿宋" w:hAnsi="仿宋" w:eastAsia="仿宋" w:cs="仿宋"/>
                <w:b w:val="0"/>
                <w:color w:val="000000" w:themeColor="text1"/>
                <w:sz w:val="24"/>
                <w:szCs w:val="24"/>
                <w:shd w:val="clear" w:color="auto" w:fill="FFFFFF"/>
                <w:lang w:val="en-US" w:eastAsia="zh-CN"/>
                <w14:textFill>
                  <w14:solidFill>
                    <w14:schemeClr w14:val="tx1"/>
                  </w14:solidFill>
                </w14:textFill>
              </w:rPr>
            </w:pPr>
            <w:r>
              <w:rPr>
                <w:rStyle w:val="43"/>
                <w:rFonts w:hint="eastAsia" w:ascii="仿宋" w:hAnsi="仿宋" w:eastAsia="仿宋" w:cs="仿宋"/>
                <w:b w:val="0"/>
                <w:color w:val="000000" w:themeColor="text1"/>
                <w:sz w:val="24"/>
                <w:szCs w:val="24"/>
                <w:shd w:val="clear" w:color="auto" w:fill="FFFFFF"/>
                <w:lang w:val="en-US" w:eastAsia="zh-CN"/>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735264DC">
      <w:pPr>
        <w:spacing w:line="360" w:lineRule="auto"/>
        <w:rPr>
          <w:rFonts w:hint="eastAsia" w:ascii="仿宋" w:hAnsi="仿宋" w:eastAsia="仿宋" w:cs="仿宋"/>
          <w:color w:val="000000" w:themeColor="text1"/>
          <w14:textFill>
            <w14:solidFill>
              <w14:schemeClr w14:val="tx1"/>
            </w14:solidFill>
          </w14:textFill>
        </w:rPr>
      </w:pPr>
    </w:p>
    <w:p w14:paraId="77242C7E">
      <w:pPr>
        <w:rPr>
          <w:rFonts w:hint="eastAsia" w:ascii="仿宋" w:hAnsi="仿宋" w:eastAsia="仿宋" w:cs="仿宋"/>
          <w:color w:val="000000" w:themeColor="text1"/>
          <w14:textFill>
            <w14:solidFill>
              <w14:schemeClr w14:val="tx1"/>
            </w14:solidFill>
          </w14:textFill>
        </w:rPr>
      </w:pPr>
      <w:bookmarkStart w:id="18" w:name="_Toc20849"/>
      <w:bookmarkStart w:id="19" w:name="_Toc8234"/>
      <w:bookmarkStart w:id="20" w:name="_Toc10462"/>
      <w:bookmarkStart w:id="21" w:name="_Toc16504"/>
      <w:bookmarkStart w:id="22" w:name="_Toc10470"/>
      <w:bookmarkStart w:id="23" w:name="_Toc29049"/>
      <w:bookmarkStart w:id="24" w:name="_Toc29709"/>
      <w:r>
        <w:rPr>
          <w:rFonts w:hint="eastAsia" w:ascii="仿宋" w:hAnsi="仿宋" w:eastAsia="仿宋" w:cs="仿宋"/>
          <w:color w:val="000000" w:themeColor="text1"/>
          <w14:textFill>
            <w14:solidFill>
              <w14:schemeClr w14:val="tx1"/>
            </w14:solidFill>
          </w14:textFill>
        </w:rPr>
        <w:br w:type="page"/>
      </w:r>
    </w:p>
    <w:p w14:paraId="00E4C4D6">
      <w:pPr>
        <w:pStyle w:val="2"/>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第三部分  </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须知</w:t>
      </w:r>
      <w:bookmarkEnd w:id="17"/>
      <w:bookmarkEnd w:id="18"/>
      <w:bookmarkEnd w:id="19"/>
      <w:bookmarkEnd w:id="20"/>
      <w:bookmarkEnd w:id="21"/>
      <w:bookmarkEnd w:id="22"/>
      <w:bookmarkEnd w:id="23"/>
      <w:bookmarkEnd w:id="24"/>
    </w:p>
    <w:p w14:paraId="3F31A469">
      <w:pPr>
        <w:pStyle w:val="3"/>
        <w:spacing w:line="360" w:lineRule="auto"/>
        <w:jc w:val="center"/>
        <w:rPr>
          <w:rFonts w:hint="eastAsia" w:ascii="仿宋" w:hAnsi="仿宋" w:eastAsia="仿宋" w:cs="仿宋"/>
          <w:b w:val="0"/>
          <w:color w:val="000000" w:themeColor="text1"/>
          <w:sz w:val="44"/>
          <w14:textFill>
            <w14:solidFill>
              <w14:schemeClr w14:val="tx1"/>
            </w14:solidFill>
          </w14:textFill>
        </w:rPr>
      </w:pPr>
      <w:bookmarkStart w:id="25" w:name="_Toc22533"/>
      <w:bookmarkStart w:id="26" w:name="_Toc23560"/>
      <w:bookmarkStart w:id="27" w:name="_Toc2373"/>
      <w:bookmarkStart w:id="28" w:name="_Toc4067"/>
      <w:bookmarkStart w:id="29" w:name="_Toc23178"/>
      <w:bookmarkStart w:id="30" w:name="_Toc233435917"/>
      <w:bookmarkStart w:id="31" w:name="_Toc6025"/>
      <w:bookmarkStart w:id="32" w:name="_Toc26631"/>
      <w:r>
        <w:rPr>
          <w:rFonts w:hint="eastAsia" w:ascii="仿宋" w:hAnsi="仿宋" w:eastAsia="仿宋" w:cs="仿宋"/>
          <w:b w:val="0"/>
          <w:color w:val="000000" w:themeColor="text1"/>
          <w:sz w:val="44"/>
          <w14:textFill>
            <w14:solidFill>
              <w14:schemeClr w14:val="tx1"/>
            </w14:solidFill>
          </w14:textFill>
        </w:rPr>
        <w:t>A 总则</w:t>
      </w:r>
      <w:bookmarkEnd w:id="25"/>
      <w:bookmarkEnd w:id="26"/>
      <w:bookmarkEnd w:id="27"/>
      <w:bookmarkEnd w:id="28"/>
      <w:bookmarkEnd w:id="29"/>
      <w:bookmarkEnd w:id="30"/>
      <w:bookmarkEnd w:id="31"/>
      <w:bookmarkEnd w:id="32"/>
    </w:p>
    <w:p w14:paraId="33DBAEE6">
      <w:pPr>
        <w:pStyle w:val="4"/>
        <w:spacing w:before="0" w:after="0" w:line="360" w:lineRule="auto"/>
        <w:rPr>
          <w:rFonts w:hint="eastAsia" w:ascii="仿宋" w:hAnsi="仿宋" w:eastAsia="仿宋" w:cs="仿宋"/>
          <w:b w:val="0"/>
          <w:color w:val="000000" w:themeColor="text1"/>
          <w:sz w:val="24"/>
          <w14:textFill>
            <w14:solidFill>
              <w14:schemeClr w14:val="tx1"/>
            </w14:solidFill>
          </w14:textFill>
        </w:rPr>
      </w:pPr>
      <w:bookmarkStart w:id="33" w:name="_Toc25397"/>
      <w:bookmarkStart w:id="34" w:name="_Toc21664"/>
      <w:bookmarkStart w:id="35" w:name="_Toc802"/>
      <w:bookmarkStart w:id="36" w:name="_Toc233435918"/>
      <w:bookmarkStart w:id="37" w:name="_Toc22056"/>
      <w:bookmarkStart w:id="38" w:name="_Toc25234"/>
      <w:bookmarkStart w:id="39" w:name="_Toc24546"/>
      <w:bookmarkStart w:id="40" w:name="_Toc8744"/>
      <w:r>
        <w:rPr>
          <w:rFonts w:hint="eastAsia" w:ascii="仿宋" w:hAnsi="仿宋" w:eastAsia="仿宋" w:cs="仿宋"/>
          <w:b w:val="0"/>
          <w:color w:val="000000" w:themeColor="text1"/>
          <w14:textFill>
            <w14:solidFill>
              <w14:schemeClr w14:val="tx1"/>
            </w14:solidFill>
          </w14:textFill>
        </w:rPr>
        <w:t>1 适用范围</w:t>
      </w:r>
      <w:bookmarkEnd w:id="33"/>
      <w:bookmarkEnd w:id="34"/>
      <w:bookmarkEnd w:id="35"/>
      <w:bookmarkEnd w:id="36"/>
      <w:bookmarkEnd w:id="37"/>
      <w:bookmarkEnd w:id="38"/>
      <w:bookmarkEnd w:id="39"/>
      <w:bookmarkEnd w:id="40"/>
    </w:p>
    <w:p w14:paraId="2F4CE640">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1.1本招标文件仅适用于本招标公告中所叙述项目的货物采购。</w:t>
      </w:r>
    </w:p>
    <w:p w14:paraId="2BB98D73">
      <w:pPr>
        <w:pStyle w:val="4"/>
        <w:spacing w:line="360" w:lineRule="auto"/>
        <w:rPr>
          <w:rFonts w:hint="eastAsia" w:ascii="仿宋" w:hAnsi="仿宋" w:eastAsia="仿宋" w:cs="仿宋"/>
          <w:b w:val="0"/>
          <w:color w:val="000000" w:themeColor="text1"/>
          <w:sz w:val="24"/>
          <w14:textFill>
            <w14:solidFill>
              <w14:schemeClr w14:val="tx1"/>
            </w14:solidFill>
          </w14:textFill>
        </w:rPr>
      </w:pPr>
      <w:bookmarkStart w:id="41" w:name="_Toc28726"/>
      <w:bookmarkStart w:id="42" w:name="_Toc29265"/>
      <w:bookmarkStart w:id="43" w:name="_Toc15945"/>
      <w:bookmarkStart w:id="44" w:name="_Toc233435919"/>
      <w:bookmarkStart w:id="45" w:name="_Toc27915"/>
      <w:bookmarkStart w:id="46" w:name="_Toc10303"/>
      <w:bookmarkStart w:id="47" w:name="_Toc22277"/>
      <w:bookmarkStart w:id="48" w:name="_Toc6431"/>
      <w:r>
        <w:rPr>
          <w:rFonts w:hint="eastAsia" w:ascii="仿宋" w:hAnsi="仿宋" w:eastAsia="仿宋" w:cs="仿宋"/>
          <w:b w:val="0"/>
          <w:color w:val="000000" w:themeColor="text1"/>
          <w14:textFill>
            <w14:solidFill>
              <w14:schemeClr w14:val="tx1"/>
            </w14:solidFill>
          </w14:textFill>
        </w:rPr>
        <w:t>2 定义</w:t>
      </w:r>
      <w:bookmarkEnd w:id="41"/>
      <w:bookmarkEnd w:id="42"/>
      <w:bookmarkEnd w:id="43"/>
      <w:bookmarkEnd w:id="44"/>
      <w:bookmarkEnd w:id="45"/>
      <w:bookmarkEnd w:id="46"/>
      <w:bookmarkEnd w:id="47"/>
      <w:bookmarkEnd w:id="48"/>
      <w:r>
        <w:rPr>
          <w:rFonts w:hint="eastAsia" w:ascii="仿宋" w:hAnsi="仿宋" w:eastAsia="仿宋" w:cs="仿宋"/>
          <w:b w:val="0"/>
          <w:color w:val="000000" w:themeColor="text1"/>
          <w:sz w:val="24"/>
          <w14:textFill>
            <w14:solidFill>
              <w14:schemeClr w14:val="tx1"/>
            </w14:solidFill>
          </w14:textFill>
        </w:rPr>
        <w:t xml:space="preserve"> </w:t>
      </w:r>
    </w:p>
    <w:p w14:paraId="3646EB3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w:t>
      </w:r>
      <w:r>
        <w:rPr>
          <w:rFonts w:hint="eastAsia" w:ascii="仿宋" w:hAnsi="仿宋" w:eastAsia="仿宋" w:cs="仿宋"/>
          <w:color w:val="000000" w:themeColor="text1"/>
          <w:sz w:val="24"/>
          <w:lang w:eastAsia="zh-CN"/>
          <w14:textFill>
            <w14:solidFill>
              <w14:schemeClr w14:val="tx1"/>
            </w14:solidFill>
          </w14:textFill>
        </w:rPr>
        <w:t>商洛市药品检验所</w:t>
      </w:r>
      <w:r>
        <w:rPr>
          <w:rFonts w:hint="eastAsia" w:ascii="仿宋" w:hAnsi="仿宋" w:eastAsia="仿宋" w:cs="仿宋"/>
          <w:color w:val="000000" w:themeColor="text1"/>
          <w:sz w:val="24"/>
          <w14:textFill>
            <w14:solidFill>
              <w14:schemeClr w14:val="tx1"/>
            </w14:solidFill>
          </w14:textFill>
        </w:rPr>
        <w:t>。</w:t>
      </w:r>
    </w:p>
    <w:p w14:paraId="758D28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“采购代理机构”系指陕西中技招标有限公司。</w:t>
      </w:r>
    </w:p>
    <w:p w14:paraId="6F92ABE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”系指响应采购人要求提交投标文件的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w:t>
      </w:r>
    </w:p>
    <w:p w14:paraId="4C3A867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“服务”系指招标文件规定</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须承担的安装、测试、检验、调试、技术提供、售后服务以及其他类似的义务。</w:t>
      </w:r>
    </w:p>
    <w:p w14:paraId="1169685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“货物”系指</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按招标文件规定，须向采购人提供的货物、机械、仪器仪表、备品配件、工具、手册及其它有关技术资料和材料。</w:t>
      </w:r>
    </w:p>
    <w:p w14:paraId="7D58A49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2.5招标文件组成部分的各章节中出现的措辞“委托人”、“发包人”、“甲方”和“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”、“承包人”、“乙方”，在招标投标阶段应当分别按“采购人”和“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”进行理解。</w:t>
      </w:r>
    </w:p>
    <w:p w14:paraId="4A1F1FEE">
      <w:pPr>
        <w:pStyle w:val="4"/>
        <w:spacing w:line="360" w:lineRule="auto"/>
        <w:rPr>
          <w:rFonts w:hint="eastAsia" w:ascii="仿宋" w:hAnsi="仿宋" w:eastAsia="仿宋" w:cs="仿宋"/>
          <w:b w:val="0"/>
          <w:color w:val="000000" w:themeColor="text1"/>
          <w:lang w:eastAsia="zh-CN"/>
          <w14:textFill>
            <w14:solidFill>
              <w14:schemeClr w14:val="tx1"/>
            </w14:solidFill>
          </w14:textFill>
        </w:rPr>
      </w:pPr>
      <w:bookmarkStart w:id="49" w:name="_Toc8970"/>
      <w:bookmarkStart w:id="50" w:name="_Toc5739"/>
      <w:bookmarkStart w:id="51" w:name="_Toc11821"/>
      <w:bookmarkStart w:id="52" w:name="_Toc24607"/>
      <w:bookmarkStart w:id="53" w:name="_Toc9486"/>
      <w:bookmarkStart w:id="54" w:name="_Toc233435920"/>
      <w:bookmarkStart w:id="55" w:name="_Toc23655"/>
      <w:bookmarkStart w:id="56" w:name="_Toc6787"/>
      <w:r>
        <w:rPr>
          <w:rFonts w:hint="eastAsia" w:ascii="仿宋" w:hAnsi="仿宋" w:eastAsia="仿宋" w:cs="仿宋"/>
          <w:b w:val="0"/>
          <w:color w:val="000000" w:themeColor="text1"/>
          <w14:textFill>
            <w14:solidFill>
              <w14:schemeClr w14:val="tx1"/>
            </w14:solidFill>
          </w14:textFill>
        </w:rPr>
        <w:t>3 合格的</w:t>
      </w:r>
      <w:bookmarkEnd w:id="49"/>
      <w:bookmarkEnd w:id="50"/>
      <w:bookmarkEnd w:id="51"/>
      <w:bookmarkEnd w:id="52"/>
      <w:bookmarkEnd w:id="53"/>
      <w:bookmarkEnd w:id="54"/>
      <w:bookmarkEnd w:id="55"/>
      <w:r>
        <w:rPr>
          <w:rFonts w:hint="eastAsia" w:ascii="仿宋" w:hAnsi="仿宋" w:eastAsia="仿宋" w:cs="仿宋"/>
          <w:b w:val="0"/>
          <w:color w:val="000000" w:themeColor="text1"/>
          <w:lang w:eastAsia="zh-CN"/>
          <w14:textFill>
            <w14:solidFill>
              <w14:schemeClr w14:val="tx1"/>
            </w14:solidFill>
          </w14:textFill>
        </w:rPr>
        <w:t>投标人</w:t>
      </w:r>
      <w:bookmarkEnd w:id="56"/>
    </w:p>
    <w:p w14:paraId="0EE4937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凡在中华人民共和国注册的、具备</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条件且有能力提供招标货物的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均可投标。</w:t>
      </w:r>
    </w:p>
    <w:p w14:paraId="50B3748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3.2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必须在招标公告载明的地点购买招标文件并登记备案，未经购买招标文件并登记备案的潜在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均无资格参加本次投标。</w:t>
      </w:r>
    </w:p>
    <w:p w14:paraId="7C86FBF3">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bookmarkStart w:id="57" w:name="_Toc233435921"/>
      <w:r>
        <w:rPr>
          <w:rFonts w:hint="eastAsia" w:ascii="仿宋" w:hAnsi="仿宋" w:eastAsia="仿宋" w:cs="仿宋"/>
          <w:color w:val="000000" w:themeColor="text1"/>
          <w:sz w:val="24"/>
          <w14:textFill>
            <w14:solidFill>
              <w14:schemeClr w14:val="tx1"/>
            </w14:solidFill>
          </w14:textFill>
        </w:rPr>
        <w:t>3.3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应按照《中华人民共和国政府采购法》法律法规规定。</w:t>
      </w:r>
    </w:p>
    <w:p w14:paraId="25FF2188">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3.4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之间如果存在下列情形之一的，不得同时参加本项目投标：</w:t>
      </w:r>
    </w:p>
    <w:p w14:paraId="77EFE7C0">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法定代表人为同一个人的两个及两个以上法人公司；</w:t>
      </w:r>
    </w:p>
    <w:p w14:paraId="5AF851D8">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 母公司、全资子公司及其控股公司；</w:t>
      </w:r>
    </w:p>
    <w:p w14:paraId="067947B8">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3.4.3 参加投标的其他组织之间存在特殊的利害关系的；</w:t>
      </w:r>
    </w:p>
    <w:p w14:paraId="2F9CF7C3">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3.4.4 法律和行政法规规定的其他情形。</w:t>
      </w:r>
    </w:p>
    <w:p w14:paraId="68FF4603">
      <w:pPr>
        <w:spacing w:line="360" w:lineRule="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3.5分支机构参与投标时，投标文件中应附法定代表人出具的授权书。法定代表人只能授权一家分支机构参与投标，且不能与分支机构同时参与投标。分支机构需提供自己的资格要求证明文件。</w:t>
      </w:r>
    </w:p>
    <w:p w14:paraId="06936A89">
      <w:pPr>
        <w:spacing w:line="360" w:lineRule="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3.6为采购项目提供整体设计、规范编制或者项目管理、监理、检测等服务的</w:t>
      </w:r>
      <w:r>
        <w:rPr>
          <w:rFonts w:hint="eastAsia" w:ascii="仿宋" w:hAnsi="仿宋" w:eastAsia="仿宋" w:cs="仿宋"/>
          <w:color w:val="000000" w:themeColor="text1"/>
          <w:sz w:val="24"/>
          <w:szCs w:val="22"/>
          <w:lang w:eastAsia="zh-CN"/>
          <w14:textFill>
            <w14:solidFill>
              <w14:schemeClr w14:val="tx1"/>
            </w14:solidFill>
          </w14:textFill>
        </w:rPr>
        <w:t>投标人</w:t>
      </w:r>
      <w:r>
        <w:rPr>
          <w:rFonts w:hint="eastAsia" w:ascii="仿宋" w:hAnsi="仿宋" w:eastAsia="仿宋" w:cs="仿宋"/>
          <w:color w:val="000000" w:themeColor="text1"/>
          <w:sz w:val="24"/>
          <w:szCs w:val="22"/>
          <w14:textFill>
            <w14:solidFill>
              <w14:schemeClr w14:val="tx1"/>
            </w14:solidFill>
          </w14:textFill>
        </w:rPr>
        <w:t>，不得再参加同一项目的其他采购活动。</w:t>
      </w:r>
    </w:p>
    <w:p w14:paraId="78BFFA32">
      <w:pPr>
        <w:pStyle w:val="4"/>
        <w:spacing w:line="360" w:lineRule="auto"/>
        <w:rPr>
          <w:rFonts w:hint="eastAsia" w:ascii="仿宋" w:hAnsi="仿宋" w:eastAsia="仿宋" w:cs="仿宋"/>
          <w:b w:val="0"/>
          <w:color w:val="000000" w:themeColor="text1"/>
          <w14:textFill>
            <w14:solidFill>
              <w14:schemeClr w14:val="tx1"/>
            </w14:solidFill>
          </w14:textFill>
        </w:rPr>
      </w:pPr>
      <w:bookmarkStart w:id="58" w:name="_Toc14280"/>
      <w:bookmarkStart w:id="59" w:name="_Toc29883"/>
      <w:bookmarkStart w:id="60" w:name="_Toc27729"/>
      <w:bookmarkStart w:id="61" w:name="_Toc13606"/>
      <w:bookmarkStart w:id="62" w:name="_Toc22186"/>
      <w:bookmarkStart w:id="63" w:name="_Toc659"/>
      <w:bookmarkStart w:id="64" w:name="_Toc28693"/>
      <w:r>
        <w:rPr>
          <w:rFonts w:hint="eastAsia" w:ascii="仿宋" w:hAnsi="仿宋" w:eastAsia="仿宋" w:cs="仿宋"/>
          <w:b w:val="0"/>
          <w:color w:val="000000" w:themeColor="text1"/>
          <w14:textFill>
            <w14:solidFill>
              <w14:schemeClr w14:val="tx1"/>
            </w14:solidFill>
          </w14:textFill>
        </w:rPr>
        <w:t>4 费用</w:t>
      </w:r>
      <w:bookmarkEnd w:id="57"/>
      <w:bookmarkEnd w:id="58"/>
      <w:bookmarkEnd w:id="59"/>
      <w:bookmarkEnd w:id="60"/>
      <w:bookmarkEnd w:id="61"/>
      <w:bookmarkEnd w:id="62"/>
      <w:bookmarkEnd w:id="63"/>
      <w:bookmarkEnd w:id="64"/>
    </w:p>
    <w:p w14:paraId="70C04B5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应承担所有与编写和提交投标文件有关的费用，无论投标过程中的做法和结果如何，采购人及采购代理机构在任何情况下均无义务和责任承担这些费用。</w:t>
      </w:r>
    </w:p>
    <w:p w14:paraId="1377EC92">
      <w:pPr>
        <w:pStyle w:val="3"/>
        <w:spacing w:line="360" w:lineRule="auto"/>
        <w:jc w:val="center"/>
        <w:rPr>
          <w:rFonts w:hint="eastAsia" w:ascii="仿宋" w:hAnsi="仿宋" w:eastAsia="仿宋" w:cs="仿宋"/>
          <w:b w:val="0"/>
          <w:color w:val="000000" w:themeColor="text1"/>
          <w:sz w:val="44"/>
          <w14:textFill>
            <w14:solidFill>
              <w14:schemeClr w14:val="tx1"/>
            </w14:solidFill>
          </w14:textFill>
        </w:rPr>
      </w:pPr>
      <w:bookmarkStart w:id="65" w:name="_Toc30154"/>
      <w:bookmarkStart w:id="66" w:name="_Toc9867"/>
      <w:bookmarkStart w:id="67" w:name="_Toc233435922"/>
      <w:bookmarkStart w:id="68" w:name="_Toc14459"/>
      <w:bookmarkStart w:id="69" w:name="_Toc7485"/>
      <w:bookmarkStart w:id="70" w:name="_Toc25933"/>
      <w:bookmarkStart w:id="71" w:name="_Toc1123"/>
      <w:bookmarkStart w:id="72" w:name="_Toc4499"/>
      <w:r>
        <w:rPr>
          <w:rFonts w:hint="eastAsia" w:ascii="仿宋" w:hAnsi="仿宋" w:eastAsia="仿宋" w:cs="仿宋"/>
          <w:b w:val="0"/>
          <w:color w:val="000000" w:themeColor="text1"/>
          <w:sz w:val="44"/>
          <w14:textFill>
            <w14:solidFill>
              <w14:schemeClr w14:val="tx1"/>
            </w14:solidFill>
          </w14:textFill>
        </w:rPr>
        <w:t>B 招标文件说明</w:t>
      </w:r>
      <w:bookmarkEnd w:id="65"/>
      <w:bookmarkEnd w:id="66"/>
      <w:bookmarkEnd w:id="67"/>
      <w:bookmarkEnd w:id="68"/>
      <w:bookmarkEnd w:id="69"/>
      <w:bookmarkEnd w:id="70"/>
      <w:bookmarkEnd w:id="71"/>
      <w:bookmarkEnd w:id="72"/>
    </w:p>
    <w:p w14:paraId="43214171">
      <w:pPr>
        <w:pStyle w:val="4"/>
        <w:spacing w:line="360" w:lineRule="auto"/>
        <w:rPr>
          <w:rFonts w:hint="eastAsia" w:ascii="仿宋" w:hAnsi="仿宋" w:eastAsia="仿宋" w:cs="仿宋"/>
          <w:b w:val="0"/>
          <w:color w:val="000000" w:themeColor="text1"/>
          <w14:textFill>
            <w14:solidFill>
              <w14:schemeClr w14:val="tx1"/>
            </w14:solidFill>
          </w14:textFill>
        </w:rPr>
      </w:pPr>
      <w:bookmarkStart w:id="73" w:name="_Toc17332"/>
      <w:bookmarkStart w:id="74" w:name="_Toc24238"/>
      <w:bookmarkStart w:id="75" w:name="_Toc2569"/>
      <w:bookmarkStart w:id="76" w:name="_Toc16240"/>
      <w:bookmarkStart w:id="77" w:name="_Toc3915"/>
      <w:bookmarkStart w:id="78" w:name="_Toc6878"/>
      <w:bookmarkStart w:id="79" w:name="_Toc233435923"/>
      <w:bookmarkStart w:id="80" w:name="_Toc9373"/>
      <w:r>
        <w:rPr>
          <w:rFonts w:hint="eastAsia" w:ascii="仿宋" w:hAnsi="仿宋" w:eastAsia="仿宋" w:cs="仿宋"/>
          <w:b w:val="0"/>
          <w:color w:val="000000" w:themeColor="text1"/>
          <w14:textFill>
            <w14:solidFill>
              <w14:schemeClr w14:val="tx1"/>
            </w14:solidFill>
          </w14:textFill>
        </w:rPr>
        <w:t>5 招标文件的构成</w:t>
      </w:r>
      <w:bookmarkEnd w:id="73"/>
      <w:bookmarkEnd w:id="74"/>
      <w:bookmarkEnd w:id="75"/>
      <w:bookmarkEnd w:id="76"/>
      <w:bookmarkEnd w:id="77"/>
      <w:bookmarkEnd w:id="78"/>
      <w:bookmarkEnd w:id="79"/>
      <w:bookmarkEnd w:id="80"/>
    </w:p>
    <w:p w14:paraId="41D0A7D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  招标文件用以阐明所需提供的货物、招标、投标报价程序和合同条件。招标文件包括：</w:t>
      </w:r>
    </w:p>
    <w:p w14:paraId="73420E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5.1.1招标公告</w:t>
      </w:r>
    </w:p>
    <w:p w14:paraId="60F1273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5.1.2</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须知前附表</w:t>
      </w:r>
    </w:p>
    <w:p w14:paraId="20478B7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w:t>
      </w:r>
    </w:p>
    <w:p w14:paraId="6FD3601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5.1.4合同格式及主要条款</w:t>
      </w:r>
    </w:p>
    <w:p w14:paraId="30C3848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5.1.5附件—投标文件（格式）</w:t>
      </w:r>
    </w:p>
    <w:p w14:paraId="7B7EA0E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5.1.6评标方法</w:t>
      </w:r>
    </w:p>
    <w:p w14:paraId="53BD1D0B">
      <w:pPr>
        <w:spacing w:line="360" w:lineRule="auto"/>
      </w:pPr>
      <w:r>
        <w:rPr>
          <w:rFonts w:hint="eastAsia" w:ascii="仿宋" w:hAnsi="仿宋" w:eastAsia="仿宋" w:cs="仿宋"/>
          <w:color w:val="000000" w:themeColor="text1"/>
          <w:sz w:val="24"/>
          <w14:textFill>
            <w14:solidFill>
              <w14:schemeClr w14:val="tx1"/>
            </w14:solidFill>
          </w14:textFill>
        </w:rPr>
        <w:t>5.1.7采购内容及要求</w:t>
      </w:r>
    </w:p>
    <w:p w14:paraId="211ADA0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5.1.8 需要落实的政府采购政策</w:t>
      </w:r>
    </w:p>
    <w:p w14:paraId="2437370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应认真阅读招标文件中所有的事项、格式条款和规范要求等。</w:t>
      </w:r>
    </w:p>
    <w:p w14:paraId="2622E3F0">
      <w:pPr>
        <w:pStyle w:val="4"/>
        <w:spacing w:line="360" w:lineRule="auto"/>
        <w:rPr>
          <w:rFonts w:hint="eastAsia" w:ascii="仿宋" w:hAnsi="仿宋" w:eastAsia="仿宋" w:cs="仿宋"/>
          <w:b w:val="0"/>
          <w:color w:val="000000" w:themeColor="text1"/>
          <w14:textFill>
            <w14:solidFill>
              <w14:schemeClr w14:val="tx1"/>
            </w14:solidFill>
          </w14:textFill>
        </w:rPr>
      </w:pPr>
      <w:bookmarkStart w:id="81" w:name="_Toc3297"/>
      <w:bookmarkStart w:id="82" w:name="_Toc21210"/>
      <w:bookmarkStart w:id="83" w:name="_Toc18831"/>
      <w:bookmarkStart w:id="84" w:name="_Toc9441"/>
      <w:bookmarkStart w:id="85" w:name="_Toc12466"/>
      <w:bookmarkStart w:id="86" w:name="_Toc4085"/>
      <w:bookmarkStart w:id="87" w:name="_Toc12566"/>
      <w:bookmarkStart w:id="88" w:name="_Toc233435924"/>
      <w:r>
        <w:rPr>
          <w:rFonts w:hint="eastAsia" w:ascii="仿宋" w:hAnsi="仿宋" w:eastAsia="仿宋" w:cs="仿宋"/>
          <w:b w:val="0"/>
          <w:color w:val="000000" w:themeColor="text1"/>
          <w14:textFill>
            <w14:solidFill>
              <w14:schemeClr w14:val="tx1"/>
            </w14:solidFill>
          </w14:textFill>
        </w:rPr>
        <w:t>6 招标文件的澄清</w:t>
      </w:r>
      <w:bookmarkEnd w:id="81"/>
      <w:bookmarkEnd w:id="82"/>
      <w:bookmarkEnd w:id="83"/>
      <w:bookmarkEnd w:id="84"/>
      <w:bookmarkEnd w:id="85"/>
      <w:bookmarkEnd w:id="86"/>
      <w:bookmarkEnd w:id="87"/>
      <w:bookmarkEnd w:id="88"/>
    </w:p>
    <w:p w14:paraId="6B21444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任何要求对招标文件澄清的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，均应以书面形式在购标后7个工作日通知采购代理机构。采购代理机构将视情况确定以书面形式予以答复。</w:t>
      </w:r>
    </w:p>
    <w:p w14:paraId="561FEAF4">
      <w:pPr>
        <w:pStyle w:val="4"/>
        <w:spacing w:line="360" w:lineRule="auto"/>
        <w:rPr>
          <w:rFonts w:hint="eastAsia" w:ascii="仿宋" w:hAnsi="仿宋" w:eastAsia="仿宋" w:cs="仿宋"/>
          <w:b w:val="0"/>
          <w:color w:val="000000" w:themeColor="text1"/>
          <w14:textFill>
            <w14:solidFill>
              <w14:schemeClr w14:val="tx1"/>
            </w14:solidFill>
          </w14:textFill>
        </w:rPr>
      </w:pPr>
      <w:bookmarkStart w:id="89" w:name="_Toc16208"/>
      <w:bookmarkStart w:id="90" w:name="_Toc233435925"/>
      <w:bookmarkStart w:id="91" w:name="_Toc32451"/>
      <w:bookmarkStart w:id="92" w:name="_Toc1081"/>
      <w:bookmarkStart w:id="93" w:name="_Toc5470"/>
      <w:bookmarkStart w:id="94" w:name="_Toc18327"/>
      <w:bookmarkStart w:id="95" w:name="_Toc7135"/>
      <w:bookmarkStart w:id="96" w:name="_Toc23402"/>
      <w:r>
        <w:rPr>
          <w:rFonts w:hint="eastAsia" w:ascii="仿宋" w:hAnsi="仿宋" w:eastAsia="仿宋" w:cs="仿宋"/>
          <w:b w:val="0"/>
          <w:color w:val="000000" w:themeColor="text1"/>
          <w14:textFill>
            <w14:solidFill>
              <w14:schemeClr w14:val="tx1"/>
            </w14:solidFill>
          </w14:textFill>
        </w:rPr>
        <w:t>7 招标文件的修改</w:t>
      </w:r>
      <w:bookmarkEnd w:id="89"/>
      <w:bookmarkEnd w:id="90"/>
      <w:bookmarkEnd w:id="91"/>
      <w:bookmarkEnd w:id="92"/>
      <w:bookmarkEnd w:id="93"/>
      <w:bookmarkEnd w:id="94"/>
      <w:bookmarkEnd w:id="95"/>
      <w:bookmarkEnd w:id="96"/>
    </w:p>
    <w:p w14:paraId="3150ACC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在投标截止期前，采购人可主动地或在解答</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要求澄清的问题时对招标文件进行修改。</w:t>
      </w:r>
    </w:p>
    <w:p w14:paraId="01EEDBE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招标文件的修改将以书面形式通知所有招标文件的收受人，</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在收到该通知后应立即以纸质的形式予以确认。</w:t>
      </w:r>
    </w:p>
    <w:p w14:paraId="4936B9F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；不足15日的，采购人或者采购代理机构应当顺延提交投标文件的截止时间。</w:t>
      </w:r>
    </w:p>
    <w:p w14:paraId="29A74FC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  招标文件的修改书将构成招标文件的一部分，对采购人和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都具有约束力。</w:t>
      </w:r>
    </w:p>
    <w:p w14:paraId="6BB5E222">
      <w:pPr>
        <w:pStyle w:val="3"/>
        <w:spacing w:line="360" w:lineRule="auto"/>
        <w:jc w:val="center"/>
        <w:rPr>
          <w:rFonts w:hint="eastAsia" w:ascii="仿宋" w:hAnsi="仿宋" w:eastAsia="仿宋" w:cs="仿宋"/>
          <w:b w:val="0"/>
          <w:color w:val="000000" w:themeColor="text1"/>
          <w:sz w:val="44"/>
          <w:szCs w:val="44"/>
          <w14:textFill>
            <w14:solidFill>
              <w14:schemeClr w14:val="tx1"/>
            </w14:solidFill>
          </w14:textFill>
        </w:rPr>
      </w:pPr>
      <w:bookmarkStart w:id="97" w:name="_Toc12749"/>
      <w:bookmarkStart w:id="98" w:name="_Toc25251"/>
      <w:bookmarkStart w:id="99" w:name="_Toc14400"/>
      <w:bookmarkStart w:id="100" w:name="_Toc8528"/>
      <w:bookmarkStart w:id="101" w:name="_Toc9159"/>
      <w:bookmarkStart w:id="102" w:name="_Toc233435926"/>
      <w:bookmarkStart w:id="103" w:name="_Toc12518"/>
      <w:bookmarkStart w:id="104" w:name="_Toc21097"/>
      <w:r>
        <w:rPr>
          <w:rFonts w:hint="eastAsia" w:ascii="仿宋" w:hAnsi="仿宋" w:eastAsia="仿宋" w:cs="仿宋"/>
          <w:b w:val="0"/>
          <w:color w:val="000000" w:themeColor="text1"/>
          <w:sz w:val="44"/>
          <w:szCs w:val="44"/>
          <w14:textFill>
            <w14:solidFill>
              <w14:schemeClr w14:val="tx1"/>
            </w14:solidFill>
          </w14:textFill>
        </w:rPr>
        <w:t>C 投标文件的编写</w:t>
      </w:r>
      <w:bookmarkEnd w:id="97"/>
      <w:bookmarkEnd w:id="98"/>
      <w:bookmarkEnd w:id="99"/>
      <w:bookmarkEnd w:id="100"/>
      <w:bookmarkEnd w:id="101"/>
      <w:bookmarkEnd w:id="102"/>
      <w:bookmarkEnd w:id="103"/>
      <w:bookmarkEnd w:id="104"/>
    </w:p>
    <w:p w14:paraId="7003F391">
      <w:pPr>
        <w:pStyle w:val="4"/>
        <w:spacing w:line="360" w:lineRule="auto"/>
        <w:rPr>
          <w:rFonts w:hint="eastAsia" w:ascii="仿宋" w:hAnsi="仿宋" w:eastAsia="仿宋" w:cs="仿宋"/>
          <w:b w:val="0"/>
          <w:color w:val="000000" w:themeColor="text1"/>
          <w14:textFill>
            <w14:solidFill>
              <w14:schemeClr w14:val="tx1"/>
            </w14:solidFill>
          </w14:textFill>
        </w:rPr>
      </w:pPr>
      <w:bookmarkStart w:id="105" w:name="_Toc21257"/>
      <w:bookmarkStart w:id="106" w:name="_Toc30360"/>
      <w:bookmarkStart w:id="107" w:name="_Toc20501"/>
      <w:bookmarkStart w:id="108" w:name="_Toc5083"/>
      <w:bookmarkStart w:id="109" w:name="_Toc16217"/>
      <w:bookmarkStart w:id="110" w:name="_Toc233435927"/>
      <w:bookmarkStart w:id="111" w:name="_Toc1425"/>
      <w:bookmarkStart w:id="112" w:name="_Toc11836"/>
      <w:r>
        <w:rPr>
          <w:rFonts w:hint="eastAsia" w:ascii="仿宋" w:hAnsi="仿宋" w:eastAsia="仿宋" w:cs="仿宋"/>
          <w:b w:val="0"/>
          <w:color w:val="000000" w:themeColor="text1"/>
          <w14:textFill>
            <w14:solidFill>
              <w14:schemeClr w14:val="tx1"/>
            </w14:solidFill>
          </w14:textFill>
        </w:rPr>
        <w:t>8 投标文件语言</w:t>
      </w:r>
      <w:bookmarkEnd w:id="105"/>
      <w:bookmarkEnd w:id="106"/>
      <w:bookmarkEnd w:id="107"/>
      <w:bookmarkEnd w:id="108"/>
      <w:bookmarkEnd w:id="109"/>
      <w:bookmarkEnd w:id="110"/>
      <w:bookmarkEnd w:id="111"/>
      <w:bookmarkEnd w:id="112"/>
    </w:p>
    <w:p w14:paraId="3979543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编写的投标文件和往来信件应以中文书写。</w:t>
      </w:r>
    </w:p>
    <w:p w14:paraId="5D2F03DF">
      <w:pPr>
        <w:pStyle w:val="4"/>
        <w:spacing w:line="360" w:lineRule="auto"/>
        <w:rPr>
          <w:rFonts w:hint="eastAsia" w:ascii="仿宋" w:hAnsi="仿宋" w:eastAsia="仿宋" w:cs="仿宋"/>
          <w:b w:val="0"/>
          <w:color w:val="000000" w:themeColor="text1"/>
          <w14:textFill>
            <w14:solidFill>
              <w14:schemeClr w14:val="tx1"/>
            </w14:solidFill>
          </w14:textFill>
        </w:rPr>
      </w:pPr>
      <w:bookmarkStart w:id="113" w:name="_Toc24334"/>
      <w:bookmarkStart w:id="114" w:name="_Toc233435928"/>
      <w:bookmarkStart w:id="115" w:name="_Toc7312"/>
      <w:bookmarkStart w:id="116" w:name="_Toc7942"/>
      <w:bookmarkStart w:id="117" w:name="_Toc22042"/>
      <w:bookmarkStart w:id="118" w:name="_Toc32504"/>
      <w:bookmarkStart w:id="119" w:name="_Toc2199"/>
      <w:bookmarkStart w:id="120" w:name="_Toc5775"/>
      <w:r>
        <w:rPr>
          <w:rFonts w:hint="eastAsia" w:ascii="仿宋" w:hAnsi="仿宋" w:eastAsia="仿宋" w:cs="仿宋"/>
          <w:b w:val="0"/>
          <w:color w:val="000000" w:themeColor="text1"/>
          <w14:textFill>
            <w14:solidFill>
              <w14:schemeClr w14:val="tx1"/>
            </w14:solidFill>
          </w14:textFill>
        </w:rPr>
        <w:t>9 计量单位</w:t>
      </w:r>
      <w:bookmarkEnd w:id="113"/>
      <w:bookmarkEnd w:id="114"/>
      <w:bookmarkEnd w:id="115"/>
      <w:bookmarkEnd w:id="116"/>
      <w:bookmarkEnd w:id="117"/>
      <w:bookmarkEnd w:id="118"/>
      <w:bookmarkEnd w:id="119"/>
      <w:bookmarkEnd w:id="120"/>
    </w:p>
    <w:p w14:paraId="5C8DA3F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除在招标文件的技术规格中另有规定外，计量单位应使用中华人民共和国法定计量单位。</w:t>
      </w:r>
    </w:p>
    <w:p w14:paraId="4E0EEEC1">
      <w:pPr>
        <w:pStyle w:val="4"/>
        <w:spacing w:line="360" w:lineRule="auto"/>
        <w:rPr>
          <w:rFonts w:hint="eastAsia" w:ascii="仿宋" w:hAnsi="仿宋" w:eastAsia="仿宋" w:cs="仿宋"/>
          <w:b w:val="0"/>
          <w:color w:val="000000" w:themeColor="text1"/>
          <w14:textFill>
            <w14:solidFill>
              <w14:schemeClr w14:val="tx1"/>
            </w14:solidFill>
          </w14:textFill>
        </w:rPr>
      </w:pPr>
      <w:bookmarkStart w:id="121" w:name="_Toc23757"/>
      <w:bookmarkStart w:id="122" w:name="_Toc3128"/>
      <w:bookmarkStart w:id="123" w:name="_Toc10252"/>
      <w:bookmarkStart w:id="124" w:name="_Toc17864"/>
      <w:bookmarkStart w:id="125" w:name="_Toc3985"/>
      <w:bookmarkStart w:id="126" w:name="_Toc5844"/>
      <w:bookmarkStart w:id="127" w:name="_Toc28929"/>
      <w:bookmarkStart w:id="128" w:name="_Toc233435929"/>
      <w:r>
        <w:rPr>
          <w:rFonts w:hint="eastAsia" w:ascii="仿宋" w:hAnsi="仿宋" w:eastAsia="仿宋" w:cs="仿宋"/>
          <w:b w:val="0"/>
          <w:color w:val="000000" w:themeColor="text1"/>
          <w14:textFill>
            <w14:solidFill>
              <w14:schemeClr w14:val="tx1"/>
            </w14:solidFill>
          </w14:textFill>
        </w:rPr>
        <w:t>10 投标文件的组成</w:t>
      </w:r>
      <w:bookmarkEnd w:id="121"/>
      <w:bookmarkEnd w:id="122"/>
      <w:bookmarkEnd w:id="123"/>
      <w:bookmarkEnd w:id="124"/>
      <w:bookmarkEnd w:id="125"/>
      <w:bookmarkEnd w:id="126"/>
      <w:bookmarkEnd w:id="127"/>
      <w:bookmarkEnd w:id="128"/>
    </w:p>
    <w:p w14:paraId="379CAB0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编写的投标文件应包括下列部分：</w:t>
      </w:r>
    </w:p>
    <w:p w14:paraId="370B635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10.1投标函（见附件）、开标一览表（见附件）以及所有附件内容。</w:t>
      </w:r>
    </w:p>
    <w:p w14:paraId="4449046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10.2按照</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须知要求出具的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资格证明文件。</w:t>
      </w:r>
    </w:p>
    <w:p w14:paraId="52DE2BB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10.3按照</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须知要求出具的投标货物符合招标文件规定的证明文件及</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认为需加以说明的其他内容。</w:t>
      </w:r>
    </w:p>
    <w:p w14:paraId="34B3E4F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10.4招标文件要求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提供的其他内容。</w:t>
      </w:r>
    </w:p>
    <w:p w14:paraId="5C547100">
      <w:pPr>
        <w:pStyle w:val="4"/>
        <w:spacing w:line="360" w:lineRule="auto"/>
        <w:rPr>
          <w:rFonts w:hint="eastAsia" w:ascii="仿宋" w:hAnsi="仿宋" w:eastAsia="仿宋" w:cs="仿宋"/>
          <w:b w:val="0"/>
          <w:color w:val="000000" w:themeColor="text1"/>
          <w14:textFill>
            <w14:solidFill>
              <w14:schemeClr w14:val="tx1"/>
            </w14:solidFill>
          </w14:textFill>
        </w:rPr>
      </w:pPr>
      <w:bookmarkStart w:id="129" w:name="_Toc8439"/>
      <w:bookmarkStart w:id="130" w:name="_Toc16568"/>
      <w:bookmarkStart w:id="131" w:name="_Toc233435930"/>
      <w:bookmarkStart w:id="132" w:name="_Toc5122"/>
      <w:bookmarkStart w:id="133" w:name="_Toc31651"/>
      <w:bookmarkStart w:id="134" w:name="_Toc14086"/>
      <w:bookmarkStart w:id="135" w:name="_Toc3186"/>
      <w:bookmarkStart w:id="136" w:name="_Toc29407"/>
      <w:r>
        <w:rPr>
          <w:rFonts w:hint="eastAsia" w:ascii="仿宋" w:hAnsi="仿宋" w:eastAsia="仿宋" w:cs="仿宋"/>
          <w:b w:val="0"/>
          <w:color w:val="000000" w:themeColor="text1"/>
          <w14:textFill>
            <w14:solidFill>
              <w14:schemeClr w14:val="tx1"/>
            </w14:solidFill>
          </w14:textFill>
        </w:rPr>
        <w:t>11 投标文件格式</w:t>
      </w:r>
      <w:bookmarkEnd w:id="129"/>
      <w:bookmarkEnd w:id="130"/>
      <w:bookmarkEnd w:id="131"/>
      <w:bookmarkEnd w:id="132"/>
      <w:bookmarkEnd w:id="133"/>
      <w:bookmarkEnd w:id="134"/>
      <w:bookmarkEnd w:id="135"/>
      <w:bookmarkEnd w:id="136"/>
    </w:p>
    <w:p w14:paraId="6F2830F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应按招标文件中提供的投标文件格式填写 “投标函”、“开标一览表”、“货物简要说明一览表”、“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资格证明文件”以及其他相关文件，注明提供的产品名称、产品简介、原产地、数量和价格等。</w:t>
      </w:r>
    </w:p>
    <w:p w14:paraId="0C45D56B">
      <w:pPr>
        <w:pStyle w:val="4"/>
        <w:tabs>
          <w:tab w:val="left" w:pos="2490"/>
        </w:tabs>
        <w:spacing w:line="360" w:lineRule="auto"/>
        <w:rPr>
          <w:rFonts w:hint="eastAsia" w:ascii="仿宋" w:hAnsi="仿宋" w:eastAsia="仿宋" w:cs="仿宋"/>
          <w:b w:val="0"/>
          <w:color w:val="000000" w:themeColor="text1"/>
          <w14:textFill>
            <w14:solidFill>
              <w14:schemeClr w14:val="tx1"/>
            </w14:solidFill>
          </w14:textFill>
        </w:rPr>
      </w:pPr>
      <w:bookmarkStart w:id="137" w:name="_Toc233435931"/>
      <w:bookmarkStart w:id="138" w:name="_Toc20747"/>
      <w:bookmarkStart w:id="139" w:name="_Toc6136"/>
      <w:bookmarkStart w:id="140" w:name="_Toc137"/>
      <w:bookmarkStart w:id="141" w:name="_Toc19783"/>
      <w:bookmarkStart w:id="142" w:name="_Toc3991"/>
      <w:bookmarkStart w:id="143" w:name="_Toc3119"/>
      <w:bookmarkStart w:id="144" w:name="_Toc25292"/>
      <w:r>
        <w:rPr>
          <w:rFonts w:hint="eastAsia" w:ascii="仿宋" w:hAnsi="仿宋" w:eastAsia="仿宋" w:cs="仿宋"/>
          <w:b w:val="0"/>
          <w:color w:val="000000" w:themeColor="text1"/>
          <w14:textFill>
            <w14:solidFill>
              <w14:schemeClr w14:val="tx1"/>
            </w14:solidFill>
          </w14:textFill>
        </w:rPr>
        <w:t>12 投标</w:t>
      </w:r>
      <w:bookmarkEnd w:id="137"/>
      <w:r>
        <w:rPr>
          <w:rFonts w:hint="eastAsia" w:ascii="仿宋" w:hAnsi="仿宋" w:eastAsia="仿宋" w:cs="仿宋"/>
          <w:b w:val="0"/>
          <w:color w:val="000000" w:themeColor="text1"/>
          <w14:textFill>
            <w14:solidFill>
              <w14:schemeClr w14:val="tx1"/>
            </w14:solidFill>
          </w14:textFill>
        </w:rPr>
        <w:t>报价</w:t>
      </w:r>
      <w:bookmarkEnd w:id="138"/>
      <w:bookmarkEnd w:id="139"/>
      <w:bookmarkEnd w:id="140"/>
      <w:bookmarkEnd w:id="141"/>
      <w:bookmarkEnd w:id="142"/>
      <w:bookmarkEnd w:id="143"/>
      <w:bookmarkEnd w:id="144"/>
      <w:r>
        <w:rPr>
          <w:rFonts w:hint="eastAsia" w:ascii="仿宋" w:hAnsi="仿宋" w:eastAsia="仿宋" w:cs="仿宋"/>
          <w:b w:val="0"/>
          <w:color w:val="000000" w:themeColor="text1"/>
          <w14:textFill>
            <w14:solidFill>
              <w14:schemeClr w14:val="tx1"/>
            </w14:solidFill>
          </w14:textFill>
        </w:rPr>
        <w:tab/>
      </w:r>
    </w:p>
    <w:p w14:paraId="5215B99E">
      <w:pPr>
        <w:overflowPunct w:val="0"/>
        <w:adjustRightInd w:val="0"/>
        <w:snapToGrid w:val="0"/>
        <w:spacing w:line="360" w:lineRule="auto"/>
        <w:rPr>
          <w:rFonts w:hint="eastAsia" w:ascii="仿宋" w:hAnsi="仿宋" w:eastAsia="仿宋" w:cs="仿宋"/>
          <w:bCs/>
          <w:color w:val="000000" w:themeColor="text1"/>
          <w:sz w:val="24"/>
          <w14:textFill>
            <w14:solidFill>
              <w14:schemeClr w14:val="tx1"/>
            </w14:solidFill>
          </w14:textFill>
        </w:rPr>
      </w:pPr>
      <w:bookmarkStart w:id="145" w:name="_Toc233435932"/>
      <w:r>
        <w:rPr>
          <w:rFonts w:hint="eastAsia" w:ascii="仿宋" w:hAnsi="仿宋" w:eastAsia="仿宋" w:cs="仿宋"/>
          <w:b/>
          <w:bCs w:val="0"/>
          <w:color w:val="000000" w:themeColor="text1"/>
          <w:sz w:val="24"/>
          <w14:textFill>
            <w14:solidFill>
              <w14:schemeClr w14:val="tx1"/>
            </w14:solidFill>
          </w14:textFill>
        </w:rPr>
        <w:t>12.1</w:t>
      </w:r>
      <w:r>
        <w:rPr>
          <w:rFonts w:hint="eastAsia" w:ascii="仿宋" w:hAnsi="仿宋" w:eastAsia="仿宋" w:cs="仿宋"/>
          <w:b/>
          <w:bCs w:val="0"/>
          <w:color w:val="000000" w:themeColor="text1"/>
          <w:sz w:val="24"/>
          <w:lang w:val="en-US" w:eastAsia="zh-CN"/>
          <w14:textFill>
            <w14:solidFill>
              <w14:schemeClr w14:val="tx1"/>
            </w14:solidFill>
          </w14:textFill>
        </w:rPr>
        <w:t>本项目报价方式为固定总价</w:t>
      </w:r>
      <w:r>
        <w:rPr>
          <w:rFonts w:hint="eastAsia" w:ascii="仿宋" w:hAnsi="仿宋" w:eastAsia="仿宋" w:cs="仿宋"/>
          <w:b/>
          <w:bCs w:val="0"/>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12.2</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所提供的产品交货价是全套货物的，货到用户现场价加上安装货物需要的所有辅材价格、已付的</w:t>
      </w:r>
      <w:r>
        <w:rPr>
          <w:rFonts w:hint="eastAsia" w:ascii="仿宋" w:hAnsi="仿宋" w:eastAsia="仿宋" w:cs="仿宋"/>
          <w:bCs/>
          <w:color w:val="000000" w:themeColor="text1"/>
          <w:sz w:val="24"/>
          <w:lang w:val="en-US"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报价含</w:t>
      </w:r>
      <w:r>
        <w:rPr>
          <w:rFonts w:hint="eastAsia" w:ascii="仿宋" w:hAnsi="仿宋" w:eastAsia="仿宋" w:cs="仿宋"/>
          <w:bCs/>
          <w:color w:val="000000" w:themeColor="text1"/>
          <w:sz w:val="24"/>
          <w:lang w:eastAsia="zh-CN"/>
          <w14:textFill>
            <w14:solidFill>
              <w14:schemeClr w14:val="tx1"/>
            </w14:solidFill>
          </w14:textFill>
        </w:rPr>
        <w:t>货物价款、包装费、运杂费（含保险费）、验收费、利润、风险、税金</w:t>
      </w:r>
      <w:r>
        <w:rPr>
          <w:rFonts w:hint="eastAsia" w:ascii="仿宋" w:hAnsi="仿宋" w:eastAsia="仿宋" w:cs="仿宋"/>
          <w:bCs/>
          <w:color w:val="000000" w:themeColor="text1"/>
          <w:sz w:val="24"/>
          <w14:textFill>
            <w14:solidFill>
              <w14:schemeClr w14:val="tx1"/>
            </w14:solidFill>
          </w14:textFill>
        </w:rPr>
        <w:t>等所有费用，若漏报，将是</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风险。（所有税费不必分别填写，计入货价内即可）。</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12.3凡本招标文件要求（或允许）及</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认为需要进行报价的各项费用项目（不论是否要求进入报价），若报价时未报或未在投标文件中予以说明，采购人将认为这些费用</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已计取，并包含在综合折扣中（项目内容调整除外）。</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12.4</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应按照招标文件附件提供的格式填写“开标一览表”。</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12.5</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所报的报价</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综合折扣</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在合同执行过程中是固定不变的，不得以任何理由予以变更。以可调整的价格提交的投标文件将作为非响应性投标而予以拒绝。</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12.6凡因</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对招标文件阅读不深、理解不透、误解、疏漏、或因市场行情了解不清造成的后果和风险均由</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自负。投标响应过程中所产生的一切费用由</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自行承担。</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12.7采购人只接受</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提供的唯一投标方案，不接受备选方案。</w:t>
      </w:r>
    </w:p>
    <w:p w14:paraId="6828B4BE">
      <w:pPr>
        <w:pStyle w:val="4"/>
        <w:spacing w:line="360" w:lineRule="auto"/>
        <w:rPr>
          <w:rFonts w:hint="eastAsia" w:ascii="仿宋" w:hAnsi="仿宋" w:eastAsia="仿宋" w:cs="仿宋"/>
          <w:b w:val="0"/>
          <w:color w:val="000000" w:themeColor="text1"/>
          <w14:textFill>
            <w14:solidFill>
              <w14:schemeClr w14:val="tx1"/>
            </w14:solidFill>
          </w14:textFill>
        </w:rPr>
      </w:pPr>
      <w:bookmarkStart w:id="146" w:name="_Toc24874"/>
      <w:bookmarkStart w:id="147" w:name="_Toc9778"/>
      <w:bookmarkStart w:id="148" w:name="_Toc12772"/>
      <w:bookmarkStart w:id="149" w:name="_Toc14177"/>
      <w:bookmarkStart w:id="150" w:name="_Toc13555"/>
      <w:bookmarkStart w:id="151" w:name="_Toc32422"/>
      <w:bookmarkStart w:id="152" w:name="_Toc14218"/>
      <w:r>
        <w:rPr>
          <w:rFonts w:hint="eastAsia" w:ascii="仿宋" w:hAnsi="仿宋" w:eastAsia="仿宋" w:cs="仿宋"/>
          <w:b w:val="0"/>
          <w:color w:val="000000" w:themeColor="text1"/>
          <w14:textFill>
            <w14:solidFill>
              <w14:schemeClr w14:val="tx1"/>
            </w14:solidFill>
          </w14:textFill>
        </w:rPr>
        <w:t>13 投标货币</w:t>
      </w:r>
      <w:bookmarkEnd w:id="145"/>
      <w:bookmarkEnd w:id="146"/>
      <w:bookmarkEnd w:id="147"/>
      <w:bookmarkEnd w:id="148"/>
      <w:bookmarkEnd w:id="149"/>
      <w:bookmarkEnd w:id="150"/>
      <w:bookmarkEnd w:id="151"/>
      <w:bookmarkEnd w:id="152"/>
    </w:p>
    <w:p w14:paraId="791A793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采购人只接受人民币作为唯一投标报价货币。</w:t>
      </w:r>
    </w:p>
    <w:p w14:paraId="15DE0126">
      <w:pPr>
        <w:pStyle w:val="4"/>
        <w:spacing w:line="360" w:lineRule="auto"/>
        <w:rPr>
          <w:rFonts w:hint="eastAsia" w:ascii="仿宋" w:hAnsi="仿宋" w:eastAsia="仿宋" w:cs="仿宋"/>
          <w:b w:val="0"/>
          <w:color w:val="000000" w:themeColor="text1"/>
          <w14:textFill>
            <w14:solidFill>
              <w14:schemeClr w14:val="tx1"/>
            </w14:solidFill>
          </w14:textFill>
        </w:rPr>
      </w:pPr>
      <w:bookmarkStart w:id="153" w:name="_Toc9543"/>
      <w:bookmarkStart w:id="154" w:name="_Toc21356"/>
      <w:bookmarkStart w:id="155" w:name="_Toc233435933"/>
      <w:bookmarkStart w:id="156" w:name="_Toc31942"/>
      <w:bookmarkStart w:id="157" w:name="_Toc2940"/>
      <w:bookmarkStart w:id="158" w:name="_Toc12945"/>
      <w:bookmarkStart w:id="159" w:name="_Toc861"/>
      <w:bookmarkStart w:id="160" w:name="_Toc2680"/>
      <w:r>
        <w:rPr>
          <w:rFonts w:hint="eastAsia" w:ascii="仿宋" w:hAnsi="仿宋" w:eastAsia="仿宋" w:cs="仿宋"/>
          <w:b w:val="0"/>
          <w:color w:val="000000" w:themeColor="text1"/>
          <w14:textFill>
            <w14:solidFill>
              <w14:schemeClr w14:val="tx1"/>
            </w14:solidFill>
          </w14:textFill>
        </w:rPr>
        <w:t>14 证明</w:t>
      </w:r>
      <w:r>
        <w:rPr>
          <w:rFonts w:hint="eastAsia" w:ascii="仿宋" w:hAnsi="仿宋" w:eastAsia="仿宋" w:cs="仿宋"/>
          <w:b w:val="0"/>
          <w:color w:val="000000" w:themeColor="text1"/>
          <w:lang w:eastAsia="zh-CN"/>
          <w14:textFill>
            <w14:solidFill>
              <w14:schemeClr w14:val="tx1"/>
            </w14:solidFill>
          </w14:textFill>
        </w:rPr>
        <w:t>投标人</w:t>
      </w:r>
      <w:r>
        <w:rPr>
          <w:rFonts w:hint="eastAsia" w:ascii="仿宋" w:hAnsi="仿宋" w:eastAsia="仿宋" w:cs="仿宋"/>
          <w:b w:val="0"/>
          <w:color w:val="000000" w:themeColor="text1"/>
          <w14:textFill>
            <w14:solidFill>
              <w14:schemeClr w14:val="tx1"/>
            </w14:solidFill>
          </w14:textFill>
        </w:rPr>
        <w:t>资格的证明文件</w:t>
      </w:r>
      <w:bookmarkEnd w:id="153"/>
      <w:bookmarkEnd w:id="154"/>
      <w:bookmarkEnd w:id="155"/>
      <w:bookmarkEnd w:id="156"/>
      <w:bookmarkEnd w:id="157"/>
      <w:bookmarkEnd w:id="158"/>
      <w:bookmarkEnd w:id="159"/>
      <w:bookmarkEnd w:id="160"/>
    </w:p>
    <w:p w14:paraId="43890FE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必须按附件要求提交证明文件，以证明其有资格参加投标和入选后有履行合同的能力，并作为其投标文件的一部分。</w:t>
      </w:r>
    </w:p>
    <w:p w14:paraId="46240A4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应具有履行合同所需的财务、技术和生产能力；</w:t>
      </w:r>
    </w:p>
    <w:p w14:paraId="1248A32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应有能力履行招标文件所规定的由</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在交货地点提供安装、保修、维修、供应备件的技术具备和服务；</w:t>
      </w:r>
    </w:p>
    <w:p w14:paraId="01A2B8B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认为能够证明</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及其提供产品资质或质量的环保认证、质量认证等其他文件。</w:t>
      </w:r>
    </w:p>
    <w:p w14:paraId="424EABA6">
      <w:pPr>
        <w:pStyle w:val="4"/>
        <w:spacing w:line="360" w:lineRule="auto"/>
        <w:rPr>
          <w:rFonts w:hint="eastAsia" w:ascii="仿宋" w:hAnsi="仿宋" w:eastAsia="仿宋" w:cs="仿宋"/>
          <w:b w:val="0"/>
          <w:color w:val="000000" w:themeColor="text1"/>
          <w14:textFill>
            <w14:solidFill>
              <w14:schemeClr w14:val="tx1"/>
            </w14:solidFill>
          </w14:textFill>
        </w:rPr>
      </w:pPr>
      <w:bookmarkStart w:id="161" w:name="_Toc3697"/>
      <w:bookmarkStart w:id="162" w:name="_Toc31817"/>
      <w:bookmarkStart w:id="163" w:name="_Toc7045"/>
      <w:bookmarkStart w:id="164" w:name="_Toc14088"/>
      <w:bookmarkStart w:id="165" w:name="_Toc17017"/>
      <w:bookmarkStart w:id="166" w:name="_Toc233435934"/>
      <w:bookmarkStart w:id="167" w:name="_Toc23106"/>
      <w:bookmarkStart w:id="168" w:name="_Toc30344"/>
      <w:r>
        <w:rPr>
          <w:rFonts w:hint="eastAsia" w:ascii="仿宋" w:hAnsi="仿宋" w:eastAsia="仿宋" w:cs="仿宋"/>
          <w:b w:val="0"/>
          <w:color w:val="000000" w:themeColor="text1"/>
          <w14:textFill>
            <w14:solidFill>
              <w14:schemeClr w14:val="tx1"/>
            </w14:solidFill>
          </w14:textFill>
        </w:rPr>
        <w:t>15 证明产品的合格性和符合招标文件规定的文件</w:t>
      </w:r>
      <w:bookmarkEnd w:id="161"/>
      <w:bookmarkEnd w:id="162"/>
      <w:bookmarkEnd w:id="163"/>
      <w:bookmarkEnd w:id="164"/>
      <w:bookmarkEnd w:id="165"/>
      <w:bookmarkEnd w:id="166"/>
      <w:bookmarkEnd w:id="167"/>
      <w:bookmarkEnd w:id="168"/>
    </w:p>
    <w:p w14:paraId="28B30F1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应对招标文件中的各项条款做出清晰准确的答复。</w:t>
      </w:r>
    </w:p>
    <w:p w14:paraId="3E7EB6D7">
      <w:pPr>
        <w:spacing w:line="360" w:lineRule="auto"/>
        <w:ind w:left="360" w:hanging="360" w:hanging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15.2  提交文件可以是文字资料也可以是图纸、图片等资料。 </w:t>
      </w:r>
    </w:p>
    <w:p w14:paraId="25695E20">
      <w:pPr>
        <w:pStyle w:val="4"/>
        <w:spacing w:line="360" w:lineRule="auto"/>
        <w:rPr>
          <w:rFonts w:hint="eastAsia" w:ascii="仿宋" w:hAnsi="仿宋" w:eastAsia="仿宋" w:cs="仿宋"/>
          <w:b w:val="0"/>
          <w:color w:val="000000" w:themeColor="text1"/>
          <w14:textFill>
            <w14:solidFill>
              <w14:schemeClr w14:val="tx1"/>
            </w14:solidFill>
          </w14:textFill>
        </w:rPr>
      </w:pPr>
      <w:bookmarkStart w:id="169" w:name="_Toc30305"/>
      <w:bookmarkStart w:id="170" w:name="_Toc233435935"/>
      <w:bookmarkStart w:id="171" w:name="_Toc840"/>
      <w:bookmarkStart w:id="172" w:name="_Toc23986"/>
      <w:bookmarkStart w:id="173" w:name="_Toc22529"/>
      <w:bookmarkStart w:id="174" w:name="_Toc20253"/>
      <w:bookmarkStart w:id="175" w:name="_Toc8524"/>
      <w:bookmarkStart w:id="176" w:name="_Toc9512"/>
      <w:r>
        <w:rPr>
          <w:rFonts w:hint="eastAsia" w:ascii="仿宋" w:hAnsi="仿宋" w:eastAsia="仿宋" w:cs="仿宋"/>
          <w:b w:val="0"/>
          <w:color w:val="000000" w:themeColor="text1"/>
          <w14:textFill>
            <w14:solidFill>
              <w14:schemeClr w14:val="tx1"/>
            </w14:solidFill>
          </w14:textFill>
        </w:rPr>
        <w:t>16 投标保证金</w:t>
      </w:r>
      <w:bookmarkEnd w:id="169"/>
      <w:bookmarkEnd w:id="170"/>
      <w:bookmarkEnd w:id="171"/>
      <w:bookmarkEnd w:id="172"/>
      <w:bookmarkEnd w:id="173"/>
      <w:bookmarkEnd w:id="174"/>
      <w:bookmarkEnd w:id="175"/>
      <w:bookmarkEnd w:id="176"/>
    </w:p>
    <w:p w14:paraId="41F1A82F">
      <w:pPr>
        <w:spacing w:line="360" w:lineRule="auto"/>
        <w:rPr>
          <w:rFonts w:hint="eastAsia" w:ascii="仿宋" w:hAnsi="仿宋" w:eastAsia="仿宋" w:cs="仿宋"/>
          <w:color w:val="000000" w:themeColor="text1"/>
          <w:sz w:val="24"/>
          <w14:textFill>
            <w14:solidFill>
              <w14:schemeClr w14:val="tx1"/>
            </w14:solidFill>
          </w14:textFill>
        </w:rPr>
      </w:pPr>
      <w:bookmarkStart w:id="177" w:name="_Toc233435936"/>
      <w:r>
        <w:rPr>
          <w:rFonts w:hint="eastAsia" w:ascii="仿宋" w:hAnsi="仿宋" w:eastAsia="仿宋" w:cs="仿宋"/>
          <w:color w:val="000000" w:themeColor="text1"/>
          <w:sz w:val="24"/>
          <w14:textFill>
            <w14:solidFill>
              <w14:schemeClr w14:val="tx1"/>
            </w14:solidFill>
          </w14:textFill>
        </w:rPr>
        <w:t>16.1投标保证金按照</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须知前附表的要求提交。</w:t>
      </w:r>
    </w:p>
    <w:p w14:paraId="5AB3EA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 对于未能按要求提交投标保证金的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，将视为不响应招标文件而予以拒绝。</w:t>
      </w:r>
    </w:p>
    <w:p w14:paraId="35AA48C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16.3未中标的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的投标保证金将于中标通知书发出后5个工作日内予以退还。</w:t>
      </w:r>
    </w:p>
    <w:p w14:paraId="0CE841A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 中标人的投标保证金，在中标人与采购人签订合同后5个工作日内退还。</w:t>
      </w:r>
    </w:p>
    <w:p w14:paraId="1C1865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 如发生下列情况之一时，投标保证金将被没收：</w:t>
      </w:r>
    </w:p>
    <w:p w14:paraId="7C51EBD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16.5.1</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在投标截止至投标有效期满之前撤回投标文件及中标人放弃中标的；</w:t>
      </w:r>
    </w:p>
    <w:p w14:paraId="21F1520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16.5.2提供虚假资料谋取中标的；</w:t>
      </w:r>
    </w:p>
    <w:p w14:paraId="71C646A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16.5.3中标人拒绝签订合同协议。</w:t>
      </w:r>
    </w:p>
    <w:p w14:paraId="737AFF8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16.6 投标保证金用于保护采购人免受因</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行为而蒙受的损失。</w:t>
      </w:r>
    </w:p>
    <w:p w14:paraId="38B8F7B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16.7未按规定提交投标保证金的将视其为无效标。</w:t>
      </w:r>
    </w:p>
    <w:p w14:paraId="57A3A45D">
      <w:pPr>
        <w:pStyle w:val="4"/>
        <w:spacing w:line="360" w:lineRule="auto"/>
        <w:rPr>
          <w:rFonts w:hint="eastAsia" w:ascii="仿宋" w:hAnsi="仿宋" w:eastAsia="仿宋" w:cs="仿宋"/>
          <w:b w:val="0"/>
          <w:color w:val="000000" w:themeColor="text1"/>
          <w14:textFill>
            <w14:solidFill>
              <w14:schemeClr w14:val="tx1"/>
            </w14:solidFill>
          </w14:textFill>
        </w:rPr>
      </w:pPr>
      <w:bookmarkStart w:id="178" w:name="_Toc18549"/>
      <w:bookmarkStart w:id="179" w:name="_Toc17427"/>
      <w:bookmarkStart w:id="180" w:name="_Toc17446"/>
      <w:bookmarkStart w:id="181" w:name="_Toc11935"/>
      <w:bookmarkStart w:id="182" w:name="_Toc16356"/>
      <w:bookmarkStart w:id="183" w:name="_Toc7554"/>
      <w:bookmarkStart w:id="184" w:name="_Toc32729"/>
      <w:r>
        <w:rPr>
          <w:rFonts w:hint="eastAsia" w:ascii="仿宋" w:hAnsi="仿宋" w:eastAsia="仿宋" w:cs="仿宋"/>
          <w:b w:val="0"/>
          <w:color w:val="000000" w:themeColor="text1"/>
          <w14:textFill>
            <w14:solidFill>
              <w14:schemeClr w14:val="tx1"/>
            </w14:solidFill>
          </w14:textFill>
        </w:rPr>
        <w:t>17 投标有效期</w:t>
      </w:r>
      <w:bookmarkEnd w:id="177"/>
      <w:bookmarkEnd w:id="178"/>
      <w:bookmarkEnd w:id="179"/>
      <w:bookmarkEnd w:id="180"/>
      <w:bookmarkEnd w:id="181"/>
      <w:bookmarkEnd w:id="182"/>
      <w:bookmarkEnd w:id="183"/>
      <w:bookmarkEnd w:id="184"/>
    </w:p>
    <w:p w14:paraId="6C6F84C5">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投标文件从开标之日起，投标有效期为90日历天。投标文件的有效期比本须知规定的有效期短的，将被视为非响应投标，采购人有权拒绝。</w:t>
      </w:r>
    </w:p>
    <w:p w14:paraId="4394621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特殊情况下，采购人可于投标有效期满之前要求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同意延长有效期，要求与答复均应为书面形式。</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可以拒绝上述要求，其投标保证金不被没收。对于同意该要求的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，不要求也不允许其修改投标文件，但将要求其相应延长投标保证金的有效期，有关退还和没收投标保证金的规定在投标有效期的延长期内继续有效。</w:t>
      </w:r>
    </w:p>
    <w:p w14:paraId="1B13BD31">
      <w:pPr>
        <w:pStyle w:val="4"/>
        <w:spacing w:before="120" w:after="120" w:line="360" w:lineRule="auto"/>
        <w:rPr>
          <w:rFonts w:hint="eastAsia" w:ascii="仿宋" w:hAnsi="仿宋" w:eastAsia="仿宋" w:cs="仿宋"/>
          <w:b w:val="0"/>
          <w:color w:val="000000" w:themeColor="text1"/>
          <w14:textFill>
            <w14:solidFill>
              <w14:schemeClr w14:val="tx1"/>
            </w14:solidFill>
          </w14:textFill>
        </w:rPr>
      </w:pPr>
      <w:bookmarkStart w:id="185" w:name="_Toc23488"/>
      <w:bookmarkStart w:id="186" w:name="_Toc31161"/>
      <w:bookmarkStart w:id="187" w:name="_Toc12979"/>
      <w:bookmarkStart w:id="188" w:name="_Toc1325"/>
      <w:bookmarkStart w:id="189" w:name="_Toc6147"/>
      <w:bookmarkStart w:id="190" w:name="_Toc3241"/>
      <w:bookmarkStart w:id="191" w:name="_Toc233435937"/>
      <w:bookmarkStart w:id="192" w:name="_Toc13729"/>
      <w:r>
        <w:rPr>
          <w:rFonts w:hint="eastAsia" w:ascii="仿宋" w:hAnsi="仿宋" w:eastAsia="仿宋" w:cs="仿宋"/>
          <w:b w:val="0"/>
          <w:color w:val="000000" w:themeColor="text1"/>
          <w14:textFill>
            <w14:solidFill>
              <w14:schemeClr w14:val="tx1"/>
            </w14:solidFill>
          </w14:textFill>
        </w:rPr>
        <w:t>18 投标文件的签署及格式</w:t>
      </w:r>
      <w:bookmarkEnd w:id="185"/>
      <w:bookmarkEnd w:id="186"/>
      <w:bookmarkEnd w:id="187"/>
      <w:bookmarkEnd w:id="188"/>
      <w:bookmarkEnd w:id="189"/>
      <w:bookmarkEnd w:id="190"/>
      <w:bookmarkEnd w:id="191"/>
      <w:bookmarkEnd w:id="192"/>
    </w:p>
    <w:p w14:paraId="55A3FB1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  投标文件正本须是打印文件。投标文件应由</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法定代表人或经法定代表人正式授权的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代表在“招标文件”要求的地方签字并加盖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公章。</w:t>
      </w:r>
    </w:p>
    <w:p w14:paraId="71548B7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  投标文件中不许有加行、涂抹或改写。</w:t>
      </w:r>
    </w:p>
    <w:p w14:paraId="77C5C6D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  采购人拒绝接受以电报、电话、传真、电子邮件形式的投标。</w:t>
      </w:r>
    </w:p>
    <w:p w14:paraId="6970104E">
      <w:pPr>
        <w:pStyle w:val="3"/>
        <w:spacing w:before="120" w:after="120" w:line="360" w:lineRule="auto"/>
        <w:jc w:val="center"/>
        <w:rPr>
          <w:rFonts w:hint="eastAsia" w:ascii="仿宋" w:hAnsi="仿宋" w:eastAsia="仿宋" w:cs="仿宋"/>
          <w:b w:val="0"/>
          <w:color w:val="000000" w:themeColor="text1"/>
          <w:sz w:val="44"/>
          <w:szCs w:val="44"/>
          <w14:textFill>
            <w14:solidFill>
              <w14:schemeClr w14:val="tx1"/>
            </w14:solidFill>
          </w14:textFill>
        </w:rPr>
      </w:pPr>
      <w:bookmarkStart w:id="193" w:name="_Toc233435938"/>
      <w:bookmarkStart w:id="194" w:name="_Toc11192"/>
      <w:bookmarkStart w:id="195" w:name="_Toc30639"/>
      <w:bookmarkStart w:id="196" w:name="_Toc26236"/>
      <w:bookmarkStart w:id="197" w:name="_Toc20663"/>
      <w:bookmarkStart w:id="198" w:name="_Toc28074"/>
      <w:bookmarkStart w:id="199" w:name="_Toc32343"/>
      <w:bookmarkStart w:id="200" w:name="_Toc6371"/>
      <w:r>
        <w:rPr>
          <w:rFonts w:hint="eastAsia" w:ascii="仿宋" w:hAnsi="仿宋" w:eastAsia="仿宋" w:cs="仿宋"/>
          <w:b w:val="0"/>
          <w:color w:val="000000" w:themeColor="text1"/>
          <w:sz w:val="44"/>
          <w:szCs w:val="44"/>
          <w14:textFill>
            <w14:solidFill>
              <w14:schemeClr w14:val="tx1"/>
            </w14:solidFill>
          </w14:textFill>
        </w:rPr>
        <w:t>D 投标文件的递交</w:t>
      </w:r>
      <w:bookmarkEnd w:id="193"/>
      <w:bookmarkEnd w:id="194"/>
      <w:bookmarkEnd w:id="195"/>
      <w:bookmarkEnd w:id="196"/>
      <w:bookmarkEnd w:id="197"/>
      <w:bookmarkEnd w:id="198"/>
      <w:bookmarkEnd w:id="199"/>
      <w:bookmarkEnd w:id="200"/>
    </w:p>
    <w:p w14:paraId="1105FFD4">
      <w:pPr>
        <w:pStyle w:val="4"/>
        <w:spacing w:before="120" w:after="120" w:line="360" w:lineRule="auto"/>
        <w:rPr>
          <w:rFonts w:hint="eastAsia" w:ascii="仿宋" w:hAnsi="仿宋" w:eastAsia="仿宋" w:cs="仿宋"/>
          <w:b w:val="0"/>
          <w:color w:val="000000" w:themeColor="text1"/>
          <w14:textFill>
            <w14:solidFill>
              <w14:schemeClr w14:val="tx1"/>
            </w14:solidFill>
          </w14:textFill>
        </w:rPr>
      </w:pPr>
      <w:bookmarkStart w:id="201" w:name="_Toc24253"/>
      <w:bookmarkStart w:id="202" w:name="_Toc7852"/>
      <w:bookmarkStart w:id="203" w:name="_Toc233435939"/>
      <w:bookmarkStart w:id="204" w:name="_Toc15636"/>
      <w:bookmarkStart w:id="205" w:name="_Toc28844"/>
      <w:bookmarkStart w:id="206" w:name="_Toc16305"/>
      <w:bookmarkStart w:id="207" w:name="_Toc32129"/>
      <w:bookmarkStart w:id="208" w:name="_Toc22264"/>
      <w:r>
        <w:rPr>
          <w:rFonts w:hint="eastAsia" w:ascii="仿宋" w:hAnsi="仿宋" w:eastAsia="仿宋" w:cs="仿宋"/>
          <w:b w:val="0"/>
          <w:color w:val="000000" w:themeColor="text1"/>
          <w14:textFill>
            <w14:solidFill>
              <w14:schemeClr w14:val="tx1"/>
            </w14:solidFill>
          </w14:textFill>
        </w:rPr>
        <w:t>19 投标文件的包装和标记</w:t>
      </w:r>
      <w:bookmarkEnd w:id="201"/>
      <w:bookmarkEnd w:id="202"/>
      <w:bookmarkEnd w:id="203"/>
      <w:bookmarkEnd w:id="204"/>
      <w:bookmarkEnd w:id="205"/>
      <w:bookmarkEnd w:id="206"/>
      <w:bookmarkEnd w:id="207"/>
      <w:bookmarkEnd w:id="208"/>
    </w:p>
    <w:p w14:paraId="186FB7D5">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 投标文件数量详见</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须知前附表。</w:t>
      </w:r>
    </w:p>
    <w:p w14:paraId="5F8CB09F">
      <w:pPr>
        <w:overflowPunct w:val="0"/>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应将投标文件的正本、副本分别装订，每套“投标文件”封面应标明“正本”、“副本”“电子版”。一旦正本与副本不符，以正本为准。</w:t>
      </w:r>
    </w:p>
    <w:p w14:paraId="3DBC0E68">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投标文件正本以密封袋/箱单独密封，所有的副本以密封袋/箱单独密封。密封袋/箱正面和投标文件封面须标明“正本”“副本”“电子版”字样。所有投标文件的密封袋/箱应加盖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公章。电子版单独密封。电子版内容包含投标文件word版和pdf版（pdf版为加盖公章的投标文件纸质版的扫描件）。</w:t>
      </w:r>
    </w:p>
    <w:p w14:paraId="5BE8198F">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21.2.1投标文件必须密封递交。对封装材料及样式不作特别规定，但</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应当保证其封装的可靠性，不致因搬运、堆放等原因散开。所有密封袋/箱正面和投标文件封面须标明采购项目名称、采购项目编号、</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名称及“正本”、“副本”“电子版”字样。</w:t>
      </w:r>
    </w:p>
    <w:p w14:paraId="37ACB60F">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21.2.2所有投标文件的密封袋/箱的封面应加盖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公章。</w:t>
      </w:r>
    </w:p>
    <w:p w14:paraId="445EF165">
      <w:pPr>
        <w:pStyle w:val="4"/>
        <w:spacing w:line="360" w:lineRule="auto"/>
        <w:rPr>
          <w:rFonts w:hint="eastAsia" w:ascii="仿宋" w:hAnsi="仿宋" w:eastAsia="仿宋" w:cs="仿宋"/>
          <w:b w:val="0"/>
          <w:color w:val="000000" w:themeColor="text1"/>
          <w14:textFill>
            <w14:solidFill>
              <w14:schemeClr w14:val="tx1"/>
            </w14:solidFill>
          </w14:textFill>
        </w:rPr>
      </w:pPr>
      <w:bookmarkStart w:id="209" w:name="_Toc14578"/>
      <w:bookmarkStart w:id="210" w:name="_Toc32001"/>
      <w:bookmarkStart w:id="211" w:name="_Toc23474"/>
      <w:bookmarkStart w:id="212" w:name="_Toc13282"/>
      <w:bookmarkStart w:id="213" w:name="_Toc20758"/>
      <w:bookmarkStart w:id="214" w:name="_Toc5455"/>
      <w:bookmarkStart w:id="215" w:name="_Toc9573"/>
      <w:bookmarkStart w:id="216" w:name="_Toc233435940"/>
      <w:r>
        <w:rPr>
          <w:rFonts w:hint="eastAsia" w:ascii="仿宋" w:hAnsi="仿宋" w:eastAsia="仿宋" w:cs="仿宋"/>
          <w:b w:val="0"/>
          <w:color w:val="000000" w:themeColor="text1"/>
          <w14:textFill>
            <w14:solidFill>
              <w14:schemeClr w14:val="tx1"/>
            </w14:solidFill>
          </w14:textFill>
        </w:rPr>
        <w:t>20 投标截止时间</w:t>
      </w:r>
      <w:bookmarkEnd w:id="209"/>
      <w:bookmarkEnd w:id="210"/>
      <w:bookmarkEnd w:id="211"/>
      <w:bookmarkEnd w:id="212"/>
      <w:bookmarkEnd w:id="213"/>
      <w:bookmarkEnd w:id="214"/>
      <w:bookmarkEnd w:id="215"/>
      <w:bookmarkEnd w:id="216"/>
    </w:p>
    <w:p w14:paraId="58CF665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20.1  所有投标文件都必须按“招标公告”中规定的统一递交投标文件时间送达“招标公告”中规定的递交地址。</w:t>
      </w:r>
    </w:p>
    <w:p w14:paraId="46811D2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  出现第7.3款因招标文件的修改推迟投标截止日期时，则按修改通知规定的时间递交。</w:t>
      </w:r>
    </w:p>
    <w:p w14:paraId="2C1D535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20.3  在投标文件递交截止时间之后递交的任何投标文件及资料将被拒绝接收。</w:t>
      </w:r>
    </w:p>
    <w:p w14:paraId="687EF2F0">
      <w:pPr>
        <w:pStyle w:val="3"/>
        <w:spacing w:line="360" w:lineRule="auto"/>
        <w:jc w:val="center"/>
        <w:rPr>
          <w:rFonts w:hint="eastAsia" w:ascii="仿宋" w:hAnsi="仿宋" w:eastAsia="仿宋" w:cs="仿宋"/>
          <w:b w:val="0"/>
          <w:color w:val="000000" w:themeColor="text1"/>
          <w:sz w:val="44"/>
          <w:szCs w:val="44"/>
          <w14:textFill>
            <w14:solidFill>
              <w14:schemeClr w14:val="tx1"/>
            </w14:solidFill>
          </w14:textFill>
        </w:rPr>
      </w:pPr>
      <w:bookmarkStart w:id="217" w:name="_Toc233435941"/>
      <w:bookmarkStart w:id="218" w:name="_Toc22704"/>
      <w:bookmarkStart w:id="219" w:name="_Toc19781"/>
      <w:bookmarkStart w:id="220" w:name="_Toc29212"/>
      <w:bookmarkStart w:id="221" w:name="_Toc28665"/>
      <w:bookmarkStart w:id="222" w:name="_Toc4008"/>
      <w:bookmarkStart w:id="223" w:name="_Toc13925"/>
      <w:bookmarkStart w:id="224" w:name="_Toc25119"/>
      <w:r>
        <w:rPr>
          <w:rFonts w:hint="eastAsia" w:ascii="仿宋" w:hAnsi="仿宋" w:eastAsia="仿宋" w:cs="仿宋"/>
          <w:b w:val="0"/>
          <w:color w:val="000000" w:themeColor="text1"/>
          <w:sz w:val="44"/>
          <w:szCs w:val="44"/>
          <w14:textFill>
            <w14:solidFill>
              <w14:schemeClr w14:val="tx1"/>
            </w14:solidFill>
          </w14:textFill>
        </w:rPr>
        <w:t>E 投标和</w:t>
      </w:r>
      <w:bookmarkEnd w:id="217"/>
      <w:r>
        <w:rPr>
          <w:rFonts w:hint="eastAsia" w:ascii="仿宋" w:hAnsi="仿宋" w:eastAsia="仿宋" w:cs="仿宋"/>
          <w:b w:val="0"/>
          <w:color w:val="000000" w:themeColor="text1"/>
          <w:sz w:val="44"/>
          <w:szCs w:val="44"/>
          <w14:textFill>
            <w14:solidFill>
              <w14:schemeClr w14:val="tx1"/>
            </w14:solidFill>
          </w14:textFill>
        </w:rPr>
        <w:t>评标</w:t>
      </w:r>
      <w:bookmarkEnd w:id="218"/>
      <w:bookmarkEnd w:id="219"/>
      <w:bookmarkEnd w:id="220"/>
      <w:bookmarkEnd w:id="221"/>
      <w:bookmarkEnd w:id="222"/>
      <w:bookmarkEnd w:id="223"/>
      <w:bookmarkEnd w:id="224"/>
    </w:p>
    <w:p w14:paraId="60E7F854">
      <w:pPr>
        <w:pStyle w:val="4"/>
        <w:spacing w:line="360" w:lineRule="auto"/>
        <w:rPr>
          <w:rFonts w:hint="eastAsia" w:ascii="仿宋" w:hAnsi="仿宋" w:eastAsia="仿宋" w:cs="仿宋"/>
          <w:b w:val="0"/>
          <w:color w:val="000000" w:themeColor="text1"/>
          <w14:textFill>
            <w14:solidFill>
              <w14:schemeClr w14:val="tx1"/>
            </w14:solidFill>
          </w14:textFill>
        </w:rPr>
      </w:pPr>
      <w:bookmarkStart w:id="225" w:name="_Toc5613"/>
      <w:bookmarkStart w:id="226" w:name="_Toc20763"/>
      <w:bookmarkStart w:id="227" w:name="_Toc2678"/>
      <w:bookmarkStart w:id="228" w:name="_Toc22588"/>
      <w:bookmarkStart w:id="229" w:name="_Toc13034"/>
      <w:bookmarkStart w:id="230" w:name="_Toc11413"/>
      <w:bookmarkStart w:id="231" w:name="_Toc28599"/>
      <w:bookmarkStart w:id="232" w:name="_Toc233435942"/>
      <w:r>
        <w:rPr>
          <w:rFonts w:hint="eastAsia" w:ascii="仿宋" w:hAnsi="仿宋" w:eastAsia="仿宋" w:cs="仿宋"/>
          <w:b w:val="0"/>
          <w:color w:val="000000" w:themeColor="text1"/>
          <w14:textFill>
            <w14:solidFill>
              <w14:schemeClr w14:val="tx1"/>
            </w14:solidFill>
          </w14:textFill>
        </w:rPr>
        <w:t>21 投标</w:t>
      </w:r>
      <w:bookmarkEnd w:id="225"/>
      <w:bookmarkEnd w:id="226"/>
      <w:bookmarkEnd w:id="227"/>
      <w:bookmarkEnd w:id="228"/>
      <w:bookmarkEnd w:id="229"/>
      <w:bookmarkEnd w:id="230"/>
      <w:bookmarkEnd w:id="231"/>
      <w:bookmarkEnd w:id="232"/>
    </w:p>
    <w:p w14:paraId="6778385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采购代理机构按招标文件中规定的时间和地点接受</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递交的投标文件。</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授权代表签到，并参加开标。</w:t>
      </w:r>
    </w:p>
    <w:p w14:paraId="38FC95D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开标时，</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授权代表与监标人查验投标文件密封情况并签字。确认后拆封投标文件。</w:t>
      </w:r>
    </w:p>
    <w:p w14:paraId="6C2805E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该投标文件作为评标委员会评标依据。</w:t>
      </w:r>
    </w:p>
    <w:p w14:paraId="765286EF">
      <w:pPr>
        <w:pStyle w:val="4"/>
        <w:spacing w:line="360" w:lineRule="auto"/>
        <w:rPr>
          <w:rFonts w:hint="eastAsia" w:ascii="仿宋" w:hAnsi="仿宋" w:eastAsia="仿宋" w:cs="仿宋"/>
          <w:b w:val="0"/>
          <w:color w:val="000000" w:themeColor="text1"/>
          <w14:textFill>
            <w14:solidFill>
              <w14:schemeClr w14:val="tx1"/>
            </w14:solidFill>
          </w14:textFill>
        </w:rPr>
      </w:pPr>
      <w:bookmarkStart w:id="233" w:name="_Toc233435943"/>
      <w:bookmarkStart w:id="234" w:name="_Toc27662"/>
      <w:bookmarkStart w:id="235" w:name="_Toc9826"/>
      <w:bookmarkStart w:id="236" w:name="_Toc29799"/>
      <w:bookmarkStart w:id="237" w:name="_Toc5070"/>
      <w:bookmarkStart w:id="238" w:name="_Toc29996"/>
      <w:bookmarkStart w:id="239" w:name="_Toc14436"/>
      <w:bookmarkStart w:id="240" w:name="_Toc31263"/>
      <w:r>
        <w:rPr>
          <w:rFonts w:hint="eastAsia" w:ascii="仿宋" w:hAnsi="仿宋" w:eastAsia="仿宋" w:cs="仿宋"/>
          <w:b w:val="0"/>
          <w:color w:val="000000" w:themeColor="text1"/>
          <w14:textFill>
            <w14:solidFill>
              <w14:schemeClr w14:val="tx1"/>
            </w14:solidFill>
          </w14:textFill>
        </w:rPr>
        <w:t xml:space="preserve">22 </w:t>
      </w:r>
      <w:bookmarkEnd w:id="233"/>
      <w:r>
        <w:rPr>
          <w:rFonts w:hint="eastAsia" w:ascii="仿宋" w:hAnsi="仿宋" w:eastAsia="仿宋" w:cs="仿宋"/>
          <w:b w:val="0"/>
          <w:color w:val="000000" w:themeColor="text1"/>
          <w14:textFill>
            <w14:solidFill>
              <w14:schemeClr w14:val="tx1"/>
            </w14:solidFill>
          </w14:textFill>
        </w:rPr>
        <w:t>评标委员会</w:t>
      </w:r>
      <w:bookmarkEnd w:id="234"/>
      <w:bookmarkEnd w:id="235"/>
      <w:bookmarkEnd w:id="236"/>
      <w:bookmarkEnd w:id="237"/>
      <w:bookmarkEnd w:id="238"/>
      <w:bookmarkEnd w:id="239"/>
      <w:bookmarkEnd w:id="240"/>
    </w:p>
    <w:p w14:paraId="18CBEB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  根据本次招标项目特点，按照《中华人民共和国政府采购法》组建评标委员会。</w:t>
      </w:r>
    </w:p>
    <w:p w14:paraId="7F17C975">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  评标委员会成员由采购人代表和评审专家组成，成员人数应当为5人以上单数。</w:t>
      </w:r>
    </w:p>
    <w:p w14:paraId="395587A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  评标委员会成员对投标文件进行审查、质疑、评估和比较，并推荐出 3家中标候选人。</w:t>
      </w:r>
    </w:p>
    <w:p w14:paraId="610DA00C">
      <w:pPr>
        <w:pStyle w:val="4"/>
        <w:spacing w:line="360" w:lineRule="auto"/>
        <w:rPr>
          <w:rFonts w:hint="eastAsia" w:ascii="仿宋" w:hAnsi="仿宋" w:eastAsia="仿宋" w:cs="仿宋"/>
          <w:b w:val="0"/>
          <w:color w:val="000000" w:themeColor="text1"/>
          <w14:textFill>
            <w14:solidFill>
              <w14:schemeClr w14:val="tx1"/>
            </w14:solidFill>
          </w14:textFill>
        </w:rPr>
      </w:pPr>
      <w:bookmarkStart w:id="241" w:name="_Toc15134"/>
      <w:bookmarkStart w:id="242" w:name="_Toc26561"/>
      <w:bookmarkStart w:id="243" w:name="_Toc233435944"/>
      <w:bookmarkStart w:id="244" w:name="_Toc23180"/>
      <w:bookmarkStart w:id="245" w:name="_Toc19556"/>
      <w:bookmarkStart w:id="246" w:name="_Toc13238"/>
      <w:bookmarkStart w:id="247" w:name="_Toc9398"/>
      <w:bookmarkStart w:id="248" w:name="_Toc24013"/>
      <w:r>
        <w:rPr>
          <w:rFonts w:hint="eastAsia" w:ascii="仿宋" w:hAnsi="仿宋" w:eastAsia="仿宋" w:cs="仿宋"/>
          <w:b w:val="0"/>
          <w:color w:val="000000" w:themeColor="text1"/>
          <w14:textFill>
            <w14:solidFill>
              <w14:schemeClr w14:val="tx1"/>
            </w14:solidFill>
          </w14:textFill>
        </w:rPr>
        <w:t>23 对</w:t>
      </w:r>
      <w:r>
        <w:rPr>
          <w:rFonts w:hint="eastAsia" w:ascii="仿宋" w:hAnsi="仿宋" w:eastAsia="仿宋" w:cs="仿宋"/>
          <w:b w:val="0"/>
          <w:color w:val="000000" w:themeColor="text1"/>
          <w:lang w:eastAsia="zh-CN"/>
          <w14:textFill>
            <w14:solidFill>
              <w14:schemeClr w14:val="tx1"/>
            </w14:solidFill>
          </w14:textFill>
        </w:rPr>
        <w:t>投标人</w:t>
      </w:r>
      <w:r>
        <w:rPr>
          <w:rFonts w:hint="eastAsia" w:ascii="仿宋" w:hAnsi="仿宋" w:eastAsia="仿宋" w:cs="仿宋"/>
          <w:b w:val="0"/>
          <w:color w:val="000000" w:themeColor="text1"/>
          <w14:textFill>
            <w14:solidFill>
              <w14:schemeClr w14:val="tx1"/>
            </w14:solidFill>
          </w14:textFill>
        </w:rPr>
        <w:t>资格性的审查</w:t>
      </w:r>
      <w:bookmarkEnd w:id="241"/>
      <w:bookmarkEnd w:id="242"/>
      <w:bookmarkEnd w:id="243"/>
      <w:bookmarkEnd w:id="244"/>
      <w:bookmarkEnd w:id="245"/>
      <w:bookmarkEnd w:id="246"/>
      <w:bookmarkEnd w:id="247"/>
      <w:bookmarkEnd w:id="248"/>
    </w:p>
    <w:p w14:paraId="01AB29C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23.1首先对</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进行</w:t>
      </w:r>
      <w:r>
        <w:rPr>
          <w:rFonts w:hint="eastAsia" w:ascii="仿宋" w:hAnsi="仿宋" w:eastAsia="仿宋" w:cs="仿宋"/>
          <w:b/>
          <w:bCs/>
          <w:color w:val="000000" w:themeColor="text1"/>
          <w:sz w:val="24"/>
          <w:u w:val="single"/>
          <w14:textFill>
            <w14:solidFill>
              <w14:schemeClr w14:val="tx1"/>
            </w14:solidFill>
          </w14:textFill>
        </w:rPr>
        <w:t>资格性审查</w:t>
      </w:r>
      <w:r>
        <w:rPr>
          <w:rFonts w:hint="eastAsia" w:ascii="仿宋" w:hAnsi="仿宋" w:eastAsia="仿宋" w:cs="仿宋"/>
          <w:color w:val="000000" w:themeColor="text1"/>
          <w:sz w:val="24"/>
          <w14:textFill>
            <w14:solidFill>
              <w14:schemeClr w14:val="tx1"/>
            </w14:solidFill>
          </w14:textFill>
        </w:rPr>
        <w:t>：开标结束后，</w:t>
      </w:r>
      <w:r>
        <w:rPr>
          <w:rFonts w:hint="eastAsia" w:ascii="仿宋" w:hAnsi="仿宋" w:eastAsia="仿宋" w:cs="仿宋"/>
          <w:color w:val="000000" w:themeColor="text1"/>
          <w:sz w:val="24"/>
          <w:highlight w:val="green"/>
          <w14:textFill>
            <w14:solidFill>
              <w14:schemeClr w14:val="tx1"/>
            </w14:solidFill>
          </w14:textFill>
        </w:rPr>
        <w:t>采购代理机构</w:t>
      </w:r>
      <w:r>
        <w:rPr>
          <w:rFonts w:hint="eastAsia" w:ascii="仿宋" w:hAnsi="仿宋" w:eastAsia="仿宋" w:cs="仿宋"/>
          <w:color w:val="000000" w:themeColor="text1"/>
          <w:sz w:val="24"/>
          <w:highlight w:val="green"/>
          <w:lang w:val="en-US" w:eastAsia="zh-CN"/>
          <w14:textFill>
            <w14:solidFill>
              <w14:schemeClr w14:val="tx1"/>
            </w14:solidFill>
          </w14:textFill>
        </w:rPr>
        <w:t>或采购人</w:t>
      </w:r>
      <w:r>
        <w:rPr>
          <w:rFonts w:hint="eastAsia" w:ascii="仿宋" w:hAnsi="仿宋" w:eastAsia="仿宋" w:cs="仿宋"/>
          <w:color w:val="000000" w:themeColor="text1"/>
          <w:sz w:val="24"/>
          <w14:textFill>
            <w14:solidFill>
              <w14:schemeClr w14:val="tx1"/>
            </w14:solidFill>
          </w14:textFill>
        </w:rPr>
        <w:t>对投标文件中的资格证明文件及保证金等进行审查。合格</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 xml:space="preserve">不足3家的，不得评标。 </w:t>
      </w:r>
    </w:p>
    <w:p w14:paraId="40108F9A">
      <w:pPr>
        <w:pStyle w:val="4"/>
        <w:spacing w:line="360" w:lineRule="auto"/>
        <w:rPr>
          <w:rFonts w:hint="eastAsia" w:ascii="仿宋" w:hAnsi="仿宋" w:eastAsia="仿宋" w:cs="仿宋"/>
          <w:b w:val="0"/>
          <w:color w:val="000000" w:themeColor="text1"/>
          <w14:textFill>
            <w14:solidFill>
              <w14:schemeClr w14:val="tx1"/>
            </w14:solidFill>
          </w14:textFill>
        </w:rPr>
      </w:pPr>
      <w:bookmarkStart w:id="249" w:name="_Toc25949"/>
      <w:bookmarkStart w:id="250" w:name="_Toc334"/>
      <w:bookmarkStart w:id="251" w:name="_Toc233435945"/>
      <w:bookmarkStart w:id="252" w:name="_Toc23520"/>
      <w:bookmarkStart w:id="253" w:name="_Toc25262"/>
      <w:bookmarkStart w:id="254" w:name="_Toc17788"/>
      <w:bookmarkStart w:id="255" w:name="_Toc26281"/>
      <w:bookmarkStart w:id="256" w:name="_Toc23101"/>
      <w:r>
        <w:rPr>
          <w:rFonts w:hint="eastAsia" w:ascii="仿宋" w:hAnsi="仿宋" w:eastAsia="仿宋" w:cs="仿宋"/>
          <w:b w:val="0"/>
          <w:color w:val="000000" w:themeColor="text1"/>
          <w14:textFill>
            <w14:solidFill>
              <w14:schemeClr w14:val="tx1"/>
            </w14:solidFill>
          </w14:textFill>
        </w:rPr>
        <w:t>24 投标文件的评估和比较</w:t>
      </w:r>
      <w:bookmarkEnd w:id="249"/>
      <w:bookmarkEnd w:id="250"/>
      <w:bookmarkEnd w:id="251"/>
      <w:bookmarkEnd w:id="252"/>
      <w:bookmarkEnd w:id="253"/>
      <w:bookmarkEnd w:id="254"/>
      <w:bookmarkEnd w:id="255"/>
      <w:bookmarkEnd w:id="256"/>
    </w:p>
    <w:p w14:paraId="6897519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  评标委员会将对有效的投标文件进行评估和比较。</w:t>
      </w:r>
    </w:p>
    <w:p w14:paraId="0A0EE04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  评标时除考虑投标产品的技术规格和技术服务以外，还将考虑以下因素：</w:t>
      </w:r>
    </w:p>
    <w:p w14:paraId="05907D9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24.2.1投标文件中承诺的交货期及付款方式；</w:t>
      </w:r>
    </w:p>
    <w:p w14:paraId="2A7E99C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24.2.2货物的技术水平、性能和供货能力的情况；</w:t>
      </w:r>
    </w:p>
    <w:p w14:paraId="219D7D4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24.2.3货物质量的稳定性和适用性；</w:t>
      </w:r>
    </w:p>
    <w:p w14:paraId="4CFD7CC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24.2.4配套设备的齐全性；</w:t>
      </w:r>
    </w:p>
    <w:p w14:paraId="47C6332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24.2.5</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提供的售后服务及培训；</w:t>
      </w:r>
    </w:p>
    <w:p w14:paraId="00E3B4E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24.2.6零备件、专用工具及相关服务的费用；</w:t>
      </w:r>
    </w:p>
    <w:p w14:paraId="01D7857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24.2.7技术规格及要求所涉及的有关服务的费用；</w:t>
      </w:r>
    </w:p>
    <w:p w14:paraId="21601BF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24.2.8</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投标货物在使用周期内预计的运行费和维护费；</w:t>
      </w:r>
    </w:p>
    <w:p w14:paraId="064CBE9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24.2.9其他特殊要求因素（如安全及环保等）。</w:t>
      </w:r>
    </w:p>
    <w:p w14:paraId="3E719A86">
      <w:pPr>
        <w:pStyle w:val="4"/>
        <w:spacing w:line="360" w:lineRule="auto"/>
        <w:rPr>
          <w:rFonts w:hint="eastAsia" w:ascii="仿宋" w:hAnsi="仿宋" w:eastAsia="仿宋" w:cs="仿宋"/>
          <w:color w:val="000000" w:themeColor="text1"/>
          <w:szCs w:val="22"/>
          <w14:textFill>
            <w14:solidFill>
              <w14:schemeClr w14:val="tx1"/>
            </w14:solidFill>
          </w14:textFill>
        </w:rPr>
      </w:pPr>
      <w:bookmarkStart w:id="257" w:name="_Toc23179"/>
      <w:bookmarkStart w:id="258" w:name="_Toc17418"/>
      <w:bookmarkStart w:id="259" w:name="_Toc26286"/>
      <w:bookmarkStart w:id="260" w:name="_Toc233435946"/>
      <w:bookmarkStart w:id="261" w:name="_Toc22078"/>
      <w:bookmarkStart w:id="262" w:name="_Toc13629"/>
      <w:bookmarkStart w:id="263" w:name="_Toc12946"/>
      <w:bookmarkStart w:id="264" w:name="_Toc16532"/>
      <w:r>
        <w:rPr>
          <w:rFonts w:hint="eastAsia" w:ascii="仿宋" w:hAnsi="仿宋" w:eastAsia="仿宋" w:cs="仿宋"/>
          <w:color w:val="000000" w:themeColor="text1"/>
          <w:szCs w:val="22"/>
          <w14:textFill>
            <w14:solidFill>
              <w14:schemeClr w14:val="tx1"/>
            </w14:solidFill>
          </w14:textFill>
        </w:rPr>
        <w:t>25 评标原则及主要方法</w:t>
      </w:r>
      <w:bookmarkEnd w:id="257"/>
      <w:bookmarkEnd w:id="258"/>
      <w:bookmarkEnd w:id="259"/>
      <w:bookmarkEnd w:id="260"/>
      <w:bookmarkEnd w:id="261"/>
      <w:bookmarkEnd w:id="262"/>
      <w:bookmarkEnd w:id="263"/>
      <w:bookmarkEnd w:id="264"/>
    </w:p>
    <w:p w14:paraId="421B38C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 评标委员会将遵循公开、公平、公正和择优的原则，对所有</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的投标文件评审，都采用相同的程序和标准。</w:t>
      </w:r>
    </w:p>
    <w:p w14:paraId="61C3F6F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25.2评标过程的保密：在投标文件的评标、比较、中标候选人推荐以及授予合同的过程中，</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向采购人和评标委员会施加影响的任何行为，都将会导致其投标被拒绝。</w:t>
      </w:r>
    </w:p>
    <w:p w14:paraId="3FE618F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25.3对通过资格性审查的投标单位进行</w:t>
      </w:r>
      <w:r>
        <w:rPr>
          <w:rFonts w:hint="eastAsia" w:ascii="仿宋" w:hAnsi="仿宋" w:eastAsia="仿宋" w:cs="仿宋"/>
          <w:b/>
          <w:bCs/>
          <w:color w:val="000000" w:themeColor="text1"/>
          <w:sz w:val="24"/>
          <w:u w:val="single"/>
          <w14:textFill>
            <w14:solidFill>
              <w14:schemeClr w14:val="tx1"/>
            </w14:solidFill>
          </w14:textFill>
        </w:rPr>
        <w:t>符合性审查</w:t>
      </w:r>
      <w:r>
        <w:rPr>
          <w:rFonts w:hint="eastAsia" w:ascii="仿宋" w:hAnsi="仿宋" w:eastAsia="仿宋" w:cs="仿宋"/>
          <w:color w:val="000000" w:themeColor="text1"/>
          <w:sz w:val="24"/>
          <w14:textFill>
            <w14:solidFill>
              <w14:schemeClr w14:val="tx1"/>
            </w14:solidFill>
          </w14:textFill>
        </w:rPr>
        <w:t>，不合格不进入下一步评审</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aps w:val="0"/>
          <w:smallCaps w:val="0"/>
          <w:color w:val="000000" w:themeColor="text1"/>
          <w:spacing w:val="0"/>
          <w:kern w:val="1"/>
          <w:sz w:val="24"/>
          <w14:textFill>
            <w14:solidFill>
              <w14:schemeClr w14:val="tx1"/>
            </w14:solidFill>
          </w14:textFill>
        </w:rPr>
        <w:t>其内容包括并不局限以下部分</w:t>
      </w:r>
      <w:r>
        <w:rPr>
          <w:rFonts w:hint="eastAsia" w:ascii="仿宋" w:hAnsi="仿宋" w:eastAsia="仿宋" w:cs="仿宋"/>
          <w:color w:val="000000" w:themeColor="text1"/>
          <w:sz w:val="24"/>
          <w14:textFill>
            <w14:solidFill>
              <w14:schemeClr w14:val="tx1"/>
            </w14:solidFill>
          </w14:textFill>
        </w:rPr>
        <w:t>：</w:t>
      </w:r>
    </w:p>
    <w:p w14:paraId="2934986C">
      <w:pPr>
        <w:tabs>
          <w:tab w:val="left" w:pos="1155"/>
        </w:tabs>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25.3.1</w:t>
      </w:r>
      <w:r>
        <w:rPr>
          <w:rFonts w:hint="eastAsia" w:ascii="仿宋" w:hAnsi="仿宋" w:eastAsia="仿宋" w:cs="仿宋"/>
          <w:color w:val="000000" w:themeColor="text1"/>
          <w:sz w:val="24"/>
          <w:lang w:val="en-US" w:eastAsia="zh-CN"/>
          <w14:textFill>
            <w14:solidFill>
              <w14:schemeClr w14:val="tx1"/>
            </w14:solidFill>
          </w14:textFill>
        </w:rPr>
        <w:t>质保</w:t>
      </w:r>
      <w:r>
        <w:rPr>
          <w:rFonts w:hint="eastAsia" w:ascii="仿宋" w:hAnsi="仿宋" w:eastAsia="仿宋" w:cs="仿宋"/>
          <w:caps w:val="0"/>
          <w:smallCaps w:val="0"/>
          <w:color w:val="000000" w:themeColor="text1"/>
          <w:spacing w:val="0"/>
          <w:kern w:val="1"/>
          <w:sz w:val="24"/>
          <w:highlight w:val="none"/>
          <w:lang w:eastAsia="zh-CN"/>
          <w14:textFill>
            <w14:solidFill>
              <w14:schemeClr w14:val="tx1"/>
            </w14:solidFill>
          </w14:textFill>
        </w:rPr>
        <w:t>期</w:t>
      </w: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是否完全响应</w:t>
      </w:r>
      <w:r>
        <w:rPr>
          <w:rFonts w:hint="eastAsia" w:ascii="仿宋" w:hAnsi="仿宋" w:eastAsia="仿宋" w:cs="仿宋"/>
          <w:color w:val="000000" w:themeColor="text1"/>
          <w:sz w:val="24"/>
          <w14:textFill>
            <w14:solidFill>
              <w14:schemeClr w14:val="tx1"/>
            </w14:solidFill>
          </w14:textFill>
        </w:rPr>
        <w:t>。</w:t>
      </w:r>
    </w:p>
    <w:p w14:paraId="4D25D7DE">
      <w:pPr>
        <w:tabs>
          <w:tab w:val="left" w:pos="1155"/>
        </w:tabs>
        <w:spacing w:line="360" w:lineRule="auto"/>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pP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25.3.2</w:t>
      </w:r>
      <w:r>
        <w:rPr>
          <w:rFonts w:hint="eastAsia"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t>质量要求</w:t>
      </w: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是否完全响应。</w:t>
      </w:r>
    </w:p>
    <w:p w14:paraId="44FB58A9">
      <w:pPr>
        <w:spacing w:line="360" w:lineRule="auto"/>
        <w:rPr>
          <w:rFonts w:hint="eastAsia"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pPr>
      <w:r>
        <w:rPr>
          <w:rFonts w:hint="eastAsia" w:ascii="仿宋" w:hAnsi="仿宋" w:eastAsia="仿宋" w:cs="仿宋"/>
          <w:caps w:val="0"/>
          <w:smallCaps w:val="0"/>
          <w:color w:val="000000" w:themeColor="text1"/>
          <w:spacing w:val="0"/>
          <w:kern w:val="1"/>
          <w:sz w:val="24"/>
          <w14:textFill>
            <w14:solidFill>
              <w14:schemeClr w14:val="tx1"/>
            </w14:solidFill>
          </w14:textFill>
        </w:rPr>
        <w:t>25.3.</w:t>
      </w:r>
      <w:r>
        <w:rPr>
          <w:rFonts w:hint="eastAsia" w:ascii="仿宋" w:hAnsi="仿宋" w:eastAsia="仿宋" w:cs="仿宋"/>
          <w:caps w:val="0"/>
          <w:smallCaps w:val="0"/>
          <w:color w:val="000000" w:themeColor="text1"/>
          <w:spacing w:val="0"/>
          <w:kern w:val="1"/>
          <w:sz w:val="24"/>
          <w:lang w:val="en-US" w:eastAsia="zh-CN"/>
          <w14:textFill>
            <w14:solidFill>
              <w14:schemeClr w14:val="tx1"/>
            </w14:solidFill>
          </w14:textFill>
        </w:rPr>
        <w:t>3交货期及交货地点是否完全响应。</w:t>
      </w:r>
    </w:p>
    <w:p w14:paraId="26A2EBA2">
      <w:pPr>
        <w:spacing w:line="360" w:lineRule="auto"/>
        <w:rPr>
          <w:rFonts w:hint="default"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pP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25.3.</w:t>
      </w:r>
      <w:r>
        <w:rPr>
          <w:rFonts w:hint="eastAsia"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t>4付款方式是否完全响应。</w:t>
      </w:r>
    </w:p>
    <w:p w14:paraId="6931C5EF">
      <w:pPr>
        <w:spacing w:line="360" w:lineRule="auto"/>
        <w:rPr>
          <w:rFonts w:hint="eastAsia" w:ascii="仿宋" w:hAnsi="仿宋" w:eastAsia="仿宋" w:cs="仿宋"/>
          <w:caps w:val="0"/>
          <w:smallCaps w:val="0"/>
          <w:color w:val="000000" w:themeColor="text1"/>
          <w:spacing w:val="0"/>
          <w:kern w:val="1"/>
          <w:sz w:val="24"/>
          <w:lang w:eastAsia="zh-CN"/>
          <w14:textFill>
            <w14:solidFill>
              <w14:schemeClr w14:val="tx1"/>
            </w14:solidFill>
          </w14:textFill>
        </w:rPr>
      </w:pPr>
      <w:r>
        <w:rPr>
          <w:rFonts w:hint="eastAsia" w:ascii="仿宋" w:hAnsi="仿宋" w:eastAsia="仿宋" w:cs="仿宋"/>
          <w:caps w:val="0"/>
          <w:smallCaps w:val="0"/>
          <w:color w:val="000000" w:themeColor="text1"/>
          <w:spacing w:val="0"/>
          <w:kern w:val="1"/>
          <w:sz w:val="24"/>
          <w14:textFill>
            <w14:solidFill>
              <w14:schemeClr w14:val="tx1"/>
            </w14:solidFill>
          </w14:textFill>
        </w:rPr>
        <w:t>25.3.</w:t>
      </w:r>
      <w:r>
        <w:rPr>
          <w:rFonts w:hint="eastAsia" w:ascii="仿宋" w:hAnsi="仿宋" w:eastAsia="仿宋" w:cs="仿宋"/>
          <w:caps w:val="0"/>
          <w:smallCaps w:val="0"/>
          <w:color w:val="000000" w:themeColor="text1"/>
          <w:spacing w:val="0"/>
          <w:kern w:val="1"/>
          <w:sz w:val="24"/>
          <w:lang w:val="en-US" w:eastAsia="zh-CN"/>
          <w14:textFill>
            <w14:solidFill>
              <w14:schemeClr w14:val="tx1"/>
            </w14:solidFill>
          </w14:textFill>
        </w:rPr>
        <w:t>5投标</w:t>
      </w:r>
      <w:r>
        <w:rPr>
          <w:rFonts w:hint="eastAsia" w:ascii="仿宋" w:hAnsi="仿宋" w:eastAsia="仿宋" w:cs="仿宋"/>
          <w:caps w:val="0"/>
          <w:smallCaps w:val="0"/>
          <w:color w:val="000000" w:themeColor="text1"/>
          <w:spacing w:val="0"/>
          <w:kern w:val="1"/>
          <w:sz w:val="24"/>
          <w14:textFill>
            <w14:solidFill>
              <w14:schemeClr w14:val="tx1"/>
            </w14:solidFill>
          </w14:textFill>
        </w:rPr>
        <w:t>文件有效期是否合格</w:t>
      </w:r>
      <w:r>
        <w:rPr>
          <w:rFonts w:hint="eastAsia" w:ascii="仿宋" w:hAnsi="仿宋" w:eastAsia="仿宋" w:cs="仿宋"/>
          <w:caps w:val="0"/>
          <w:smallCaps w:val="0"/>
          <w:color w:val="000000" w:themeColor="text1"/>
          <w:spacing w:val="0"/>
          <w:kern w:val="1"/>
          <w:sz w:val="24"/>
          <w:lang w:eastAsia="zh-CN"/>
          <w14:textFill>
            <w14:solidFill>
              <w14:schemeClr w14:val="tx1"/>
            </w14:solidFill>
          </w14:textFill>
        </w:rPr>
        <w:t>。</w:t>
      </w:r>
    </w:p>
    <w:p w14:paraId="0F5FBC6B">
      <w:pPr>
        <w:tabs>
          <w:tab w:val="left" w:pos="1155"/>
        </w:tabs>
        <w:spacing w:line="360" w:lineRule="auto"/>
        <w:rPr>
          <w:rFonts w:hint="default"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pP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25.3.</w:t>
      </w:r>
      <w:r>
        <w:rPr>
          <w:rFonts w:hint="eastAsia"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t>6招标</w:t>
      </w:r>
      <w:r>
        <w:rPr>
          <w:rFonts w:hint="eastAsia" w:ascii="仿宋" w:hAnsi="仿宋" w:eastAsia="仿宋" w:cs="仿宋"/>
          <w:caps w:val="0"/>
          <w:smallCaps w:val="0"/>
          <w:color w:val="000000" w:themeColor="text1"/>
          <w:spacing w:val="0"/>
          <w:kern w:val="1"/>
          <w:sz w:val="24"/>
          <w:highlight w:val="none"/>
          <w14:textFill>
            <w14:solidFill>
              <w14:schemeClr w14:val="tx1"/>
            </w14:solidFill>
          </w14:textFill>
        </w:rPr>
        <w:t>文件</w:t>
      </w:r>
      <w:r>
        <w:rPr>
          <w:rFonts w:hint="eastAsia" w:ascii="仿宋" w:hAnsi="仿宋" w:eastAsia="仿宋" w:cs="仿宋"/>
          <w:caps w:val="0"/>
          <w:smallCaps w:val="0"/>
          <w:color w:val="000000" w:themeColor="text1"/>
          <w:spacing w:val="0"/>
          <w:kern w:val="1"/>
          <w:sz w:val="24"/>
          <w:highlight w:val="none"/>
          <w:lang w:val="en-US" w:eastAsia="zh-CN"/>
          <w14:textFill>
            <w14:solidFill>
              <w14:schemeClr w14:val="tx1"/>
            </w14:solidFill>
          </w14:textFill>
        </w:rPr>
        <w:t>其他规定的情形。</w:t>
      </w:r>
    </w:p>
    <w:p w14:paraId="13BAFF4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25.4评标委员会将组织审查投标文件是否完整，是否有计算错误，要求的保证金是否已有效提供。“投标文件”属下列情况之一的，为</w:t>
      </w:r>
      <w:r>
        <w:rPr>
          <w:rFonts w:hint="eastAsia" w:ascii="仿宋" w:hAnsi="仿宋" w:eastAsia="仿宋" w:cs="仿宋"/>
          <w:color w:val="000000" w:themeColor="text1"/>
          <w:sz w:val="24"/>
          <w:u w:val="single"/>
          <w14:textFill>
            <w14:solidFill>
              <w14:schemeClr w14:val="tx1"/>
            </w14:solidFill>
          </w14:textFill>
        </w:rPr>
        <w:t>无效标</w:t>
      </w:r>
      <w:r>
        <w:rPr>
          <w:rFonts w:hint="eastAsia" w:ascii="仿宋" w:hAnsi="仿宋" w:eastAsia="仿宋" w:cs="仿宋"/>
          <w:color w:val="000000" w:themeColor="text1"/>
          <w:sz w:val="24"/>
          <w14:textFill>
            <w14:solidFill>
              <w14:schemeClr w14:val="tx1"/>
            </w14:solidFill>
          </w14:textFill>
        </w:rPr>
        <w:t>：</w:t>
      </w:r>
    </w:p>
    <w:p w14:paraId="4AC02F7A">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25.4.1</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未经过正常渠道购买标书或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的名称与登记领取招标文件单位的名称不符；</w:t>
      </w:r>
    </w:p>
    <w:p w14:paraId="64E1647F">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25.4.2投标文件没有法定代表人授权书（法人直接投标除外）或授权书的合法性或有效性不符合招标文件规定；</w:t>
      </w:r>
    </w:p>
    <w:p w14:paraId="1C6928F2">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符合性审查不通过的；</w:t>
      </w:r>
    </w:p>
    <w:p w14:paraId="60A4148F">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25.4.4 投标有效期不足的；</w:t>
      </w:r>
    </w:p>
    <w:p w14:paraId="41EDFFF9">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无投标技术方案或技术方案不符合要求；</w:t>
      </w:r>
    </w:p>
    <w:p w14:paraId="34F31AF0">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设备技术指标提供虚假指标或者达不到招标文件要求，降低了产品档次或影响产品性能、功能的；</w:t>
      </w:r>
    </w:p>
    <w:p w14:paraId="4726E29B">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投标文件的合同主要条款响应与招标文件要求不一致，附加了采购人难以接受的条件；</w:t>
      </w:r>
    </w:p>
    <w:p w14:paraId="6B7020C7">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规定不接受选择方案和选择报价（包括交叉折扣）的，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提供了选择方案和/或选择报价（包括交叉折扣）；</w:t>
      </w:r>
    </w:p>
    <w:p w14:paraId="0DB9CD0C">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投标报价明显低于其他通过符合性审查</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的报价，且不能在规定时间证明其报价合理性的；</w:t>
      </w:r>
    </w:p>
    <w:p w14:paraId="6D4C3EFA">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提供虚假证明，开具虚假资质，出现虚假应答，除按无效标处理外，还进行相应的处罚；</w:t>
      </w:r>
    </w:p>
    <w:p w14:paraId="448D057E">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未按招标文件要求交纳投标保证金的；</w:t>
      </w:r>
    </w:p>
    <w:p w14:paraId="67674B92">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有违法违规行为的。</w:t>
      </w:r>
    </w:p>
    <w:p w14:paraId="08373D4B">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25.5招标采购中，出现下列情况之一的，应予废标：</w:t>
      </w:r>
    </w:p>
    <w:p w14:paraId="21F09CC3">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25.5.1通过符合性审查的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或者对招标文件作实质响应的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 xml:space="preserve">不足三家的； </w:t>
      </w:r>
    </w:p>
    <w:p w14:paraId="1BC3B3C0">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25.5.2出现影响采购公正的违法、违规行为的； </w:t>
      </w:r>
    </w:p>
    <w:p w14:paraId="1D81D444">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的报价均超过了采购预算，采购人不能支付的；</w:t>
      </w:r>
    </w:p>
    <w:p w14:paraId="55F46A80">
      <w:pPr>
        <w:overflowPunct w:val="0"/>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25.5.4因重大变故，采购任务取消的。</w:t>
      </w:r>
    </w:p>
    <w:p w14:paraId="6D01446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25.5.5其他法律法规规定的废标情况。</w:t>
      </w:r>
    </w:p>
    <w:p w14:paraId="3639A8D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25.6投标文件的澄清：为有助于投标文件的审查、评标和比较，评标委员会可以要求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对投标文件含义不明确、前后表述不一致的内容做出必要的澄清或说明，</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应采用书面形式进行澄清或说明，但不得超出投标文件的范围或改变投标文件的实质性内容。</w:t>
      </w:r>
    </w:p>
    <w:p w14:paraId="550A9A5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25.7 评标主要内容</w:t>
      </w:r>
    </w:p>
    <w:p w14:paraId="45B0921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25.7.1评标委员会按照招标文件的规定及要求对各投标文件进行综合评审。主要评审因素包括：价格、技术水平或服务水平、实施方案、售后服务、商务能力。</w:t>
      </w:r>
    </w:p>
    <w:p w14:paraId="01A1F1D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25.7.2提供相同品牌产品（指核心产品）且通过资格审查、符合性审查的不同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按一家</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计算，评审后得分最高的同品牌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获得中标候选人推荐资格；评审得分相同的，推荐投标报价最低的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获得中标候选人资格。</w:t>
      </w:r>
    </w:p>
    <w:p w14:paraId="06E5DE0A">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25.8评审原则和办法：</w:t>
      </w:r>
    </w:p>
    <w:p w14:paraId="211EFF72">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综合评分法：即在满足招标文件全部实质性要求前提下，按照招标文件中规定的各项因素进行综合评审后，以评审总得分由高到低顺序推荐中标候选人。最低投标报价不作为中标的唯一评审标准。具体评分方法</w:t>
      </w:r>
      <w:bookmarkStart w:id="265" w:name="_Toc497711547"/>
      <w:bookmarkStart w:id="266" w:name="_Toc389620199"/>
      <w:bookmarkStart w:id="267" w:name="_Toc492955421"/>
      <w:bookmarkStart w:id="268" w:name="_Toc497551782"/>
      <w:bookmarkStart w:id="269" w:name="_Toc385992360"/>
      <w:bookmarkStart w:id="270" w:name="_Toc497546880"/>
      <w:bookmarkStart w:id="271" w:name="_Toc497712095"/>
      <w:r>
        <w:rPr>
          <w:rFonts w:hint="eastAsia" w:ascii="仿宋" w:hAnsi="仿宋" w:eastAsia="仿宋" w:cs="仿宋"/>
          <w:color w:val="000000" w:themeColor="text1"/>
          <w:sz w:val="24"/>
          <w14:textFill>
            <w14:solidFill>
              <w14:schemeClr w14:val="tx1"/>
            </w14:solidFill>
          </w14:textFill>
        </w:rPr>
        <w:t>见第六部分“评标方法”。</w:t>
      </w:r>
    </w:p>
    <w:p w14:paraId="2BD0749F">
      <w:pPr>
        <w:pStyle w:val="3"/>
        <w:spacing w:before="120" w:after="120" w:line="360" w:lineRule="auto"/>
        <w:jc w:val="center"/>
        <w:rPr>
          <w:rFonts w:hint="eastAsia" w:ascii="仿宋" w:hAnsi="仿宋" w:eastAsia="仿宋" w:cs="仿宋"/>
          <w:b w:val="0"/>
          <w:color w:val="000000" w:themeColor="text1"/>
          <w:sz w:val="44"/>
          <w:szCs w:val="44"/>
          <w14:textFill>
            <w14:solidFill>
              <w14:schemeClr w14:val="tx1"/>
            </w14:solidFill>
          </w14:textFill>
        </w:rPr>
      </w:pPr>
      <w:bookmarkStart w:id="272" w:name="_Toc233435947"/>
      <w:bookmarkStart w:id="273" w:name="_Toc18746"/>
      <w:bookmarkStart w:id="274" w:name="_Toc31312"/>
      <w:bookmarkStart w:id="275" w:name="_Toc16988"/>
      <w:bookmarkStart w:id="276" w:name="_Toc20266"/>
      <w:bookmarkStart w:id="277" w:name="_Toc5468"/>
      <w:bookmarkStart w:id="278" w:name="_Toc10316"/>
      <w:bookmarkStart w:id="279" w:name="_Toc31772"/>
      <w:r>
        <w:rPr>
          <w:rFonts w:hint="eastAsia" w:ascii="仿宋" w:hAnsi="仿宋" w:eastAsia="仿宋" w:cs="仿宋"/>
          <w:b w:val="0"/>
          <w:color w:val="000000" w:themeColor="text1"/>
          <w:sz w:val="44"/>
          <w:szCs w:val="44"/>
          <w14:textFill>
            <w14:solidFill>
              <w14:schemeClr w14:val="tx1"/>
            </w14:solidFill>
          </w14:textFill>
        </w:rPr>
        <w:t>F</w:t>
      </w:r>
      <w:bookmarkStart w:id="280" w:name="_Hlt491765714"/>
      <w:bookmarkEnd w:id="280"/>
      <w:r>
        <w:rPr>
          <w:rFonts w:hint="eastAsia" w:ascii="仿宋" w:hAnsi="仿宋" w:eastAsia="仿宋" w:cs="仿宋"/>
          <w:b w:val="0"/>
          <w:color w:val="000000" w:themeColor="text1"/>
          <w:sz w:val="44"/>
          <w:szCs w:val="44"/>
          <w14:textFill>
            <w14:solidFill>
              <w14:schemeClr w14:val="tx1"/>
            </w14:solidFill>
          </w14:textFill>
        </w:rPr>
        <w:t xml:space="preserve"> </w:t>
      </w:r>
      <w:bookmarkStart w:id="281" w:name="_Hlt497547134"/>
      <w:bookmarkEnd w:id="281"/>
      <w:r>
        <w:rPr>
          <w:rFonts w:hint="eastAsia" w:ascii="仿宋" w:hAnsi="仿宋" w:eastAsia="仿宋" w:cs="仿宋"/>
          <w:b w:val="0"/>
          <w:color w:val="000000" w:themeColor="text1"/>
          <w:sz w:val="44"/>
          <w:szCs w:val="44"/>
          <w14:textFill>
            <w14:solidFill>
              <w14:schemeClr w14:val="tx1"/>
            </w14:solidFill>
          </w14:textFill>
        </w:rPr>
        <w:t>授予合同</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1ECD997">
      <w:pPr>
        <w:pStyle w:val="4"/>
        <w:spacing w:before="120" w:after="120" w:line="360" w:lineRule="auto"/>
        <w:rPr>
          <w:rFonts w:hint="eastAsia" w:ascii="仿宋" w:hAnsi="仿宋" w:eastAsia="仿宋" w:cs="仿宋"/>
          <w:b w:val="0"/>
          <w:color w:val="000000" w:themeColor="text1"/>
          <w14:textFill>
            <w14:solidFill>
              <w14:schemeClr w14:val="tx1"/>
            </w14:solidFill>
          </w14:textFill>
        </w:rPr>
      </w:pPr>
      <w:bookmarkStart w:id="282" w:name="_Toc24226"/>
      <w:bookmarkStart w:id="283" w:name="_Toc5242"/>
      <w:bookmarkStart w:id="284" w:name="_Toc18669"/>
      <w:bookmarkStart w:id="285" w:name="_Toc4621"/>
      <w:bookmarkStart w:id="286" w:name="_Toc389620200"/>
      <w:bookmarkStart w:id="287" w:name="_Toc25963"/>
      <w:bookmarkStart w:id="288" w:name="_Toc233435948"/>
      <w:bookmarkStart w:id="289" w:name="_Toc29854"/>
      <w:bookmarkStart w:id="290" w:name="_Toc23580"/>
      <w:bookmarkStart w:id="291" w:name="_Toc385992361"/>
      <w:r>
        <w:rPr>
          <w:rFonts w:hint="eastAsia" w:ascii="仿宋" w:hAnsi="仿宋" w:eastAsia="仿宋" w:cs="仿宋"/>
          <w:b w:val="0"/>
          <w:color w:val="000000" w:themeColor="text1"/>
          <w14:textFill>
            <w14:solidFill>
              <w14:schemeClr w14:val="tx1"/>
            </w14:solidFill>
          </w14:textFill>
        </w:rPr>
        <w:t>26 中标</w:t>
      </w:r>
      <w:bookmarkEnd w:id="282"/>
      <w:bookmarkEnd w:id="283"/>
      <w:bookmarkEnd w:id="284"/>
      <w:bookmarkEnd w:id="285"/>
      <w:bookmarkEnd w:id="286"/>
      <w:bookmarkEnd w:id="287"/>
      <w:bookmarkEnd w:id="288"/>
      <w:bookmarkEnd w:id="289"/>
      <w:bookmarkEnd w:id="290"/>
      <w:bookmarkEnd w:id="291"/>
    </w:p>
    <w:p w14:paraId="5EDD35A2">
      <w:pPr>
        <w:spacing w:before="120"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合同将授予项目投标符合招标文件要求、并能圆满地履行合同的、对采购人最为有利的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w:t>
      </w:r>
    </w:p>
    <w:p w14:paraId="03C040D2">
      <w:pPr>
        <w:spacing w:line="360" w:lineRule="auto"/>
        <w:rPr>
          <w:rFonts w:hint="eastAsia" w:ascii="仿宋" w:hAnsi="仿宋" w:eastAsia="仿宋" w:cs="仿宋"/>
          <w:color w:val="000000" w:themeColor="text1"/>
          <w:sz w:val="24"/>
          <w:shd w:val="pct10" w:color="auto" w:fill="FFFFFF"/>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本项目不保证最低价中标。</w:t>
      </w:r>
      <w:bookmarkStart w:id="292" w:name="_Toc385992362"/>
      <w:bookmarkStart w:id="293" w:name="_Toc389620201"/>
    </w:p>
    <w:p w14:paraId="1F1B552B">
      <w:pPr>
        <w:spacing w:line="360" w:lineRule="auto"/>
        <w:rPr>
          <w:rFonts w:hint="eastAsia" w:ascii="仿宋" w:hAnsi="仿宋" w:eastAsia="仿宋" w:cs="仿宋"/>
          <w:color w:val="000000" w:themeColor="text1"/>
          <w:sz w:val="24"/>
          <w:shd w:val="pct10" w:color="auto" w:fill="FFFFFF"/>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26.3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在中标后在中标通知书发出30个日历日内须签订合同。如已中标的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不能按投标文件，包括补充文件（如澄清、承诺等）中承诺的条件履行签约行为，采购人有权取消其中标资格，并扣除投标保证金。</w:t>
      </w:r>
      <w:bookmarkEnd w:id="292"/>
      <w:bookmarkEnd w:id="293"/>
      <w:bookmarkStart w:id="294" w:name="_Toc385992364"/>
      <w:bookmarkStart w:id="295" w:name="_Toc389620203"/>
    </w:p>
    <w:p w14:paraId="62698AF6">
      <w:pPr>
        <w:pStyle w:val="4"/>
        <w:spacing w:line="360" w:lineRule="auto"/>
        <w:rPr>
          <w:rFonts w:hint="eastAsia" w:ascii="仿宋" w:hAnsi="仿宋" w:eastAsia="仿宋" w:cs="仿宋"/>
          <w:b w:val="0"/>
          <w:color w:val="000000" w:themeColor="text1"/>
          <w14:textFill>
            <w14:solidFill>
              <w14:schemeClr w14:val="tx1"/>
            </w14:solidFill>
          </w14:textFill>
        </w:rPr>
      </w:pPr>
      <w:bookmarkStart w:id="296" w:name="_Toc233435949"/>
      <w:bookmarkStart w:id="297" w:name="_Toc24061"/>
      <w:bookmarkStart w:id="298" w:name="_Toc13114"/>
      <w:bookmarkStart w:id="299" w:name="_Toc14180"/>
      <w:bookmarkStart w:id="300" w:name="_Toc31249"/>
      <w:bookmarkStart w:id="301" w:name="_Toc23966"/>
      <w:bookmarkStart w:id="302" w:name="_Toc28525"/>
      <w:bookmarkStart w:id="303" w:name="_Toc7406"/>
      <w:r>
        <w:rPr>
          <w:rFonts w:hint="eastAsia" w:ascii="仿宋" w:hAnsi="仿宋" w:eastAsia="仿宋" w:cs="仿宋"/>
          <w:b w:val="0"/>
          <w:color w:val="000000" w:themeColor="text1"/>
          <w14:textFill>
            <w14:solidFill>
              <w14:schemeClr w14:val="tx1"/>
            </w14:solidFill>
          </w14:textFill>
        </w:rPr>
        <w:t>27 中标通知</w:t>
      </w:r>
      <w:bookmarkEnd w:id="294"/>
      <w:bookmarkEnd w:id="295"/>
      <w:bookmarkEnd w:id="296"/>
      <w:bookmarkEnd w:id="297"/>
      <w:bookmarkEnd w:id="298"/>
      <w:bookmarkEnd w:id="299"/>
      <w:bookmarkEnd w:id="300"/>
      <w:bookmarkEnd w:id="301"/>
      <w:bookmarkEnd w:id="302"/>
      <w:bookmarkEnd w:id="303"/>
    </w:p>
    <w:p w14:paraId="5EF0677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采购代理机构向中标人发出中标通知书，对于未中标</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 xml:space="preserve">，将在保证金有效期内无息退还其投标保证金。 </w:t>
      </w:r>
    </w:p>
    <w:p w14:paraId="6EC7FFBE">
      <w:pPr>
        <w:pStyle w:val="4"/>
        <w:spacing w:line="360" w:lineRule="auto"/>
        <w:rPr>
          <w:rFonts w:hint="eastAsia" w:ascii="仿宋" w:hAnsi="仿宋" w:eastAsia="仿宋" w:cs="仿宋"/>
          <w:b w:val="0"/>
          <w:color w:val="000000" w:themeColor="text1"/>
          <w14:textFill>
            <w14:solidFill>
              <w14:schemeClr w14:val="tx1"/>
            </w14:solidFill>
          </w14:textFill>
        </w:rPr>
      </w:pPr>
      <w:bookmarkStart w:id="304" w:name="_Toc24741"/>
      <w:bookmarkStart w:id="305" w:name="_Toc233435950"/>
      <w:bookmarkStart w:id="306" w:name="_Toc29567"/>
      <w:bookmarkStart w:id="307" w:name="_Toc385992366"/>
      <w:bookmarkStart w:id="308" w:name="_Toc389620205"/>
      <w:bookmarkStart w:id="309" w:name="_Toc186"/>
      <w:bookmarkStart w:id="310" w:name="_Toc27443"/>
      <w:bookmarkStart w:id="311" w:name="_Toc29275"/>
      <w:bookmarkStart w:id="312" w:name="_Toc15165"/>
      <w:bookmarkStart w:id="313" w:name="_Toc2543"/>
      <w:r>
        <w:rPr>
          <w:rFonts w:hint="eastAsia" w:ascii="仿宋" w:hAnsi="仿宋" w:eastAsia="仿宋" w:cs="仿宋"/>
          <w:b w:val="0"/>
          <w:color w:val="000000" w:themeColor="text1"/>
          <w14:textFill>
            <w14:solidFill>
              <w14:schemeClr w14:val="tx1"/>
            </w14:solidFill>
          </w14:textFill>
        </w:rPr>
        <w:t>28 签订合同</w:t>
      </w:r>
      <w:bookmarkEnd w:id="304"/>
      <w:bookmarkEnd w:id="305"/>
      <w:bookmarkEnd w:id="306"/>
      <w:bookmarkEnd w:id="307"/>
      <w:bookmarkEnd w:id="308"/>
      <w:bookmarkEnd w:id="309"/>
      <w:bookmarkEnd w:id="310"/>
      <w:bookmarkEnd w:id="311"/>
      <w:bookmarkEnd w:id="312"/>
      <w:bookmarkEnd w:id="313"/>
    </w:p>
    <w:p w14:paraId="5FF5A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28.1 招标文件、中标人的投标文件和补充文件（如澄清、承诺等）等，均为有法律约束力的经济合同组成的一部分。</w:t>
      </w:r>
      <w:bookmarkStart w:id="314" w:name="_Toc385992368"/>
      <w:bookmarkStart w:id="315" w:name="_Toc389620207"/>
    </w:p>
    <w:p w14:paraId="596D2B61">
      <w:pPr>
        <w:pStyle w:val="4"/>
        <w:spacing w:line="360" w:lineRule="auto"/>
        <w:rPr>
          <w:rFonts w:hint="eastAsia" w:ascii="仿宋" w:hAnsi="仿宋" w:eastAsia="仿宋" w:cs="仿宋"/>
          <w:b w:val="0"/>
          <w:color w:val="000000" w:themeColor="text1"/>
          <w:sz w:val="28"/>
          <w14:textFill>
            <w14:solidFill>
              <w14:schemeClr w14:val="tx1"/>
            </w14:solidFill>
          </w14:textFill>
        </w:rPr>
      </w:pPr>
      <w:bookmarkStart w:id="316" w:name="_Toc27322"/>
      <w:bookmarkStart w:id="317" w:name="_Toc25926"/>
      <w:bookmarkStart w:id="318" w:name="_Toc233435951"/>
      <w:bookmarkStart w:id="319" w:name="_Toc5611"/>
      <w:bookmarkStart w:id="320" w:name="_Toc2585"/>
      <w:bookmarkStart w:id="321" w:name="_Toc26034"/>
      <w:bookmarkStart w:id="322" w:name="_Toc15589"/>
      <w:bookmarkStart w:id="323" w:name="_Toc23912"/>
      <w:r>
        <w:rPr>
          <w:rFonts w:hint="eastAsia" w:ascii="仿宋" w:hAnsi="仿宋" w:eastAsia="仿宋" w:cs="仿宋"/>
          <w:b w:val="0"/>
          <w:color w:val="000000" w:themeColor="text1"/>
          <w14:textFill>
            <w14:solidFill>
              <w14:schemeClr w14:val="tx1"/>
            </w14:solidFill>
          </w14:textFill>
        </w:rPr>
        <w:t>29 招标代理服务费</w:t>
      </w:r>
      <w:bookmarkEnd w:id="314"/>
      <w:bookmarkEnd w:id="315"/>
      <w:bookmarkEnd w:id="316"/>
      <w:bookmarkEnd w:id="317"/>
      <w:bookmarkEnd w:id="318"/>
      <w:bookmarkEnd w:id="319"/>
      <w:bookmarkEnd w:id="320"/>
      <w:bookmarkEnd w:id="321"/>
      <w:bookmarkEnd w:id="322"/>
      <w:bookmarkEnd w:id="323"/>
      <w:r>
        <w:rPr>
          <w:rFonts w:hint="eastAsia" w:ascii="仿宋" w:hAnsi="仿宋" w:eastAsia="仿宋" w:cs="仿宋"/>
          <w:b w:val="0"/>
          <w:color w:val="000000" w:themeColor="text1"/>
          <w:sz w:val="28"/>
          <w14:textFill>
            <w14:solidFill>
              <w14:schemeClr w14:val="tx1"/>
            </w14:solidFill>
          </w14:textFill>
        </w:rPr>
        <w:t xml:space="preserve"> </w:t>
      </w:r>
    </w:p>
    <w:p w14:paraId="1C709AE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29.1中标人应向采购代理机构交纳招标代理服务费。招标代理服务费的收取</w:t>
      </w:r>
      <w:r>
        <w:rPr>
          <w:rFonts w:hint="eastAsia" w:ascii="仿宋" w:hAnsi="仿宋" w:eastAsia="仿宋" w:cs="仿宋"/>
          <w:b w:val="0"/>
          <w:color w:val="000000" w:themeColor="text1"/>
          <w:sz w:val="24"/>
          <w:highlight w:val="none"/>
          <w:lang w:val="en-US" w:eastAsia="zh-CN"/>
          <w14:textFill>
            <w14:solidFill>
              <w14:schemeClr w14:val="tx1"/>
            </w14:solidFill>
          </w14:textFill>
        </w:rPr>
        <w:t>按照</w:t>
      </w:r>
      <w:r>
        <w:rPr>
          <w:rFonts w:hint="eastAsia" w:ascii="仿宋" w:hAnsi="仿宋" w:eastAsia="仿宋" w:cs="仿宋"/>
          <w:caps w:val="0"/>
          <w:smallCaps w:val="0"/>
          <w:color w:val="000000" w:themeColor="text1"/>
          <w:spacing w:val="0"/>
          <w:sz w:val="24"/>
          <w14:textFill>
            <w14:solidFill>
              <w14:schemeClr w14:val="tx1"/>
            </w14:solidFill>
          </w14:textFill>
        </w:rPr>
        <w:t>国家计委颁布的《招标代理服务收费管理暂行办法》（计价格</w:t>
      </w:r>
      <w:r>
        <w:rPr>
          <w:rFonts w:hint="eastAsia" w:ascii="仿宋" w:hAnsi="仿宋" w:eastAsia="仿宋" w:cs="仿宋"/>
          <w:bCs/>
          <w:color w:val="000000" w:themeColor="text1"/>
          <w:sz w:val="24"/>
          <w:szCs w:val="24"/>
          <w:highlight w:val="none"/>
          <w:shd w:val="clear" w:color="auto" w:fill="FFFFFF"/>
          <w:lang w:val="en-US" w:eastAsia="zh-CN"/>
          <w14:textFill>
            <w14:solidFill>
              <w14:schemeClr w14:val="tx1"/>
            </w14:solidFill>
          </w14:textFill>
        </w:rPr>
        <w:t>〔2002〕</w:t>
      </w:r>
      <w:r>
        <w:rPr>
          <w:rFonts w:hint="eastAsia" w:ascii="仿宋" w:hAnsi="仿宋" w:eastAsia="仿宋" w:cs="仿宋"/>
          <w:caps w:val="0"/>
          <w:smallCaps w:val="0"/>
          <w:color w:val="000000" w:themeColor="text1"/>
          <w:spacing w:val="0"/>
          <w:sz w:val="24"/>
          <w14:textFill>
            <w14:solidFill>
              <w14:schemeClr w14:val="tx1"/>
            </w14:solidFill>
          </w14:textFill>
        </w:rPr>
        <w:t>1980号）</w:t>
      </w:r>
      <w:r>
        <w:rPr>
          <w:rFonts w:hint="eastAsia" w:ascii="仿宋" w:hAnsi="仿宋" w:eastAsia="仿宋" w:cs="仿宋"/>
          <w:b w:val="0"/>
          <w:color w:val="000000" w:themeColor="text1"/>
          <w:sz w:val="24"/>
          <w:highlight w:val="none"/>
          <w:lang w:val="en-US" w:eastAsia="zh-CN"/>
          <w14:textFill>
            <w14:solidFill>
              <w14:schemeClr w14:val="tx1"/>
            </w14:solidFill>
          </w14:textFill>
        </w:rPr>
        <w:t>货物类收费标准计取</w:t>
      </w:r>
      <w:r>
        <w:rPr>
          <w:rFonts w:hint="eastAsia" w:ascii="仿宋" w:hAnsi="仿宋" w:eastAsia="仿宋" w:cs="仿宋"/>
          <w:color w:val="000000" w:themeColor="text1"/>
          <w:sz w:val="24"/>
          <w14:textFill>
            <w14:solidFill>
              <w14:schemeClr w14:val="tx1"/>
            </w14:solidFill>
          </w14:textFill>
        </w:rPr>
        <w:t>。此招标代理服务费应计入投标中，但不需要单独开列。</w:t>
      </w:r>
    </w:p>
    <w:p w14:paraId="5C32E54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29.2 招标代理服务费的交纳：在领取中标通知书时按29.1的规定。</w:t>
      </w:r>
    </w:p>
    <w:p w14:paraId="12C283AC">
      <w:pPr>
        <w:spacing w:line="360" w:lineRule="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29.3接收招标代理服务费账户名称：陕西中技招标有限公司</w:t>
      </w:r>
    </w:p>
    <w:p w14:paraId="6928CA74">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开户名称：陕西中技招标有限公司</w:t>
      </w:r>
    </w:p>
    <w:p w14:paraId="36A01DA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开户行名称：招商银行西安分行营业部</w:t>
      </w:r>
    </w:p>
    <w:p w14:paraId="20106F5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账      号：1299 1681 2810</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001 </w:t>
      </w:r>
    </w:p>
    <w:p w14:paraId="69623FBF">
      <w:pPr>
        <w:spacing w:line="360" w:lineRule="auto"/>
        <w:rPr>
          <w:rFonts w:hint="eastAsia" w:ascii="仿宋" w:hAnsi="仿宋" w:eastAsia="仿宋" w:cs="仿宋"/>
          <w:b/>
          <w:color w:val="000000" w:themeColor="text1"/>
          <w14:textFill>
            <w14:solidFill>
              <w14:schemeClr w14:val="tx1"/>
            </w14:solidFill>
          </w14:textFill>
        </w:rPr>
        <w:sectPr>
          <w:headerReference r:id="rId4" w:type="default"/>
          <w:footerReference r:id="rId5" w:type="default"/>
          <w:pgSz w:w="11906" w:h="16838"/>
          <w:pgMar w:top="1440" w:right="1423" w:bottom="1219" w:left="1644" w:header="720" w:footer="720" w:gutter="0"/>
          <w:pgNumType w:start="2"/>
          <w:cols w:space="720" w:num="1"/>
          <w:docGrid w:linePitch="312" w:charSpace="0"/>
        </w:sectPr>
      </w:pPr>
      <w:r>
        <w:rPr>
          <w:rFonts w:hint="eastAsia" w:ascii="仿宋" w:hAnsi="仿宋" w:eastAsia="仿宋" w:cs="仿宋"/>
          <w:b/>
          <w:bCs/>
          <w:color w:val="000000" w:themeColor="text1"/>
          <w:sz w:val="24"/>
          <w:highlight w:val="none"/>
          <w14:textFill>
            <w14:solidFill>
              <w14:schemeClr w14:val="tx1"/>
            </w14:solidFill>
          </w14:textFill>
        </w:rPr>
        <w:t>转账事由：</w:t>
      </w:r>
      <w:r>
        <w:rPr>
          <w:rFonts w:hint="eastAsia" w:ascii="仿宋" w:hAnsi="仿宋" w:eastAsia="仿宋" w:cs="仿宋"/>
          <w:b/>
          <w:bCs/>
          <w:color w:val="000000" w:themeColor="text1"/>
          <w:sz w:val="24"/>
          <w:highlight w:val="none"/>
          <w:u w:val="single"/>
          <w14:textFill>
            <w14:solidFill>
              <w14:schemeClr w14:val="tx1"/>
            </w14:solidFill>
          </w14:textFill>
        </w:rPr>
        <w:t xml:space="preserve"> (编号后四位）  </w:t>
      </w:r>
      <w:r>
        <w:rPr>
          <w:rFonts w:hint="eastAsia" w:ascii="仿宋" w:hAnsi="仿宋" w:eastAsia="仿宋" w:cs="仿宋"/>
          <w:b/>
          <w:bCs/>
          <w:color w:val="000000" w:themeColor="text1"/>
          <w:sz w:val="24"/>
          <w:highlight w:val="none"/>
          <w14:textFill>
            <w14:solidFill>
              <w14:schemeClr w14:val="tx1"/>
            </w14:solidFill>
          </w14:textFill>
        </w:rPr>
        <w:t>项目招标代理服务费</w:t>
      </w:r>
    </w:p>
    <w:p w14:paraId="0F56F199">
      <w:pPr>
        <w:pStyle w:val="2"/>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bookmarkStart w:id="324" w:name="_Toc11338"/>
      <w:bookmarkStart w:id="325" w:name="_Toc10221"/>
      <w:bookmarkStart w:id="326" w:name="_Toc13805"/>
      <w:bookmarkStart w:id="327" w:name="_Toc563"/>
      <w:bookmarkStart w:id="328" w:name="_Toc233435952"/>
      <w:bookmarkStart w:id="329" w:name="_Toc492955459"/>
      <w:bookmarkStart w:id="330" w:name="_Toc497551820"/>
      <w:bookmarkStart w:id="331" w:name="_Toc93800308"/>
      <w:bookmarkStart w:id="332" w:name="_Toc497546918"/>
      <w:bookmarkStart w:id="333" w:name="_Hlk74817514"/>
      <w:bookmarkStart w:id="334" w:name="_Toc497711585"/>
      <w:bookmarkStart w:id="335" w:name="_Toc497712133"/>
      <w:r>
        <w:rPr>
          <w:rFonts w:hint="eastAsia" w:ascii="仿宋" w:hAnsi="仿宋" w:eastAsia="仿宋" w:cs="仿宋"/>
          <w:color w:val="000000" w:themeColor="text1"/>
          <w:highlight w:val="none"/>
          <w14:textFill>
            <w14:solidFill>
              <w14:schemeClr w14:val="tx1"/>
            </w14:solidFill>
          </w14:textFill>
        </w:rPr>
        <w:t xml:space="preserve">第四部分 </w:t>
      </w:r>
      <w:bookmarkStart w:id="336" w:name="_Toc16863"/>
      <w:bookmarkStart w:id="337" w:name="_Toc11363"/>
      <w:bookmarkStart w:id="338" w:name="_Toc20208"/>
      <w:r>
        <w:rPr>
          <w:rFonts w:hint="eastAsia" w:ascii="仿宋" w:hAnsi="仿宋" w:eastAsia="仿宋" w:cs="仿宋"/>
          <w:color w:val="000000" w:themeColor="text1"/>
          <w:highlight w:val="none"/>
          <w14:textFill>
            <w14:solidFill>
              <w14:schemeClr w14:val="tx1"/>
            </w14:solidFill>
          </w14:textFill>
        </w:rPr>
        <w:t>合同格式</w:t>
      </w:r>
      <w:bookmarkEnd w:id="324"/>
      <w:bookmarkEnd w:id="325"/>
      <w:bookmarkEnd w:id="326"/>
      <w:bookmarkEnd w:id="327"/>
      <w:bookmarkEnd w:id="328"/>
      <w:bookmarkEnd w:id="336"/>
      <w:bookmarkEnd w:id="337"/>
      <w:bookmarkEnd w:id="338"/>
    </w:p>
    <w:p w14:paraId="665DC2A5">
      <w:pPr>
        <w:spacing w:before="120" w:line="360" w:lineRule="auto"/>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（参考格式）</w:t>
      </w:r>
    </w:p>
    <w:p w14:paraId="052E113E">
      <w:pPr>
        <w:pageBreakBefore w:val="0"/>
        <w:widowControl w:val="0"/>
        <w:tabs>
          <w:tab w:val="left" w:pos="735"/>
        </w:tabs>
        <w:kinsoku/>
        <w:wordWrap/>
        <w:overflowPunct/>
        <w:topLinePunct w:val="0"/>
        <w:autoSpaceDE w:val="0"/>
        <w:autoSpaceDN w:val="0"/>
        <w:bidi w:val="0"/>
        <w:adjustRightInd w:val="0"/>
        <w:snapToGrid w:val="0"/>
        <w:spacing w:line="460" w:lineRule="exact"/>
        <w:ind w:firstLine="63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w:t>
      </w:r>
      <w:r>
        <w:rPr>
          <w:rFonts w:hint="eastAsia" w:ascii="仿宋" w:hAnsi="仿宋" w:eastAsia="仿宋" w:cs="仿宋"/>
          <w:b/>
          <w:bCs/>
          <w:color w:val="000000" w:themeColor="text1"/>
          <w:sz w:val="24"/>
          <w:highlight w:val="none"/>
          <w:lang w:val="zh-CN"/>
          <w14:textFill>
            <w14:solidFill>
              <w14:schemeClr w14:val="tx1"/>
            </w14:solidFill>
          </w14:textFill>
        </w:rPr>
        <w:t>人（以下简称甲方）：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p>
    <w:p w14:paraId="7116C1D7">
      <w:pPr>
        <w:pageBreakBefore w:val="0"/>
        <w:widowControl w:val="0"/>
        <w:tabs>
          <w:tab w:val="left" w:pos="735"/>
        </w:tabs>
        <w:kinsoku/>
        <w:wordWrap/>
        <w:overflowPunct/>
        <w:topLinePunct w:val="0"/>
        <w:autoSpaceDE w:val="0"/>
        <w:autoSpaceDN w:val="0"/>
        <w:bidi w:val="0"/>
        <w:adjustRightInd w:val="0"/>
        <w:snapToGrid w:val="0"/>
        <w:spacing w:line="460" w:lineRule="exact"/>
        <w:ind w:firstLine="631"/>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highlight w:val="none"/>
          <w:lang w:val="zh-CN"/>
          <w14:textFill>
            <w14:solidFill>
              <w14:schemeClr w14:val="tx1"/>
            </w14:solidFill>
          </w14:textFill>
        </w:rPr>
        <w:t>（以下简称乙方）：</w:t>
      </w:r>
      <w:r>
        <w:rPr>
          <w:rFonts w:hint="eastAsia" w:ascii="仿宋" w:hAnsi="仿宋" w:eastAsia="仿宋" w:cs="仿宋"/>
          <w:b/>
          <w:bCs/>
          <w:color w:val="000000" w:themeColor="text1"/>
          <w:sz w:val="24"/>
          <w:highlight w:val="none"/>
          <w:u w:val="single"/>
          <w:lang w:val="zh-CN"/>
          <w14:textFill>
            <w14:solidFill>
              <w14:schemeClr w14:val="tx1"/>
            </w14:solidFill>
          </w14:textFill>
        </w:rPr>
        <w:t xml:space="preserve">                         </w:t>
      </w:r>
    </w:p>
    <w:p w14:paraId="240BD3DB">
      <w:pPr>
        <w:pageBreakBefore w:val="0"/>
        <w:widowControl w:val="0"/>
        <w:kinsoku/>
        <w:wordWrap/>
        <w:overflowPunct/>
        <w:topLinePunct w:val="0"/>
        <w:bidi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参照</w:t>
      </w:r>
      <w:r>
        <w:rPr>
          <w:rFonts w:hint="eastAsia" w:ascii="仿宋" w:hAnsi="仿宋" w:eastAsia="仿宋" w:cs="仿宋"/>
          <w:color w:val="000000" w:themeColor="text1"/>
          <w:sz w:val="24"/>
          <w:highlight w:val="none"/>
          <w14:textFill>
            <w14:solidFill>
              <w14:schemeClr w14:val="tx1"/>
            </w14:solidFill>
          </w14:textFill>
        </w:rPr>
        <w:t>《中华人民共和国政府采购法》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《中华人民共和国民法典》及相关法律法规，甲、乙双方就</w:t>
      </w:r>
      <w:r>
        <w:rPr>
          <w:rFonts w:hint="eastAsia" w:ascii="仿宋" w:hAnsi="仿宋" w:eastAsia="仿宋" w:cs="仿宋"/>
          <w:color w:val="000000" w:themeColor="text1"/>
          <w:sz w:val="24"/>
          <w:highlight w:val="none"/>
          <w:lang w:val="en-US" w:eastAsia="zh-CN"/>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事宜，经协商一致，达成如下协议：</w:t>
      </w:r>
    </w:p>
    <w:p w14:paraId="4BF5BE7D">
      <w:pPr>
        <w:pStyle w:val="193"/>
        <w:pageBreakBefore w:val="0"/>
        <w:widowControl w:val="0"/>
        <w:kinsoku/>
        <w:wordWrap/>
        <w:overflowPunct/>
        <w:topLinePunct w:val="0"/>
        <w:bidi w:val="0"/>
        <w:spacing w:line="460" w:lineRule="exact"/>
        <w:ind w:firstLine="0" w:firstLineChars="0"/>
        <w:jc w:val="left"/>
        <w:rPr>
          <w:rFonts w:hint="eastAsia" w:ascii="仿宋" w:hAnsi="仿宋" w:eastAsia="仿宋" w:cs="仿宋"/>
          <w:b/>
          <w:color w:val="000000" w:themeColor="text1"/>
          <w:sz w:val="24"/>
          <w:szCs w:val="22"/>
          <w:highlight w:val="none"/>
          <w14:textFill>
            <w14:solidFill>
              <w14:schemeClr w14:val="tx1"/>
            </w14:solidFill>
          </w14:textFill>
        </w:rPr>
      </w:pPr>
      <w:r>
        <w:rPr>
          <w:rFonts w:hint="eastAsia" w:ascii="仿宋" w:hAnsi="仿宋" w:eastAsia="仿宋" w:cs="仿宋"/>
          <w:b/>
          <w:color w:val="000000" w:themeColor="text1"/>
          <w:sz w:val="24"/>
          <w:szCs w:val="22"/>
          <w:highlight w:val="none"/>
          <w14:textFill>
            <w14:solidFill>
              <w14:schemeClr w14:val="tx1"/>
            </w14:solidFill>
          </w14:textFill>
        </w:rPr>
        <w:t>一、合同内容</w:t>
      </w:r>
    </w:p>
    <w:p w14:paraId="3692D0F1">
      <w:pPr>
        <w:pStyle w:val="193"/>
        <w:pageBreakBefore w:val="0"/>
        <w:widowControl w:val="0"/>
        <w:kinsoku/>
        <w:wordWrap/>
        <w:overflowPunct/>
        <w:topLinePunct w:val="0"/>
        <w:bidi w:val="0"/>
        <w:spacing w:line="460" w:lineRule="exact"/>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具体内容详见</w:t>
      </w:r>
      <w:r>
        <w:rPr>
          <w:rFonts w:hint="eastAsia" w:ascii="仿宋" w:hAnsi="仿宋" w:eastAsia="仿宋" w:cs="仿宋"/>
          <w:color w:val="000000" w:themeColor="text1"/>
          <w:sz w:val="24"/>
          <w:highlight w:val="none"/>
          <w:lang w:val="en-US"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文件。</w:t>
      </w:r>
    </w:p>
    <w:p w14:paraId="7AC960E8">
      <w:pPr>
        <w:pStyle w:val="193"/>
        <w:pageBreakBefore w:val="0"/>
        <w:widowControl w:val="0"/>
        <w:kinsoku/>
        <w:wordWrap/>
        <w:overflowPunct/>
        <w:topLinePunct w:val="0"/>
        <w:bidi w:val="0"/>
        <w:spacing w:line="460" w:lineRule="exact"/>
        <w:ind w:firstLine="0" w:firstLineChars="0"/>
        <w:jc w:val="left"/>
        <w:rPr>
          <w:rFonts w:hint="eastAsia" w:ascii="仿宋" w:hAnsi="仿宋" w:eastAsia="仿宋" w:cs="仿宋"/>
          <w:b/>
          <w:color w:val="000000" w:themeColor="text1"/>
          <w:sz w:val="24"/>
          <w:szCs w:val="22"/>
          <w:highlight w:val="none"/>
          <w14:textFill>
            <w14:solidFill>
              <w14:schemeClr w14:val="tx1"/>
            </w14:solidFill>
          </w14:textFill>
        </w:rPr>
      </w:pPr>
      <w:r>
        <w:rPr>
          <w:rFonts w:hint="eastAsia" w:ascii="仿宋" w:hAnsi="仿宋" w:eastAsia="仿宋" w:cs="仿宋"/>
          <w:b/>
          <w:color w:val="000000" w:themeColor="text1"/>
          <w:sz w:val="24"/>
          <w:szCs w:val="22"/>
          <w:highlight w:val="none"/>
          <w14:textFill>
            <w14:solidFill>
              <w14:schemeClr w14:val="tx1"/>
            </w14:solidFill>
          </w14:textFill>
        </w:rPr>
        <w:t>二、合同组成</w:t>
      </w:r>
    </w:p>
    <w:p w14:paraId="4715DE4C">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1.下述文件是构成本合同不可分割的部分:</w:t>
      </w:r>
    </w:p>
    <w:p w14:paraId="64B901C2">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（1）本合同条款及其所有附件。</w:t>
      </w:r>
    </w:p>
    <w:p w14:paraId="382312A1">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（2）甲方的</w:t>
      </w:r>
      <w:r>
        <w:rPr>
          <w:rFonts w:hint="eastAsia" w:ascii="仿宋" w:hAnsi="仿宋" w:eastAsia="仿宋" w:cs="仿宋"/>
          <w:color w:val="000000" w:themeColor="text1"/>
          <w:sz w:val="24"/>
          <w:highlight w:val="none"/>
          <w:lang w:val="en-US"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及澄清文件。</w:t>
      </w:r>
    </w:p>
    <w:p w14:paraId="01C9E5EB">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（3）乙方的</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及质疑解答文件。</w:t>
      </w:r>
    </w:p>
    <w:p w14:paraId="4CBC8DA8">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成交</w:t>
      </w:r>
      <w:r>
        <w:rPr>
          <w:rFonts w:hint="eastAsia" w:ascii="仿宋" w:hAnsi="仿宋" w:eastAsia="仿宋" w:cs="仿宋"/>
          <w:color w:val="000000" w:themeColor="text1"/>
          <w:sz w:val="24"/>
          <w:highlight w:val="none"/>
          <w:lang w:eastAsia="zh-CN"/>
          <w14:textFill>
            <w14:solidFill>
              <w14:schemeClr w14:val="tx1"/>
            </w14:solidFill>
          </w14:textFill>
        </w:rPr>
        <w:t>通知书</w:t>
      </w:r>
      <w:r>
        <w:rPr>
          <w:rFonts w:hint="eastAsia" w:ascii="仿宋" w:hAnsi="仿宋" w:eastAsia="仿宋" w:cs="仿宋"/>
          <w:color w:val="000000" w:themeColor="text1"/>
          <w:sz w:val="24"/>
          <w:highlight w:val="none"/>
          <w14:textFill>
            <w14:solidFill>
              <w14:schemeClr w14:val="tx1"/>
            </w14:solidFill>
          </w14:textFill>
        </w:rPr>
        <w:t>。</w:t>
      </w:r>
    </w:p>
    <w:p w14:paraId="70B3FD54">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（5）法定代表人授权书。</w:t>
      </w:r>
    </w:p>
    <w:p w14:paraId="2ADEE629">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（6）双方与合同有关的往来信函、传真经双方法定代表人或其授权代表签字并加盖单位公章确认后视为本合同的组成部分。</w:t>
      </w:r>
    </w:p>
    <w:p w14:paraId="4E14A2FC">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（7）经双方法定代表人或其授权代表签字并加盖单位公章确认的补充协议。</w:t>
      </w:r>
    </w:p>
    <w:p w14:paraId="7078B736">
      <w:pPr>
        <w:pageBreakBefore w:val="0"/>
        <w:widowControl w:val="0"/>
        <w:tabs>
          <w:tab w:val="left" w:pos="735"/>
        </w:tabs>
        <w:kinsoku/>
        <w:wordWrap/>
        <w:overflowPunct/>
        <w:topLinePunct w:val="0"/>
        <w:bidi w:val="0"/>
        <w:adjustRightInd w:val="0"/>
        <w:snapToGrid w:val="0"/>
        <w:spacing w:line="460" w:lineRule="exact"/>
        <w:ind w:firstLine="504" w:firstLineChars="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2.如果乙方的</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及质疑解答文件内容违背或低于甲方</w:t>
      </w:r>
      <w:r>
        <w:rPr>
          <w:rFonts w:hint="eastAsia" w:ascii="仿宋" w:hAnsi="仿宋" w:eastAsia="仿宋" w:cs="仿宋"/>
          <w:color w:val="000000" w:themeColor="text1"/>
          <w:sz w:val="24"/>
          <w:highlight w:val="none"/>
          <w:lang w:val="en-US"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要求或任何可能导致影响当次采购目的的情形，均应当被视为乙方自动放弃</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及质疑解答文件中相应部分而同意以</w:t>
      </w:r>
      <w:r>
        <w:rPr>
          <w:rFonts w:hint="eastAsia" w:ascii="仿宋" w:hAnsi="仿宋" w:eastAsia="仿宋" w:cs="仿宋"/>
          <w:color w:val="000000" w:themeColor="text1"/>
          <w:sz w:val="24"/>
          <w:highlight w:val="none"/>
          <w:lang w:val="en-US"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相应内容为准。如果乙方的</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及质疑解答文件内容高于甲方</w:t>
      </w:r>
      <w:r>
        <w:rPr>
          <w:rFonts w:hint="eastAsia" w:ascii="仿宋" w:hAnsi="仿宋" w:eastAsia="仿宋" w:cs="仿宋"/>
          <w:color w:val="000000" w:themeColor="text1"/>
          <w:sz w:val="24"/>
          <w:highlight w:val="none"/>
          <w:lang w:val="en-US"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要求，则以乙方的</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及质疑解答文件内容为准。如果合同条款与合同附件有矛盾之处，以合同条款内容为准。如果合同附件之间有矛盾之处，以有利于甲方的附件内容为准。</w:t>
      </w:r>
    </w:p>
    <w:p w14:paraId="5759E022">
      <w:pPr>
        <w:pageBreakBefore w:val="0"/>
        <w:widowControl w:val="0"/>
        <w:kinsoku/>
        <w:wordWrap/>
        <w:overflowPunct/>
        <w:topLinePunct w:val="0"/>
        <w:bidi w:val="0"/>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上述合同文件应能够相互解释、相互说明。如合同文件之间出现不一致，除本合同另有约定外，第（1）款至（6）款的排列顺序就是合同文件的优先解释顺序。对于第（7）款中双方达成的补充协议与原合同（包括（1）-（6）款中所列的所有文件）存在不一致，以签订日期在后的补充协议为准。</w:t>
      </w:r>
    </w:p>
    <w:p w14:paraId="78D776A0">
      <w:pPr>
        <w:pageBreakBefore w:val="0"/>
        <w:widowControl w:val="0"/>
        <w:kinsoku/>
        <w:wordWrap/>
        <w:overflowPunct/>
        <w:topLinePunct w:val="0"/>
        <w:bidi w:val="0"/>
        <w:snapToGrid w:val="0"/>
        <w:spacing w:line="460" w:lineRule="exact"/>
        <w:textAlignment w:val="baseline"/>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三、合同价款</w:t>
      </w:r>
    </w:p>
    <w:p w14:paraId="01F9E09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合同总价款为人民币（大写）</w:t>
      </w:r>
      <w:r>
        <w:rPr>
          <w:rFonts w:hint="eastAsia" w:ascii="仿宋" w:hAnsi="仿宋" w:eastAsia="仿宋" w:cs="仿宋"/>
          <w:color w:val="000000" w:themeColor="text1"/>
          <w:kern w:val="0"/>
          <w:sz w:val="24"/>
          <w:highlight w:val="none"/>
          <w:u w:val="single" w:color="auto"/>
          <w:lang w:val="en-US" w:eastAsia="zh-CN"/>
          <w14:textFill>
            <w14:solidFill>
              <w14:schemeClr w14:val="tx1"/>
            </w14:solidFill>
          </w14:textFill>
        </w:rPr>
        <w:t xml:space="preserve">    元整</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包括项目过程中的</w:t>
      </w:r>
      <w:r>
        <w:rPr>
          <w:rFonts w:hint="eastAsia" w:ascii="仿宋" w:hAnsi="仿宋" w:eastAsia="仿宋" w:cs="仿宋"/>
          <w:color w:val="000000" w:themeColor="text1"/>
          <w:kern w:val="0"/>
          <w:sz w:val="24"/>
          <w:highlight w:val="none"/>
          <w:lang w:eastAsia="zh-CN"/>
          <w14:textFill>
            <w14:solidFill>
              <w14:schemeClr w14:val="tx1"/>
            </w14:solidFill>
          </w14:textFill>
        </w:rPr>
        <w:t>（货物价款、包装费、运杂费（含保险费）、验收费、利润、风险、税金）</w:t>
      </w:r>
      <w:r>
        <w:rPr>
          <w:rFonts w:hint="eastAsia" w:ascii="仿宋" w:hAnsi="仿宋" w:eastAsia="仿宋" w:cs="仿宋"/>
          <w:color w:val="000000" w:themeColor="text1"/>
          <w:kern w:val="0"/>
          <w:sz w:val="24"/>
          <w:highlight w:val="none"/>
          <w14:textFill>
            <w14:solidFill>
              <w14:schemeClr w14:val="tx1"/>
            </w14:solidFill>
          </w14:textFill>
        </w:rPr>
        <w:t>所有费用。</w:t>
      </w:r>
      <w:r>
        <w:rPr>
          <w:rFonts w:hint="eastAsia" w:ascii="仿宋" w:hAnsi="仿宋" w:eastAsia="仿宋" w:cs="仿宋"/>
          <w:color w:val="000000" w:themeColor="text1"/>
          <w:sz w:val="24"/>
          <w:highlight w:val="none"/>
          <w:lang w:val="en-US" w:eastAsia="zh-CN"/>
          <w14:textFill>
            <w14:solidFill>
              <w14:schemeClr w14:val="tx1"/>
            </w14:solidFill>
          </w14:textFill>
        </w:rPr>
        <w:t>合同价</w:t>
      </w:r>
      <w:r>
        <w:rPr>
          <w:rFonts w:hint="eastAsia" w:ascii="仿宋" w:hAnsi="仿宋" w:eastAsia="仿宋" w:cs="仿宋"/>
          <w:color w:val="000000" w:themeColor="text1"/>
          <w:kern w:val="0"/>
          <w:sz w:val="24"/>
          <w:highlight w:val="none"/>
          <w:lang w:val="en-US" w:eastAsia="zh-CN"/>
          <w14:textFill>
            <w14:solidFill>
              <w14:schemeClr w14:val="tx1"/>
            </w14:solidFill>
          </w14:textFill>
        </w:rPr>
        <w:t>为大写</w:t>
      </w:r>
      <w:r>
        <w:rPr>
          <w:rFonts w:hint="eastAsia" w:ascii="仿宋" w:hAnsi="仿宋" w:eastAsia="仿宋" w:cs="仿宋"/>
          <w:color w:val="000000" w:themeColor="text1"/>
          <w:kern w:val="0"/>
          <w:sz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，小写</w:t>
      </w:r>
      <w:r>
        <w:rPr>
          <w:rFonts w:hint="eastAsia" w:ascii="仿宋" w:hAnsi="仿宋" w:eastAsia="仿宋" w:cs="仿宋"/>
          <w:color w:val="000000" w:themeColor="text1"/>
          <w:kern w:val="0"/>
          <w:sz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24EECC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合同价格形式为固定</w:t>
      </w:r>
      <w:r>
        <w:rPr>
          <w:rFonts w:hint="eastAsia" w:ascii="仿宋" w:hAnsi="仿宋" w:eastAsia="仿宋" w:cs="仿宋"/>
          <w:color w:val="000000" w:themeColor="text1"/>
          <w:sz w:val="24"/>
          <w:highlight w:val="none"/>
          <w:lang w:val="en-US" w:eastAsia="zh-CN"/>
          <w14:textFill>
            <w14:solidFill>
              <w14:schemeClr w14:val="tx1"/>
            </w14:solidFill>
          </w14:textFill>
        </w:rPr>
        <w:t>总价</w:t>
      </w:r>
      <w:r>
        <w:rPr>
          <w:rFonts w:hint="eastAsia" w:ascii="仿宋" w:hAnsi="仿宋" w:eastAsia="仿宋" w:cs="仿宋"/>
          <w:color w:val="000000" w:themeColor="text1"/>
          <w:sz w:val="24"/>
          <w:highlight w:val="none"/>
          <w14:textFill>
            <w14:solidFill>
              <w14:schemeClr w14:val="tx1"/>
            </w14:solidFill>
          </w14:textFill>
        </w:rPr>
        <w:t>。</w:t>
      </w:r>
    </w:p>
    <w:p w14:paraId="454A60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合同价格</w:t>
      </w:r>
      <w:r>
        <w:rPr>
          <w:rFonts w:hint="eastAsia" w:ascii="仿宋" w:hAnsi="仿宋" w:eastAsia="仿宋" w:cs="仿宋"/>
          <w:color w:val="000000" w:themeColor="text1"/>
          <w:kern w:val="0"/>
          <w:sz w:val="24"/>
          <w:highlight w:val="none"/>
          <w14:textFill>
            <w14:solidFill>
              <w14:schemeClr w14:val="tx1"/>
            </w14:solidFill>
          </w14:textFill>
        </w:rPr>
        <w:t>一次性包死，不受市场价格变化因素的影响。</w:t>
      </w:r>
    </w:p>
    <w:p w14:paraId="09241922">
      <w:pPr>
        <w:pageBreakBefore w:val="0"/>
        <w:widowControl w:val="0"/>
        <w:kinsoku/>
        <w:wordWrap/>
        <w:overflowPunct/>
        <w:topLinePunct w:val="0"/>
        <w:bidi w:val="0"/>
        <w:snapToGrid w:val="0"/>
        <w:spacing w:line="460" w:lineRule="exact"/>
        <w:textAlignment w:val="baseline"/>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四、合同结算</w:t>
      </w:r>
    </w:p>
    <w:p w14:paraId="3E77BFD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合同款的支付：以甲方最终</w:t>
      </w:r>
      <w:r>
        <w:rPr>
          <w:rFonts w:hint="eastAsia" w:ascii="仿宋" w:hAnsi="仿宋" w:eastAsia="仿宋" w:cs="仿宋"/>
          <w:color w:val="000000" w:themeColor="text1"/>
          <w:kern w:val="0"/>
          <w:sz w:val="24"/>
          <w:highlight w:val="none"/>
          <w:lang w:eastAsia="zh-CN"/>
          <w14:textFill>
            <w14:solidFill>
              <w14:schemeClr w14:val="tx1"/>
            </w14:solidFill>
          </w14:textFill>
        </w:rPr>
        <w:t>签认的供货</w:t>
      </w:r>
      <w:r>
        <w:rPr>
          <w:rFonts w:hint="eastAsia" w:ascii="仿宋" w:hAnsi="仿宋" w:eastAsia="仿宋" w:cs="仿宋"/>
          <w:color w:val="000000" w:themeColor="text1"/>
          <w:kern w:val="0"/>
          <w:sz w:val="24"/>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4"/>
          <w:highlight w:val="none"/>
          <w14:textFill>
            <w14:solidFill>
              <w14:schemeClr w14:val="tx1"/>
            </w14:solidFill>
          </w14:textFill>
        </w:rPr>
        <w:t>为准。</w:t>
      </w:r>
    </w:p>
    <w:p w14:paraId="4861C3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支付方式：</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银行转账，乙方在甲方付款前，开具等额发票给甲方</w:t>
      </w:r>
      <w:r>
        <w:rPr>
          <w:rFonts w:hint="eastAsia" w:ascii="仿宋" w:hAnsi="仿宋" w:eastAsia="仿宋" w:cs="仿宋"/>
          <w:color w:val="000000" w:themeColor="text1"/>
          <w:kern w:val="0"/>
          <w:sz w:val="24"/>
          <w:highlight w:val="none"/>
          <w14:textFill>
            <w14:solidFill>
              <w14:schemeClr w14:val="tx1"/>
            </w14:solidFill>
          </w14:textFill>
        </w:rPr>
        <w:t>。</w:t>
      </w:r>
    </w:p>
    <w:p w14:paraId="7553C37B">
      <w:pPr>
        <w:pageBreakBefore w:val="0"/>
        <w:widowControl w:val="0"/>
        <w:kinsoku/>
        <w:wordWrap/>
        <w:overflowPunct/>
        <w:topLinePunct w:val="0"/>
        <w:bidi w:val="0"/>
        <w:snapToGrid w:val="0"/>
        <w:spacing w:line="460" w:lineRule="exact"/>
        <w:ind w:firstLine="480" w:firstLineChars="200"/>
        <w:textAlignment w:val="baseline"/>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付款方式：</w:t>
      </w:r>
    </w:p>
    <w:p w14:paraId="4074D99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1、合同签订后5个工作日内向采购人支付合同总额3%作为履约保证金或提供等额履约担保，全部货物到达采购人指定地点后，全额无息退还。</w:t>
      </w:r>
    </w:p>
    <w:p w14:paraId="78CBABD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2、全部货物到达采购人指定地点、安装调试完成并验收合格后，10个工作日内支付合同总价款的100％。</w:t>
      </w:r>
    </w:p>
    <w:p w14:paraId="7E22759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乙方应向甲方出具符合国家财税规定的发票，否则甲方有权延迟履行付款义务。如因乙方缘故（如开具发票延误等）导致甲方无法按时付款，甲方不承担违约责任。</w:t>
      </w:r>
    </w:p>
    <w:p w14:paraId="7E5009B8">
      <w:pPr>
        <w:pageBreakBefore w:val="0"/>
        <w:widowControl w:val="0"/>
        <w:kinsoku/>
        <w:wordWrap/>
        <w:overflowPunct/>
        <w:topLinePunct w:val="0"/>
        <w:bidi w:val="0"/>
        <w:snapToGrid w:val="0"/>
        <w:spacing w:line="460" w:lineRule="exact"/>
        <w:textAlignment w:val="baseline"/>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五、</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交货</w:t>
      </w:r>
      <w:r>
        <w:rPr>
          <w:rFonts w:hint="eastAsia" w:ascii="仿宋" w:hAnsi="仿宋" w:eastAsia="仿宋" w:cs="仿宋"/>
          <w:b/>
          <w:bCs/>
          <w:color w:val="000000" w:themeColor="text1"/>
          <w:kern w:val="0"/>
          <w:sz w:val="24"/>
          <w:highlight w:val="none"/>
          <w:lang w:eastAsia="zh-CN"/>
          <w14:textFill>
            <w14:solidFill>
              <w14:schemeClr w14:val="tx1"/>
            </w14:solidFill>
          </w14:textFill>
        </w:rPr>
        <w:t>期、质保期及交货地点</w:t>
      </w:r>
    </w:p>
    <w:p w14:paraId="18A9AD2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1.交货</w:t>
      </w:r>
      <w:r>
        <w:rPr>
          <w:rFonts w:hint="eastAsia" w:ascii="仿宋" w:hAnsi="仿宋" w:eastAsia="仿宋" w:cs="仿宋"/>
          <w:color w:val="000000" w:themeColor="text1"/>
          <w:sz w:val="24"/>
          <w:highlight w:val="none"/>
          <w:lang w:eastAsia="zh-CN"/>
          <w14:textFill>
            <w14:solidFill>
              <w14:schemeClr w14:val="tx1"/>
            </w14:solidFill>
          </w14:textFill>
        </w:rPr>
        <w:t>期</w:t>
      </w:r>
      <w:r>
        <w:rPr>
          <w:rFonts w:hint="eastAsia" w:ascii="仿宋" w:hAnsi="仿宋" w:eastAsia="仿宋" w:cs="仿宋"/>
          <w:color w:val="000000" w:themeColor="text1"/>
          <w:sz w:val="24"/>
          <w:highlight w:val="none"/>
          <w14:textFill>
            <w14:solidFill>
              <w14:schemeClr w14:val="tx1"/>
            </w14:solidFill>
          </w14:textFill>
        </w:rPr>
        <w:t>：自合同签订生效之日起</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个日历日内完成产品的供货、安装、调试并正常运行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779FFB4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2.质保期：产品质保期 3 年，质保期起始时间为终验合格之日。产品在质保期出现质量问题，乙方应负责三包（包修、包换、包退），费用由乙方负担，甲方有权到乙方生产场地检查产品质量和生产进度。</w:t>
      </w:r>
    </w:p>
    <w:p w14:paraId="6C3C965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交货地点</w:t>
      </w:r>
      <w:r>
        <w:rPr>
          <w:rFonts w:hint="eastAsia" w:ascii="仿宋" w:hAnsi="仿宋" w:eastAsia="仿宋" w:cs="仿宋"/>
          <w:color w:val="000000" w:themeColor="text1"/>
          <w:sz w:val="24"/>
          <w:highlight w:val="none"/>
          <w14:textFill>
            <w14:solidFill>
              <w14:schemeClr w14:val="tx1"/>
            </w14:solidFill>
          </w14:textFill>
        </w:rPr>
        <w:t>：采购人指定地点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12344D1D">
      <w:pPr>
        <w:pStyle w:val="193"/>
        <w:pageBreakBefore w:val="0"/>
        <w:widowControl w:val="0"/>
        <w:kinsoku/>
        <w:wordWrap/>
        <w:overflowPunct/>
        <w:topLinePunct w:val="0"/>
        <w:bidi w:val="0"/>
        <w:spacing w:line="460" w:lineRule="exact"/>
        <w:ind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六、</w:t>
      </w:r>
      <w:r>
        <w:rPr>
          <w:rFonts w:hint="eastAsia" w:ascii="仿宋" w:hAnsi="仿宋" w:eastAsia="仿宋" w:cs="仿宋"/>
          <w:b/>
          <w:color w:val="000000" w:themeColor="text1"/>
          <w:sz w:val="24"/>
          <w:highlight w:val="none"/>
          <w14:textFill>
            <w14:solidFill>
              <w14:schemeClr w14:val="tx1"/>
            </w14:solidFill>
          </w14:textFill>
        </w:rPr>
        <w:t>质量要求</w:t>
      </w:r>
    </w:p>
    <w:p w14:paraId="09C86AE7">
      <w:pPr>
        <w:pStyle w:val="193"/>
        <w:pageBreakBefore w:val="0"/>
        <w:widowControl w:val="0"/>
        <w:kinsoku/>
        <w:wordWrap/>
        <w:overflowPunct/>
        <w:topLinePunct w:val="0"/>
        <w:bidi w:val="0"/>
        <w:spacing w:line="460" w:lineRule="exact"/>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w:t>
      </w:r>
      <w:r>
        <w:rPr>
          <w:rFonts w:hint="eastAsia" w:ascii="仿宋" w:hAnsi="仿宋" w:eastAsia="仿宋" w:cs="仿宋"/>
          <w:color w:val="000000" w:themeColor="text1"/>
          <w:sz w:val="24"/>
          <w:highlight w:val="none"/>
          <w:lang w:eastAsia="zh-CN"/>
          <w14:textFill>
            <w14:solidFill>
              <w14:schemeClr w14:val="tx1"/>
            </w14:solidFill>
          </w14:textFill>
        </w:rPr>
        <w:t>甲方使用标准以及</w:t>
      </w:r>
      <w:r>
        <w:rPr>
          <w:rFonts w:hint="eastAsia" w:ascii="仿宋" w:hAnsi="仿宋" w:eastAsia="仿宋" w:cs="仿宋"/>
          <w:color w:val="000000" w:themeColor="text1"/>
          <w:sz w:val="24"/>
          <w:highlight w:val="none"/>
          <w14:textFill>
            <w14:solidFill>
              <w14:schemeClr w14:val="tx1"/>
            </w14:solidFill>
          </w14:textFill>
        </w:rPr>
        <w:t>国家</w:t>
      </w:r>
      <w:r>
        <w:rPr>
          <w:rFonts w:hint="eastAsia" w:ascii="仿宋" w:hAnsi="仿宋" w:eastAsia="仿宋" w:cs="仿宋"/>
          <w:color w:val="000000" w:themeColor="text1"/>
          <w:sz w:val="24"/>
          <w:highlight w:val="none"/>
          <w:lang w:val="en-US" w:eastAsia="zh-CN"/>
          <w14:textFill>
            <w14:solidFill>
              <w14:schemeClr w14:val="tx1"/>
            </w14:solidFill>
          </w14:textFill>
        </w:rPr>
        <w:t>、行业</w:t>
      </w:r>
      <w:r>
        <w:rPr>
          <w:rFonts w:hint="eastAsia" w:ascii="仿宋" w:hAnsi="仿宋" w:eastAsia="仿宋" w:cs="仿宋"/>
          <w:color w:val="000000" w:themeColor="text1"/>
          <w:sz w:val="24"/>
          <w:highlight w:val="none"/>
          <w14:textFill>
            <w14:solidFill>
              <w14:schemeClr w14:val="tx1"/>
            </w14:solidFill>
          </w14:textFill>
        </w:rPr>
        <w:t>有关现行规范、标准的要求。</w:t>
      </w:r>
    </w:p>
    <w:p w14:paraId="045795C8">
      <w:pPr>
        <w:pStyle w:val="193"/>
        <w:pageBreakBefore w:val="0"/>
        <w:widowControl w:val="0"/>
        <w:kinsoku/>
        <w:wordWrap/>
        <w:overflowPunct/>
        <w:topLinePunct w:val="0"/>
        <w:bidi w:val="0"/>
        <w:spacing w:line="460" w:lineRule="exact"/>
        <w:ind w:firstLine="0" w:firstLineChars="0"/>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知识产权</w:t>
      </w:r>
    </w:p>
    <w:p w14:paraId="2FE73339">
      <w:pPr>
        <w:pageBreakBefore w:val="0"/>
        <w:widowControl w:val="0"/>
        <w:kinsoku/>
        <w:wordWrap/>
        <w:overflowPunct/>
        <w:topLinePunct w:val="0"/>
        <w:bidi w:val="0"/>
        <w:spacing w:line="46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A944A33">
      <w:pPr>
        <w:pStyle w:val="95"/>
        <w:pageBreakBefore w:val="0"/>
        <w:widowControl w:val="0"/>
        <w:kinsoku/>
        <w:wordWrap/>
        <w:overflowPunct/>
        <w:topLinePunct w:val="0"/>
        <w:bidi w:val="0"/>
        <w:spacing w:line="460" w:lineRule="exact"/>
        <w:ind w:left="-1" w:leftChars="0" w:firstLine="0" w:firstLineChars="0"/>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z w:val="24"/>
          <w:szCs w:val="22"/>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2"/>
          <w:highlight w:val="none"/>
          <w:lang w:eastAsia="zh-CN"/>
          <w14:textFill>
            <w14:solidFill>
              <w14:schemeClr w14:val="tx1"/>
            </w14:solidFill>
          </w14:textFill>
        </w:rPr>
        <w:t>、其它事项</w:t>
      </w:r>
    </w:p>
    <w:p w14:paraId="125FEAE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乙方不得转让、分包给其它单位或个人。</w:t>
      </w:r>
    </w:p>
    <w:p w14:paraId="02F4534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乙方的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和承诺等内容将列入合同。</w:t>
      </w:r>
    </w:p>
    <w:p w14:paraId="2715996F">
      <w:pPr>
        <w:pageBreakBefore w:val="0"/>
        <w:widowControl w:val="0"/>
        <w:kinsoku/>
        <w:wordWrap/>
        <w:overflowPunct/>
        <w:topLinePunct w:val="0"/>
        <w:bidi w:val="0"/>
        <w:snapToGrid w:val="0"/>
        <w:spacing w:line="4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、合同的解除</w:t>
      </w:r>
    </w:p>
    <w:p w14:paraId="458BDDC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14:textFill>
            <w14:solidFill>
              <w14:schemeClr w14:val="tx1"/>
            </w14:solidFill>
          </w14:textFill>
        </w:rPr>
        <w:t>双方当事人不得擅自中止或者终止合同；</w:t>
      </w:r>
    </w:p>
    <w:p w14:paraId="589B517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highlight w:val="none"/>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14:paraId="3D4D3022">
      <w:pPr>
        <w:pageBreakBefore w:val="0"/>
        <w:widowControl w:val="0"/>
        <w:kinsoku/>
        <w:wordWrap/>
        <w:overflowPunct/>
        <w:topLinePunct w:val="0"/>
        <w:bidi w:val="0"/>
        <w:snapToGrid w:val="0"/>
        <w:spacing w:line="4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十、违约责任</w:t>
      </w:r>
    </w:p>
    <w:p w14:paraId="1C0B8F95">
      <w:pPr>
        <w:pStyle w:val="193"/>
        <w:keepNext w:val="0"/>
        <w:keepLines w:val="0"/>
        <w:pageBreakBefore w:val="0"/>
        <w:widowControl w:val="0"/>
        <w:kinsoku/>
        <w:wordWrap/>
        <w:overflowPunct/>
        <w:topLinePunct w:val="0"/>
        <w:bidi w:val="0"/>
        <w:snapToGrid/>
        <w:spacing w:line="460" w:lineRule="exact"/>
        <w:ind w:firstLine="480"/>
        <w:textAlignment w:val="auto"/>
        <w:rPr>
          <w:rFonts w:hint="eastAsia" w:ascii="仿宋" w:hAnsi="仿宋" w:eastAsia="仿宋" w:cs="仿宋"/>
          <w:color w:val="000000" w:themeColor="text1"/>
          <w:sz w:val="24"/>
          <w:highlight w:val="none"/>
          <w14:textFill>
            <w14:solidFill>
              <w14:schemeClr w14:val="tx1"/>
            </w14:solidFill>
          </w14:textFill>
        </w:rPr>
      </w:pPr>
      <w:bookmarkStart w:id="339" w:name="_Toc20661"/>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按《中华人民共和国民法典》中的相关条款执行。</w:t>
      </w:r>
      <w:bookmarkEnd w:id="339"/>
    </w:p>
    <w:p w14:paraId="25B342B3">
      <w:pPr>
        <w:pStyle w:val="193"/>
        <w:keepNext w:val="0"/>
        <w:keepLines w:val="0"/>
        <w:pageBreakBefore w:val="0"/>
        <w:widowControl w:val="0"/>
        <w:kinsoku/>
        <w:wordWrap/>
        <w:overflowPunct/>
        <w:topLinePunct w:val="0"/>
        <w:bidi w:val="0"/>
        <w:snapToGrid/>
        <w:spacing w:line="460" w:lineRule="exact"/>
        <w:ind w:firstLine="48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未按合同要求提供货物、服务或货物、服务质量不能满足合同要求，采购人有权依据《中华人民共和国民法典》有关条款及合同约定终止合同，并要求</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承担违约责任。</w:t>
      </w:r>
    </w:p>
    <w:p w14:paraId="1B3CA94B">
      <w:pPr>
        <w:pStyle w:val="193"/>
        <w:keepNext w:val="0"/>
        <w:keepLines w:val="0"/>
        <w:pageBreakBefore w:val="0"/>
        <w:widowControl w:val="0"/>
        <w:kinsoku/>
        <w:wordWrap/>
        <w:overflowPunct/>
        <w:topLinePunct w:val="0"/>
        <w:bidi w:val="0"/>
        <w:snapToGrid/>
        <w:spacing w:line="460" w:lineRule="exact"/>
        <w:ind w:firstLine="48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未按合同约定的交货日期交货的，每逾期一日，向采购人支付逾期交付货物价款的1%的违约金，但不超过合同总金额的10%。</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支付逾期交货违约金并不免除其交货的责任。</w:t>
      </w:r>
    </w:p>
    <w:p w14:paraId="716C13F9">
      <w:pPr>
        <w:pStyle w:val="193"/>
        <w:keepNext w:val="0"/>
        <w:keepLines w:val="0"/>
        <w:pageBreakBefore w:val="0"/>
        <w:widowControl w:val="0"/>
        <w:kinsoku/>
        <w:wordWrap/>
        <w:overflowPunct/>
        <w:topLinePunct w:val="0"/>
        <w:bidi w:val="0"/>
        <w:snapToGrid/>
        <w:spacing w:line="460" w:lineRule="exact"/>
        <w:ind w:firstLine="48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如</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在合同规定的交货日期后10天内仍未能交货，则视为</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不能交货，采购人有权解除政府采购合同，</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除退还已收取的货款外，还应向采购人偿付政府采购合同总金额5%的违约金。</w:t>
      </w:r>
    </w:p>
    <w:p w14:paraId="3DC2BF73">
      <w:pPr>
        <w:pStyle w:val="193"/>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十一</w:t>
      </w:r>
      <w:r>
        <w:rPr>
          <w:rFonts w:hint="eastAsia" w:ascii="仿宋" w:hAnsi="仿宋" w:eastAsia="仿宋" w:cs="仿宋"/>
          <w:b/>
          <w:bCs/>
          <w:color w:val="000000" w:themeColor="text1"/>
          <w:sz w:val="24"/>
          <w:highlight w:val="none"/>
          <w14:textFill>
            <w14:solidFill>
              <w14:schemeClr w14:val="tx1"/>
            </w14:solidFill>
          </w14:textFill>
        </w:rPr>
        <w:t>、不可抗力</w:t>
      </w:r>
    </w:p>
    <w:p w14:paraId="2FFB972E">
      <w:pPr>
        <w:pStyle w:val="193"/>
        <w:keepNext w:val="0"/>
        <w:keepLines w:val="0"/>
        <w:pageBreakBefore w:val="0"/>
        <w:widowControl w:val="0"/>
        <w:kinsoku/>
        <w:wordWrap/>
        <w:overflowPunct/>
        <w:topLinePunct w:val="0"/>
        <w:bidi w:val="0"/>
        <w:snapToGrid/>
        <w:spacing w:line="460" w:lineRule="exact"/>
        <w:ind w:firstLine="48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14:paraId="63163E0F">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2.遭受不可抗力一方应在不可抗力事故发生后尽快以书面形式通知另一方；并在事故发生后</w:t>
      </w:r>
      <w:r>
        <w:rPr>
          <w:rFonts w:hint="eastAsia" w:ascii="仿宋" w:hAnsi="仿宋" w:eastAsia="仿宋" w:cs="仿宋"/>
          <w:color w:val="000000" w:themeColor="text1"/>
          <w:sz w:val="24"/>
          <w:highlight w:val="none"/>
          <w:u w:val="single"/>
          <w14:textFill>
            <w14:solidFill>
              <w14:schemeClr w14:val="tx1"/>
            </w14:solidFill>
          </w14:textFill>
        </w:rPr>
        <w:t>十（10）</w:t>
      </w:r>
      <w:r>
        <w:rPr>
          <w:rFonts w:hint="eastAsia" w:ascii="仿宋" w:hAnsi="仿宋" w:eastAsia="仿宋" w:cs="仿宋"/>
          <w:color w:val="000000" w:themeColor="text1"/>
          <w:sz w:val="24"/>
          <w:highlight w:val="none"/>
          <w14:textFill>
            <w14:solidFill>
              <w14:schemeClr w14:val="tx1"/>
            </w14:solidFill>
          </w14:textFill>
        </w:rPr>
        <w:t>个日历日内，将有关部门出具的证明文件、详细情况报告以及不可抗力对合同影响程度的说明用特快专递或挂号信的形式寄给另一方。如果不可抗力影响时间延续</w:t>
      </w:r>
      <w:r>
        <w:rPr>
          <w:rFonts w:hint="eastAsia" w:ascii="仿宋" w:hAnsi="仿宋" w:eastAsia="仿宋" w:cs="仿宋"/>
          <w:color w:val="000000" w:themeColor="text1"/>
          <w:sz w:val="24"/>
          <w:highlight w:val="none"/>
          <w:u w:val="single"/>
          <w14:textFill>
            <w14:solidFill>
              <w14:schemeClr w14:val="tx1"/>
            </w14:solidFill>
          </w14:textFill>
        </w:rPr>
        <w:t>二十（20）</w:t>
      </w:r>
      <w:r>
        <w:rPr>
          <w:rFonts w:hint="eastAsia" w:ascii="仿宋" w:hAnsi="仿宋" w:eastAsia="仿宋" w:cs="仿宋"/>
          <w:color w:val="000000" w:themeColor="text1"/>
          <w:sz w:val="24"/>
          <w:highlight w:val="none"/>
          <w14:textFill>
            <w14:solidFill>
              <w14:schemeClr w14:val="tx1"/>
            </w14:solidFill>
          </w14:textFill>
        </w:rPr>
        <w:t>个日历日以上，双方应通过友好协商在合理的时间内达成进一步履行合同或终止合同的协议。</w:t>
      </w:r>
    </w:p>
    <w:p w14:paraId="18225A14">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十二</w:t>
      </w:r>
      <w:r>
        <w:rPr>
          <w:rFonts w:hint="eastAsia" w:ascii="仿宋" w:hAnsi="仿宋" w:eastAsia="仿宋" w:cs="仿宋"/>
          <w:b/>
          <w:bCs/>
          <w:color w:val="000000" w:themeColor="text1"/>
          <w:sz w:val="24"/>
          <w:highlight w:val="none"/>
          <w14:textFill>
            <w14:solidFill>
              <w14:schemeClr w14:val="tx1"/>
            </w14:solidFill>
          </w14:textFill>
        </w:rPr>
        <w:t>、税费</w:t>
      </w:r>
    </w:p>
    <w:p w14:paraId="63E129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1.中国政府根据现行税法对乙方征收的与本合同有关的一切税费均由乙方负担。</w:t>
      </w:r>
    </w:p>
    <w:p w14:paraId="36F4BC8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2.中国政府依据现行税法对甲方征收的与本合同有关的一切税费均由甲方负担。</w:t>
      </w:r>
    </w:p>
    <w:p w14:paraId="60563AEF">
      <w:pPr>
        <w:pageBreakBefore w:val="0"/>
        <w:widowControl w:val="0"/>
        <w:kinsoku/>
        <w:wordWrap/>
        <w:overflowPunct/>
        <w:topLinePunct w:val="0"/>
        <w:bidi w:val="0"/>
        <w:adjustRightInd w:val="0"/>
        <w:snapToGrid w:val="0"/>
        <w:spacing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w:t>
      </w:r>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保密</w:t>
      </w:r>
    </w:p>
    <w:p w14:paraId="5C5BC837">
      <w:pPr>
        <w:pStyle w:val="2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在项目实施过程中应按照国家安全、保密的有关规定和标准履行保密义务。对项目实施中涉及的有关信息保密，未经委托单位许可，不得将相关信息泄露给第三方。</w:t>
      </w:r>
    </w:p>
    <w:p w14:paraId="0F32BFAE">
      <w:pPr>
        <w:pStyle w:val="193"/>
        <w:pageBreakBefore w:val="0"/>
        <w:widowControl w:val="0"/>
        <w:kinsoku/>
        <w:wordWrap/>
        <w:overflowPunct/>
        <w:topLinePunct w:val="0"/>
        <w:bidi w:val="0"/>
        <w:spacing w:line="360" w:lineRule="auto"/>
        <w:ind w:firstLine="0" w:firstLineChars="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、验收</w:t>
      </w:r>
    </w:p>
    <w:p w14:paraId="6D27F334">
      <w:pPr>
        <w:pStyle w:val="2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项目实施结束后，由采购</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代理机构组织验收程序，采购人对其进行全面的测试，最终测试完毕经验收合格后，三方签署验收报告。</w:t>
      </w:r>
    </w:p>
    <w:p w14:paraId="0D6C8F3C">
      <w:pPr>
        <w:pStyle w:val="2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项目验收时，供应商须承诺将所有项目文档（包括但不限于升级记录、用户操作手册等）完整移交采购人。</w:t>
      </w:r>
    </w:p>
    <w:p w14:paraId="0A03B288">
      <w:pPr>
        <w:pageBreakBefore w:val="0"/>
        <w:widowControl w:val="0"/>
        <w:kinsoku/>
        <w:wordWrap/>
        <w:overflowPunct/>
        <w:topLinePunct w:val="0"/>
        <w:bidi w:val="0"/>
        <w:snapToGrid w:val="0"/>
        <w:spacing w:line="4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w:t>
      </w: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、合同争议解决的方式</w:t>
      </w:r>
    </w:p>
    <w:p w14:paraId="585A8B07">
      <w:pPr>
        <w:pageBreakBefore w:val="0"/>
        <w:widowControl w:val="0"/>
        <w:kinsoku/>
        <w:wordWrap/>
        <w:overflowPunct/>
        <w:topLinePunct w:val="0"/>
        <w:bidi w:val="0"/>
        <w:spacing w:line="460" w:lineRule="exact"/>
        <w:ind w:left="120" w:leftChars="57" w:firstLine="240" w:firstLineChars="1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执行本合同中产生纠纷，由采购人与中标人双方协商解决；协商不成，向采购人所在地的人民法院提起诉讼。</w:t>
      </w:r>
    </w:p>
    <w:p w14:paraId="6EE757E2">
      <w:pPr>
        <w:pageBreakBefore w:val="0"/>
        <w:widowControl w:val="0"/>
        <w:kinsoku/>
        <w:wordWrap/>
        <w:overflowPunct/>
        <w:topLinePunct w:val="0"/>
        <w:autoSpaceDE w:val="0"/>
        <w:autoSpaceDN w:val="0"/>
        <w:bidi w:val="0"/>
        <w:adjustRightInd w:val="0"/>
        <w:spacing w:line="4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w:t>
      </w: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、合同生效</w:t>
      </w:r>
    </w:p>
    <w:p w14:paraId="3BC88055">
      <w:pPr>
        <w:keepNext w:val="0"/>
        <w:keepLines w:val="0"/>
        <w:pageBreakBefore w:val="0"/>
        <w:widowControl w:val="0"/>
        <w:kinsoku/>
        <w:wordWrap/>
        <w:overflowPunct/>
        <w:topLinePunct w:val="0"/>
        <w:bidi w:val="0"/>
        <w:adjustRightIn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（一）本合同须经甲、乙双方的法定代表人（委托代理人）在合同书上签字并加盖本单位公章后正式生效</w:t>
      </w:r>
    </w:p>
    <w:p w14:paraId="5929CFA1">
      <w:pPr>
        <w:keepNext w:val="0"/>
        <w:keepLines w:val="0"/>
        <w:pageBreakBefore w:val="0"/>
        <w:widowControl w:val="0"/>
        <w:kinsoku/>
        <w:wordWrap/>
        <w:overflowPunct/>
        <w:topLinePunct w:val="0"/>
        <w:autoSpaceDE w:val="0"/>
        <w:autoSpaceDN w:val="0"/>
        <w:bidi w:val="0"/>
        <w:adjustRightIn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（二）合同生效后，甲、乙双方须严格执行本合同条款的规定，全面履行合同，违者按《中华人民共和国民法典》的有关规定承担相应责任。</w:t>
      </w:r>
    </w:p>
    <w:p w14:paraId="5A2B5C6E">
      <w:pPr>
        <w:keepNext w:val="0"/>
        <w:keepLines w:val="0"/>
        <w:pageBreakBefore w:val="0"/>
        <w:widowControl w:val="0"/>
        <w:kinsoku/>
        <w:wordWrap/>
        <w:overflowPunct/>
        <w:topLinePunct w:val="0"/>
        <w:autoSpaceDE w:val="0"/>
        <w:autoSpaceDN w:val="0"/>
        <w:bidi w:val="0"/>
        <w:adjustRightIn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（三）本合同一式</w:t>
      </w:r>
      <w:r>
        <w:rPr>
          <w:rFonts w:hint="eastAsia" w:ascii="仿宋" w:hAnsi="仿宋" w:eastAsia="仿宋" w:cs="仿宋"/>
          <w:i w:val="0"/>
          <w:iCs w:val="0"/>
          <w:color w:val="000000" w:themeColor="text1"/>
          <w:sz w:val="24"/>
          <w:highlight w:val="none"/>
          <w:u w:val="single"/>
          <w:lang w:val="en-US" w:eastAsia="zh-CN"/>
          <w14:textFill>
            <w14:solidFill>
              <w14:schemeClr w14:val="tx1"/>
            </w14:solidFill>
          </w14:textFill>
        </w:rPr>
        <w:t>陆</w:t>
      </w:r>
      <w:r>
        <w:rPr>
          <w:rFonts w:hint="eastAsia" w:ascii="仿宋" w:hAnsi="仿宋" w:eastAsia="仿宋" w:cs="仿宋"/>
          <w:color w:val="000000" w:themeColor="text1"/>
          <w:sz w:val="24"/>
          <w:highlight w:val="none"/>
          <w14:textFill>
            <w14:solidFill>
              <w14:schemeClr w14:val="tx1"/>
            </w14:solidFill>
          </w14:textFill>
        </w:rPr>
        <w:t>份，甲</w:t>
      </w:r>
      <w:r>
        <w:rPr>
          <w:rFonts w:hint="eastAsia" w:ascii="仿宋" w:hAnsi="仿宋" w:eastAsia="仿宋" w:cs="仿宋"/>
          <w:color w:val="000000" w:themeColor="text1"/>
          <w:sz w:val="24"/>
          <w:highlight w:val="none"/>
          <w:lang w:val="en-US" w:eastAsia="zh-CN"/>
          <w14:textFill>
            <w14:solidFill>
              <w14:schemeClr w14:val="tx1"/>
            </w14:solidFill>
          </w14:textFill>
        </w:rPr>
        <w:t>方执肆份，</w:t>
      </w:r>
      <w:r>
        <w:rPr>
          <w:rFonts w:hint="eastAsia" w:ascii="仿宋" w:hAnsi="仿宋" w:eastAsia="仿宋" w:cs="仿宋"/>
          <w:color w:val="000000" w:themeColor="text1"/>
          <w:sz w:val="24"/>
          <w:highlight w:val="none"/>
          <w14:textFill>
            <w14:solidFill>
              <w14:schemeClr w14:val="tx1"/>
            </w14:solidFill>
          </w14:textFill>
        </w:rPr>
        <w:t>乙方执</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63CD9CC5">
      <w:pPr>
        <w:keepNext w:val="0"/>
        <w:keepLines w:val="0"/>
        <w:pageBreakBefore w:val="0"/>
        <w:widowControl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（四）本合同如有未尽事宜，甲、乙双方协商解决。</w:t>
      </w:r>
    </w:p>
    <w:p w14:paraId="31D8A43C">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p>
    <w:tbl>
      <w:tblPr>
        <w:tblStyle w:val="40"/>
        <w:tblpPr w:leftFromText="180" w:rightFromText="180" w:vertAnchor="text" w:horzAnchor="page" w:tblpX="1937" w:tblpY="99"/>
        <w:tblOverlap w:val="never"/>
        <w:tblW w:w="8403" w:type="dxa"/>
        <w:tblInd w:w="0" w:type="dxa"/>
        <w:tblLayout w:type="fixed"/>
        <w:tblCellMar>
          <w:top w:w="0" w:type="dxa"/>
          <w:left w:w="108" w:type="dxa"/>
          <w:bottom w:w="0" w:type="dxa"/>
          <w:right w:w="108" w:type="dxa"/>
        </w:tblCellMar>
      </w:tblPr>
      <w:tblGrid>
        <w:gridCol w:w="4201"/>
        <w:gridCol w:w="4202"/>
      </w:tblGrid>
      <w:tr w14:paraId="55C325D8">
        <w:trPr>
          <w:trHeight w:val="484" w:hRule="exact"/>
        </w:trPr>
        <w:tc>
          <w:tcPr>
            <w:tcW w:w="4201" w:type="dxa"/>
            <w:noWrap w:val="0"/>
            <w:vAlign w:val="center"/>
          </w:tcPr>
          <w:p w14:paraId="14DE53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  方</w:t>
            </w:r>
          </w:p>
        </w:tc>
        <w:tc>
          <w:tcPr>
            <w:tcW w:w="4202" w:type="dxa"/>
            <w:noWrap w:val="0"/>
            <w:vAlign w:val="center"/>
          </w:tcPr>
          <w:p w14:paraId="262D37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  方</w:t>
            </w:r>
          </w:p>
        </w:tc>
      </w:tr>
      <w:tr w14:paraId="10EE31BB">
        <w:tblPrEx>
          <w:tblCellMar>
            <w:top w:w="0" w:type="dxa"/>
            <w:left w:w="108" w:type="dxa"/>
            <w:bottom w:w="0" w:type="dxa"/>
            <w:right w:w="108" w:type="dxa"/>
          </w:tblCellMar>
        </w:tblPrEx>
        <w:trPr>
          <w:trHeight w:val="467" w:hRule="exact"/>
        </w:trPr>
        <w:tc>
          <w:tcPr>
            <w:tcW w:w="4201" w:type="dxa"/>
            <w:noWrap w:val="0"/>
            <w:vAlign w:val="center"/>
          </w:tcPr>
          <w:p w14:paraId="5D7B76A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tc>
        <w:tc>
          <w:tcPr>
            <w:tcW w:w="4202" w:type="dxa"/>
            <w:noWrap w:val="0"/>
            <w:vAlign w:val="center"/>
          </w:tcPr>
          <w:p w14:paraId="5AEAD1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tc>
      </w:tr>
      <w:tr w14:paraId="5E8D49FE">
        <w:tblPrEx>
          <w:tblCellMar>
            <w:top w:w="0" w:type="dxa"/>
            <w:left w:w="108" w:type="dxa"/>
            <w:bottom w:w="0" w:type="dxa"/>
            <w:right w:w="108" w:type="dxa"/>
          </w:tblCellMar>
        </w:tblPrEx>
        <w:trPr>
          <w:trHeight w:val="501" w:hRule="exact"/>
        </w:trPr>
        <w:tc>
          <w:tcPr>
            <w:tcW w:w="4201" w:type="dxa"/>
            <w:noWrap w:val="0"/>
            <w:vAlign w:val="center"/>
          </w:tcPr>
          <w:p w14:paraId="1A2E4EF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tc>
        <w:tc>
          <w:tcPr>
            <w:tcW w:w="4202" w:type="dxa"/>
            <w:noWrap w:val="0"/>
            <w:vAlign w:val="center"/>
          </w:tcPr>
          <w:p w14:paraId="779440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tc>
      </w:tr>
      <w:tr w14:paraId="7DC74871">
        <w:tblPrEx>
          <w:tblCellMar>
            <w:top w:w="0" w:type="dxa"/>
            <w:left w:w="108" w:type="dxa"/>
            <w:bottom w:w="0" w:type="dxa"/>
            <w:right w:w="108" w:type="dxa"/>
          </w:tblCellMar>
        </w:tblPrEx>
        <w:trPr>
          <w:trHeight w:val="450" w:hRule="exact"/>
        </w:trPr>
        <w:tc>
          <w:tcPr>
            <w:tcW w:w="4201" w:type="dxa"/>
            <w:noWrap w:val="0"/>
            <w:vAlign w:val="center"/>
          </w:tcPr>
          <w:p w14:paraId="71D1D94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邮编：</w:t>
            </w:r>
          </w:p>
        </w:tc>
        <w:tc>
          <w:tcPr>
            <w:tcW w:w="4202" w:type="dxa"/>
            <w:noWrap w:val="0"/>
            <w:vAlign w:val="center"/>
          </w:tcPr>
          <w:p w14:paraId="366578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邮编：</w:t>
            </w:r>
          </w:p>
        </w:tc>
      </w:tr>
      <w:tr w14:paraId="05A5E4C4">
        <w:tblPrEx>
          <w:tblCellMar>
            <w:top w:w="0" w:type="dxa"/>
            <w:left w:w="108" w:type="dxa"/>
            <w:bottom w:w="0" w:type="dxa"/>
            <w:right w:w="108" w:type="dxa"/>
          </w:tblCellMar>
        </w:tblPrEx>
        <w:trPr>
          <w:trHeight w:val="533" w:hRule="exact"/>
        </w:trPr>
        <w:tc>
          <w:tcPr>
            <w:tcW w:w="4201" w:type="dxa"/>
            <w:noWrap w:val="0"/>
            <w:vAlign w:val="center"/>
          </w:tcPr>
          <w:p w14:paraId="6B29BC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tc>
        <w:tc>
          <w:tcPr>
            <w:tcW w:w="4202" w:type="dxa"/>
            <w:noWrap w:val="0"/>
            <w:vAlign w:val="center"/>
          </w:tcPr>
          <w:p w14:paraId="573098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r>
      <w:tr w14:paraId="7E9D0C4F">
        <w:tblPrEx>
          <w:tblCellMar>
            <w:top w:w="0" w:type="dxa"/>
            <w:left w:w="108" w:type="dxa"/>
            <w:bottom w:w="0" w:type="dxa"/>
            <w:right w:w="108" w:type="dxa"/>
          </w:tblCellMar>
        </w:tblPrEx>
        <w:trPr>
          <w:trHeight w:val="533" w:hRule="exact"/>
        </w:trPr>
        <w:tc>
          <w:tcPr>
            <w:tcW w:w="4201" w:type="dxa"/>
            <w:noWrap w:val="0"/>
            <w:vAlign w:val="center"/>
          </w:tcPr>
          <w:p w14:paraId="5F9C1A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w:t>
            </w:r>
          </w:p>
        </w:tc>
        <w:tc>
          <w:tcPr>
            <w:tcW w:w="4202" w:type="dxa"/>
            <w:noWrap w:val="0"/>
            <w:vAlign w:val="center"/>
          </w:tcPr>
          <w:p w14:paraId="463546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w:t>
            </w:r>
          </w:p>
        </w:tc>
      </w:tr>
      <w:tr w14:paraId="1AE98B89">
        <w:tblPrEx>
          <w:tblCellMar>
            <w:top w:w="0" w:type="dxa"/>
            <w:left w:w="108" w:type="dxa"/>
            <w:bottom w:w="0" w:type="dxa"/>
            <w:right w:w="108" w:type="dxa"/>
          </w:tblCellMar>
        </w:tblPrEx>
        <w:trPr>
          <w:trHeight w:val="500" w:hRule="exact"/>
        </w:trPr>
        <w:tc>
          <w:tcPr>
            <w:tcW w:w="4201" w:type="dxa"/>
            <w:noWrap w:val="0"/>
            <w:vAlign w:val="center"/>
          </w:tcPr>
          <w:p w14:paraId="1D6E098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p>
        </w:tc>
        <w:tc>
          <w:tcPr>
            <w:tcW w:w="4202" w:type="dxa"/>
            <w:noWrap w:val="0"/>
            <w:vAlign w:val="center"/>
          </w:tcPr>
          <w:p w14:paraId="03082A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p>
        </w:tc>
      </w:tr>
      <w:tr w14:paraId="6F5E44A0">
        <w:tblPrEx>
          <w:tblCellMar>
            <w:top w:w="0" w:type="dxa"/>
            <w:left w:w="108" w:type="dxa"/>
            <w:bottom w:w="0" w:type="dxa"/>
            <w:right w:w="108" w:type="dxa"/>
          </w:tblCellMar>
        </w:tblPrEx>
        <w:trPr>
          <w:trHeight w:val="467" w:hRule="exact"/>
        </w:trPr>
        <w:tc>
          <w:tcPr>
            <w:tcW w:w="4201" w:type="dxa"/>
            <w:noWrap w:val="0"/>
            <w:vAlign w:val="center"/>
          </w:tcPr>
          <w:p w14:paraId="77F27B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p>
        </w:tc>
        <w:tc>
          <w:tcPr>
            <w:tcW w:w="4202" w:type="dxa"/>
            <w:noWrap w:val="0"/>
            <w:vAlign w:val="center"/>
          </w:tcPr>
          <w:p w14:paraId="5D85ACD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p>
        </w:tc>
      </w:tr>
      <w:tr w14:paraId="642EB0C9">
        <w:tblPrEx>
          <w:tblCellMar>
            <w:top w:w="0" w:type="dxa"/>
            <w:left w:w="108" w:type="dxa"/>
            <w:bottom w:w="0" w:type="dxa"/>
            <w:right w:w="108" w:type="dxa"/>
          </w:tblCellMar>
        </w:tblPrEx>
        <w:trPr>
          <w:trHeight w:val="567" w:hRule="exact"/>
        </w:trPr>
        <w:tc>
          <w:tcPr>
            <w:tcW w:w="4201" w:type="dxa"/>
            <w:noWrap w:val="0"/>
            <w:vAlign w:val="center"/>
          </w:tcPr>
          <w:p w14:paraId="44B47B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4202" w:type="dxa"/>
            <w:noWrap w:val="0"/>
            <w:vAlign w:val="center"/>
          </w:tcPr>
          <w:p w14:paraId="731AE8E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r>
      <w:tr w14:paraId="548679A4">
        <w:tblPrEx>
          <w:tblCellMar>
            <w:top w:w="0" w:type="dxa"/>
            <w:left w:w="108" w:type="dxa"/>
            <w:bottom w:w="0" w:type="dxa"/>
            <w:right w:w="108" w:type="dxa"/>
          </w:tblCellMar>
        </w:tblPrEx>
        <w:trPr>
          <w:trHeight w:val="567" w:hRule="exact"/>
        </w:trPr>
        <w:tc>
          <w:tcPr>
            <w:tcW w:w="4201" w:type="dxa"/>
            <w:noWrap w:val="0"/>
            <w:vAlign w:val="center"/>
          </w:tcPr>
          <w:p w14:paraId="14FBC7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tc>
        <w:tc>
          <w:tcPr>
            <w:tcW w:w="4202" w:type="dxa"/>
            <w:noWrap w:val="0"/>
            <w:vAlign w:val="center"/>
          </w:tcPr>
          <w:p w14:paraId="6FE61D1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tc>
      </w:tr>
    </w:tbl>
    <w:p w14:paraId="38303CA8">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bookmarkEnd w:id="329"/>
    <w:bookmarkEnd w:id="330"/>
    <w:bookmarkEnd w:id="331"/>
    <w:bookmarkEnd w:id="332"/>
    <w:bookmarkEnd w:id="333"/>
    <w:bookmarkEnd w:id="334"/>
    <w:bookmarkEnd w:id="335"/>
    <w:p w14:paraId="6BDF18D2">
      <w:pPr>
        <w:pStyle w:val="2"/>
        <w:spacing w:line="360" w:lineRule="auto"/>
        <w:jc w:val="center"/>
        <w:rPr>
          <w:rFonts w:hint="eastAsia" w:ascii="仿宋" w:hAnsi="仿宋" w:eastAsia="仿宋" w:cs="仿宋"/>
          <w:color w:val="000000" w:themeColor="text1"/>
          <w14:textFill>
            <w14:solidFill>
              <w14:schemeClr w14:val="tx1"/>
            </w14:solidFill>
          </w14:textFill>
        </w:rPr>
      </w:pPr>
      <w:bookmarkStart w:id="340" w:name="_Toc233435982"/>
      <w:bookmarkStart w:id="341" w:name="_Toc17803"/>
      <w:bookmarkStart w:id="342" w:name="_Toc27213"/>
      <w:bookmarkStart w:id="343" w:name="_Toc8754"/>
      <w:bookmarkStart w:id="344" w:name="_Toc26489"/>
      <w:bookmarkStart w:id="345" w:name="_Toc10818"/>
      <w:bookmarkStart w:id="346" w:name="_Toc1943"/>
      <w:bookmarkStart w:id="347" w:name="_Toc23956"/>
      <w:bookmarkStart w:id="348" w:name="_Toc492955460"/>
      <w:bookmarkStart w:id="349" w:name="_Toc385992402"/>
      <w:bookmarkStart w:id="350" w:name="_Toc389620242"/>
      <w:bookmarkStart w:id="351" w:name="_Toc497712134"/>
      <w:bookmarkStart w:id="352" w:name="_Toc497711586"/>
      <w:bookmarkStart w:id="353" w:name="_Toc497551821"/>
      <w:bookmarkStart w:id="354" w:name="_Toc497546919"/>
      <w:r>
        <w:rPr>
          <w:rFonts w:hint="eastAsia" w:ascii="仿宋" w:hAnsi="仿宋" w:eastAsia="仿宋" w:cs="仿宋"/>
          <w:color w:val="000000" w:themeColor="text1"/>
          <w14:textFill>
            <w14:solidFill>
              <w14:schemeClr w14:val="tx1"/>
            </w14:solidFill>
          </w14:textFill>
        </w:rPr>
        <w:t>第五部分  附件--投标文件（格式</w:t>
      </w:r>
      <w:bookmarkEnd w:id="340"/>
      <w:r>
        <w:rPr>
          <w:rFonts w:hint="eastAsia" w:ascii="仿宋" w:hAnsi="仿宋" w:eastAsia="仿宋" w:cs="仿宋"/>
          <w:color w:val="000000" w:themeColor="text1"/>
          <w14:textFill>
            <w14:solidFill>
              <w14:schemeClr w14:val="tx1"/>
            </w14:solidFill>
          </w14:textFill>
        </w:rPr>
        <w:t>）</w:t>
      </w:r>
      <w:bookmarkEnd w:id="341"/>
      <w:bookmarkEnd w:id="342"/>
      <w:bookmarkEnd w:id="343"/>
      <w:bookmarkEnd w:id="344"/>
      <w:bookmarkEnd w:id="345"/>
      <w:bookmarkEnd w:id="346"/>
      <w:bookmarkEnd w:id="347"/>
    </w:p>
    <w:p w14:paraId="680AA2C9">
      <w:pPr>
        <w:spacing w:line="360" w:lineRule="auto"/>
        <w:rPr>
          <w:rFonts w:hint="eastAsia" w:ascii="仿宋" w:hAnsi="仿宋" w:eastAsia="仿宋" w:cs="仿宋"/>
          <w:b/>
          <w:color w:val="000000" w:themeColor="text1"/>
          <w:kern w:val="0"/>
          <w:sz w:val="36"/>
          <w:szCs w:val="36"/>
          <w:bdr w:val="single" w:color="auto" w:sz="4" w:space="0"/>
          <w14:textFill>
            <w14:solidFill>
              <w14:schemeClr w14:val="tx1"/>
            </w14:solidFill>
          </w14:textFill>
        </w:rPr>
      </w:pPr>
      <w:bookmarkStart w:id="355" w:name="_Toc233435983"/>
      <w:r>
        <w:rPr>
          <w:rFonts w:hint="eastAsia" w:ascii="仿宋" w:hAnsi="仿宋" w:eastAsia="仿宋" w:cs="仿宋"/>
          <w:b/>
          <w:bCs/>
          <w:color w:val="000000" w:themeColor="text1"/>
          <w:sz w:val="32"/>
          <w:szCs w:val="32"/>
          <w14:textFill>
            <w14:solidFill>
              <w14:schemeClr w14:val="tx1"/>
            </w14:solidFill>
          </w14:textFill>
        </w:rPr>
        <w:t xml:space="preserve">（封面）                           </w:t>
      </w:r>
      <w:r>
        <w:rPr>
          <w:rFonts w:hint="eastAsia" w:ascii="仿宋" w:hAnsi="仿宋" w:eastAsia="仿宋" w:cs="仿宋"/>
          <w:b/>
          <w:color w:val="000000" w:themeColor="text1"/>
          <w:kern w:val="0"/>
          <w:sz w:val="36"/>
          <w:szCs w:val="36"/>
          <w:bdr w:val="single" w:color="auto" w:sz="4" w:space="0"/>
          <w14:textFill>
            <w14:solidFill>
              <w14:schemeClr w14:val="tx1"/>
            </w14:solidFill>
          </w14:textFill>
        </w:rPr>
        <w:t>正/副本/电子版</w:t>
      </w:r>
    </w:p>
    <w:p w14:paraId="43D632EC">
      <w:pPr>
        <w:pStyle w:val="33"/>
        <w:rPr>
          <w:rFonts w:hint="eastAsia" w:ascii="仿宋" w:hAnsi="仿宋" w:eastAsia="仿宋" w:cs="仿宋"/>
          <w:b/>
          <w:color w:val="000000" w:themeColor="text1"/>
          <w:kern w:val="0"/>
          <w:sz w:val="36"/>
          <w:szCs w:val="36"/>
          <w:bdr w:val="single" w:color="auto" w:sz="4" w:space="0"/>
          <w14:textFill>
            <w14:solidFill>
              <w14:schemeClr w14:val="tx1"/>
            </w14:solidFill>
          </w14:textFill>
        </w:rPr>
      </w:pPr>
    </w:p>
    <w:p w14:paraId="0F8CA962">
      <w:pPr>
        <w:pStyle w:val="33"/>
        <w:rPr>
          <w:rFonts w:hint="eastAsia" w:ascii="仿宋" w:hAnsi="仿宋" w:eastAsia="仿宋" w:cs="仿宋"/>
          <w:b/>
          <w:color w:val="000000" w:themeColor="text1"/>
          <w:kern w:val="0"/>
          <w:sz w:val="36"/>
          <w:szCs w:val="36"/>
          <w:bdr w:val="single" w:color="auto" w:sz="4" w:space="0"/>
          <w14:textFill>
            <w14:solidFill>
              <w14:schemeClr w14:val="tx1"/>
            </w14:solidFill>
          </w14:textFill>
        </w:rPr>
      </w:pPr>
    </w:p>
    <w:p w14:paraId="733328ED">
      <w:pPr>
        <w:pStyle w:val="25"/>
        <w:spacing w:line="360" w:lineRule="auto"/>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56"/>
          <w:szCs w:val="56"/>
          <w:lang w:eastAsia="zh-CN"/>
          <w14:textFill>
            <w14:solidFill>
              <w14:schemeClr w14:val="tx1"/>
            </w14:solidFill>
          </w14:textFill>
        </w:rPr>
        <w:t>仪器设备购置项目</w:t>
      </w:r>
    </w:p>
    <w:p w14:paraId="1502CF92">
      <w:pPr>
        <w:pStyle w:val="25"/>
        <w:spacing w:line="360" w:lineRule="auto"/>
        <w:rPr>
          <w:rFonts w:hint="eastAsia" w:ascii="仿宋" w:hAnsi="仿宋" w:eastAsia="仿宋" w:cs="仿宋"/>
          <w:color w:val="000000" w:themeColor="text1"/>
          <w14:textFill>
            <w14:solidFill>
              <w14:schemeClr w14:val="tx1"/>
            </w14:solidFill>
          </w14:textFill>
        </w:rPr>
      </w:pPr>
    </w:p>
    <w:p w14:paraId="2CFEF40D">
      <w:pPr>
        <w:pStyle w:val="25"/>
        <w:spacing w:line="360" w:lineRule="auto"/>
        <w:rPr>
          <w:rFonts w:hint="eastAsia" w:ascii="仿宋" w:hAnsi="仿宋" w:eastAsia="仿宋" w:cs="仿宋"/>
          <w:color w:val="000000" w:themeColor="text1"/>
          <w14:textFill>
            <w14:solidFill>
              <w14:schemeClr w14:val="tx1"/>
            </w14:solidFill>
          </w14:textFill>
        </w:rPr>
      </w:pPr>
    </w:p>
    <w:p w14:paraId="0594AC5F">
      <w:pPr>
        <w:pStyle w:val="25"/>
        <w:spacing w:line="360" w:lineRule="auto"/>
        <w:rPr>
          <w:rFonts w:hint="eastAsia" w:ascii="仿宋" w:hAnsi="仿宋" w:eastAsia="仿宋" w:cs="仿宋"/>
          <w:color w:val="000000" w:themeColor="text1"/>
          <w14:textFill>
            <w14:solidFill>
              <w14:schemeClr w14:val="tx1"/>
            </w14:solidFill>
          </w14:textFill>
        </w:rPr>
      </w:pPr>
    </w:p>
    <w:p w14:paraId="67F09CC3">
      <w:pPr>
        <w:pStyle w:val="25"/>
        <w:spacing w:line="360" w:lineRule="auto"/>
        <w:rPr>
          <w:rFonts w:hint="eastAsia" w:ascii="仿宋" w:hAnsi="仿宋" w:eastAsia="仿宋" w:cs="仿宋"/>
          <w:color w:val="000000" w:themeColor="text1"/>
          <w14:textFill>
            <w14:solidFill>
              <w14:schemeClr w14:val="tx1"/>
            </w14:solidFill>
          </w14:textFill>
        </w:rPr>
      </w:pPr>
    </w:p>
    <w:p w14:paraId="34129F69">
      <w:pPr>
        <w:spacing w:line="360" w:lineRule="auto"/>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 xml:space="preserve">投 标 文 件 </w:t>
      </w:r>
    </w:p>
    <w:p w14:paraId="3A8E1A9A">
      <w:pPr>
        <w:spacing w:line="360" w:lineRule="auto"/>
        <w:jc w:val="center"/>
        <w:rPr>
          <w:rFonts w:hint="eastAsia" w:ascii="仿宋" w:hAnsi="仿宋" w:eastAsia="仿宋" w:cs="仿宋"/>
          <w:b/>
          <w:color w:val="000000" w:themeColor="text1"/>
          <w:sz w:val="32"/>
          <w:lang w:eastAsia="zh-CN"/>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采购项目编号：</w:t>
      </w:r>
      <w:r>
        <w:rPr>
          <w:rFonts w:hint="eastAsia" w:ascii="仿宋" w:hAnsi="仿宋" w:eastAsia="仿宋" w:cs="仿宋"/>
          <w:b/>
          <w:color w:val="000000" w:themeColor="text1"/>
          <w:sz w:val="32"/>
          <w:lang w:eastAsia="zh-CN"/>
          <w14:textFill>
            <w14:solidFill>
              <w14:schemeClr w14:val="tx1"/>
            </w14:solidFill>
          </w14:textFill>
        </w:rPr>
        <w:t>SZT2025-SN-XC-ZC-HW-0303</w:t>
      </w:r>
    </w:p>
    <w:p w14:paraId="0B9AD0EF">
      <w:pPr>
        <w:spacing w:line="360" w:lineRule="auto"/>
        <w:jc w:val="center"/>
        <w:rPr>
          <w:rFonts w:hint="eastAsia" w:ascii="仿宋" w:hAnsi="仿宋" w:eastAsia="仿宋" w:cs="仿宋"/>
          <w:b/>
          <w:color w:val="000000" w:themeColor="text1"/>
          <w:sz w:val="32"/>
          <w14:textFill>
            <w14:solidFill>
              <w14:schemeClr w14:val="tx1"/>
            </w14:solidFill>
          </w14:textFill>
        </w:rPr>
      </w:pPr>
    </w:p>
    <w:p w14:paraId="7CEC73E0">
      <w:pPr>
        <w:spacing w:line="360" w:lineRule="auto"/>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 xml:space="preserve">                            </w:t>
      </w:r>
    </w:p>
    <w:p w14:paraId="6E16734D">
      <w:pPr>
        <w:spacing w:line="360" w:lineRule="auto"/>
        <w:ind w:firstLine="1265" w:firstLineChars="450"/>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 xml:space="preserve">      </w:t>
      </w:r>
      <w:r>
        <w:rPr>
          <w:rFonts w:hint="eastAsia" w:ascii="仿宋" w:hAnsi="仿宋" w:eastAsia="仿宋" w:cs="仿宋"/>
          <w:b/>
          <w:color w:val="000000" w:themeColor="text1"/>
          <w:sz w:val="28"/>
          <w:lang w:eastAsia="zh-CN"/>
          <w14:textFill>
            <w14:solidFill>
              <w14:schemeClr w14:val="tx1"/>
            </w14:solidFill>
          </w14:textFill>
        </w:rPr>
        <w:t>投标人</w:t>
      </w:r>
      <w:r>
        <w:rPr>
          <w:rFonts w:hint="eastAsia" w:ascii="仿宋" w:hAnsi="仿宋" w:eastAsia="仿宋" w:cs="仿宋"/>
          <w:b/>
          <w:color w:val="000000" w:themeColor="text1"/>
          <w:sz w:val="28"/>
          <w14:textFill>
            <w14:solidFill>
              <w14:schemeClr w14:val="tx1"/>
            </w14:solidFill>
          </w14:textFill>
        </w:rPr>
        <w:t>：</w:t>
      </w:r>
      <w:r>
        <w:rPr>
          <w:rFonts w:hint="eastAsia" w:ascii="仿宋" w:hAnsi="仿宋" w:eastAsia="仿宋" w:cs="仿宋"/>
          <w:b/>
          <w:color w:val="000000" w:themeColor="text1"/>
          <w:sz w:val="28"/>
          <w:u w:val="single"/>
          <w14:textFill>
            <w14:solidFill>
              <w14:schemeClr w14:val="tx1"/>
            </w14:solidFill>
          </w14:textFill>
        </w:rPr>
        <w:t xml:space="preserve">                          </w:t>
      </w:r>
    </w:p>
    <w:p w14:paraId="4608F9C1">
      <w:pPr>
        <w:spacing w:line="360" w:lineRule="auto"/>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 xml:space="preserve">     （盖章）   </w:t>
      </w:r>
    </w:p>
    <w:p w14:paraId="6369BD8A">
      <w:pPr>
        <w:spacing w:line="360" w:lineRule="auto"/>
        <w:jc w:val="center"/>
        <w:rPr>
          <w:rFonts w:hint="eastAsia" w:ascii="仿宋" w:hAnsi="仿宋" w:eastAsia="仿宋" w:cs="仿宋"/>
          <w:b/>
          <w:color w:val="000000" w:themeColor="text1"/>
          <w:sz w:val="28"/>
          <w14:textFill>
            <w14:solidFill>
              <w14:schemeClr w14:val="tx1"/>
            </w14:solidFill>
          </w14:textFill>
        </w:rPr>
      </w:pPr>
    </w:p>
    <w:p w14:paraId="0072A920">
      <w:pPr>
        <w:spacing w:line="360" w:lineRule="auto"/>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 xml:space="preserve">    </w:t>
      </w:r>
      <w:r>
        <w:rPr>
          <w:rFonts w:hint="eastAsia" w:ascii="仿宋" w:hAnsi="仿宋" w:eastAsia="仿宋" w:cs="仿宋"/>
          <w:b/>
          <w:color w:val="000000" w:themeColor="text1"/>
          <w:sz w:val="28"/>
          <w:lang w:eastAsia="zh-CN"/>
          <w14:textFill>
            <w14:solidFill>
              <w14:schemeClr w14:val="tx1"/>
            </w14:solidFill>
          </w14:textFill>
        </w:rPr>
        <w:t>二零二五</w:t>
      </w:r>
      <w:r>
        <w:rPr>
          <w:rFonts w:hint="eastAsia" w:ascii="仿宋" w:hAnsi="仿宋" w:eastAsia="仿宋" w:cs="仿宋"/>
          <w:b/>
          <w:color w:val="000000" w:themeColor="text1"/>
          <w:sz w:val="28"/>
          <w14:textFill>
            <w14:solidFill>
              <w14:schemeClr w14:val="tx1"/>
            </w14:solidFill>
          </w14:textFill>
        </w:rPr>
        <w:t>年</w:t>
      </w:r>
      <w:r>
        <w:rPr>
          <w:rFonts w:hint="eastAsia" w:ascii="仿宋" w:hAnsi="仿宋" w:eastAsia="仿宋" w:cs="仿宋"/>
          <w:b/>
          <w:color w:val="000000" w:themeColor="text1"/>
          <w:sz w:val="28"/>
          <w:u w:val="single"/>
          <w14:textFill>
            <w14:solidFill>
              <w14:schemeClr w14:val="tx1"/>
            </w14:solidFill>
          </w14:textFill>
        </w:rPr>
        <w:t xml:space="preserve">   </w:t>
      </w:r>
      <w:r>
        <w:rPr>
          <w:rFonts w:hint="eastAsia" w:ascii="仿宋" w:hAnsi="仿宋" w:eastAsia="仿宋" w:cs="仿宋"/>
          <w:b/>
          <w:color w:val="000000" w:themeColor="text1"/>
          <w:sz w:val="28"/>
          <w14:textFill>
            <w14:solidFill>
              <w14:schemeClr w14:val="tx1"/>
            </w14:solidFill>
          </w14:textFill>
        </w:rPr>
        <w:t>月</w:t>
      </w:r>
    </w:p>
    <w:p w14:paraId="5DA339F7">
      <w:pPr>
        <w:pStyle w:val="3"/>
        <w:spacing w:line="360" w:lineRule="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br w:type="page"/>
      </w:r>
      <w:bookmarkStart w:id="356" w:name="_Toc32079"/>
      <w:bookmarkStart w:id="357" w:name="_Toc3621"/>
      <w:bookmarkStart w:id="358" w:name="_Toc914"/>
      <w:bookmarkStart w:id="359" w:name="_Toc9603"/>
      <w:bookmarkStart w:id="360" w:name="_Toc1118"/>
      <w:bookmarkStart w:id="361" w:name="_Toc5297"/>
      <w:bookmarkStart w:id="362" w:name="_Toc7243"/>
      <w:r>
        <w:rPr>
          <w:rFonts w:hint="eastAsia" w:ascii="仿宋" w:hAnsi="仿宋" w:eastAsia="仿宋" w:cs="仿宋"/>
          <w:bCs/>
          <w:color w:val="000000" w:themeColor="text1"/>
          <w14:textFill>
            <w14:solidFill>
              <w14:schemeClr w14:val="tx1"/>
            </w14:solidFill>
          </w14:textFill>
        </w:rPr>
        <w:t>附件</w:t>
      </w:r>
      <w:bookmarkStart w:id="363" w:name="_Hlt491765542"/>
      <w:bookmarkEnd w:id="363"/>
      <w:r>
        <w:rPr>
          <w:rFonts w:hint="eastAsia" w:ascii="仿宋" w:hAnsi="仿宋" w:eastAsia="仿宋" w:cs="仿宋"/>
          <w:bCs/>
          <w:color w:val="000000" w:themeColor="text1"/>
          <w14:textFill>
            <w14:solidFill>
              <w14:schemeClr w14:val="tx1"/>
            </w14:solidFill>
          </w14:textFill>
        </w:rPr>
        <w:t xml:space="preserve">  投标函</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6F697E7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致：陕西中技招标有限公司</w:t>
      </w:r>
    </w:p>
    <w:p w14:paraId="0C6BEFAE">
      <w:pPr>
        <w:spacing w:line="360" w:lineRule="auto"/>
        <w:ind w:firstLine="540" w:firstLineChars="22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u w:val="single"/>
          <w14:textFill>
            <w14:solidFill>
              <w14:schemeClr w14:val="tx1"/>
            </w14:solidFill>
          </w14:textFill>
        </w:rPr>
        <w:t>（项目名称）（采购项目编号）</w:t>
      </w:r>
      <w:r>
        <w:rPr>
          <w:rFonts w:hint="eastAsia" w:ascii="仿宋" w:hAnsi="仿宋" w:eastAsia="仿宋" w:cs="仿宋"/>
          <w:color w:val="000000" w:themeColor="text1"/>
          <w:sz w:val="24"/>
          <w14:textFill>
            <w14:solidFill>
              <w14:schemeClr w14:val="tx1"/>
            </w14:solidFill>
          </w14:textFill>
        </w:rPr>
        <w:t xml:space="preserve">招标文件相关规定，签字代表 </w:t>
      </w:r>
      <w:r>
        <w:rPr>
          <w:rFonts w:hint="eastAsia" w:ascii="仿宋" w:hAnsi="仿宋" w:eastAsia="仿宋" w:cs="仿宋"/>
          <w:color w:val="000000" w:themeColor="text1"/>
          <w:sz w:val="24"/>
          <w:u w:val="single"/>
          <w14:textFill>
            <w14:solidFill>
              <w14:schemeClr w14:val="tx1"/>
            </w14:solidFill>
          </w14:textFill>
        </w:rPr>
        <w:t>(全名、职务)</w:t>
      </w:r>
      <w:r>
        <w:rPr>
          <w:rFonts w:hint="eastAsia" w:ascii="仿宋" w:hAnsi="仿宋" w:eastAsia="仿宋" w:cs="仿宋"/>
          <w:color w:val="000000" w:themeColor="text1"/>
          <w:sz w:val="24"/>
          <w14:textFill>
            <w14:solidFill>
              <w14:schemeClr w14:val="tx1"/>
            </w14:solidFill>
          </w14:textFill>
        </w:rPr>
        <w:t>经正式授权并代表</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名称、地址）</w:t>
      </w:r>
      <w:r>
        <w:rPr>
          <w:rFonts w:hint="eastAsia" w:ascii="仿宋" w:hAnsi="仿宋" w:eastAsia="仿宋" w:cs="仿宋"/>
          <w:color w:val="000000" w:themeColor="text1"/>
          <w:sz w:val="24"/>
          <w14:textFill>
            <w14:solidFill>
              <w14:schemeClr w14:val="tx1"/>
            </w14:solidFill>
          </w14:textFill>
        </w:rPr>
        <w:t>提交包含下述内容的投标文件。</w:t>
      </w:r>
    </w:p>
    <w:p w14:paraId="1B9F82D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 投标函</w:t>
      </w:r>
    </w:p>
    <w:p w14:paraId="66C9F3F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 开标一览表</w:t>
      </w:r>
    </w:p>
    <w:p w14:paraId="373D748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 货物简要说明一览表</w:t>
      </w:r>
    </w:p>
    <w:p w14:paraId="686A3BD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(4) 按</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须知要求提供的全部文件和招标文件要求的投标文件。</w:t>
      </w:r>
    </w:p>
    <w:p w14:paraId="5957EEC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(5) 我方资格证明文件。</w:t>
      </w:r>
    </w:p>
    <w:p w14:paraId="0AF5F2E8">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已交纳投标保证金。</w:t>
      </w:r>
    </w:p>
    <w:p w14:paraId="6ACBFA3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据此函，签字代表宣布同意如下：</w:t>
      </w:r>
    </w:p>
    <w:p w14:paraId="356F920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(1)所附开标一览表中规定的投标</w:t>
      </w:r>
      <w:r>
        <w:rPr>
          <w:rFonts w:hint="eastAsia" w:ascii="仿宋" w:hAnsi="仿宋" w:eastAsia="仿宋" w:cs="仿宋"/>
          <w:color w:val="000000" w:themeColor="text1"/>
          <w:sz w:val="24"/>
          <w:lang w:val="en-US" w:eastAsia="zh-CN"/>
          <w14:textFill>
            <w14:solidFill>
              <w14:schemeClr w14:val="tx1"/>
            </w14:solidFill>
          </w14:textFill>
        </w:rPr>
        <w:t>报价</w:t>
      </w:r>
      <w:r>
        <w:rPr>
          <w:rFonts w:hint="eastAsia" w:ascii="仿宋" w:hAnsi="仿宋" w:eastAsia="仿宋" w:cs="仿宋"/>
          <w:color w:val="000000" w:themeColor="text1"/>
          <w:sz w:val="24"/>
          <w14:textFill>
            <w14:solidFill>
              <w14:schemeClr w14:val="tx1"/>
            </w14:solidFill>
          </w14:textFill>
        </w:rPr>
        <w:t>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元</w:t>
      </w:r>
      <w:r>
        <w:rPr>
          <w:rFonts w:hint="eastAsia" w:ascii="仿宋" w:hAnsi="仿宋" w:eastAsia="仿宋" w:cs="仿宋"/>
          <w:color w:val="000000" w:themeColor="text1"/>
          <w:sz w:val="24"/>
          <w14:textFill>
            <w14:solidFill>
              <w14:schemeClr w14:val="tx1"/>
            </w14:solidFill>
          </w14:textFill>
        </w:rPr>
        <w:t>；</w:t>
      </w:r>
    </w:p>
    <w:p w14:paraId="6F1AA4AD">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(2)我方将按招标文件的规定履行合同责任和义务;</w:t>
      </w:r>
    </w:p>
    <w:p w14:paraId="28188271">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(3)我方已详细审查全部招标文件，包括修改文件（如有）以及全部参考资料和有关附件。我们完全理解并同意放弃对这方面有不明及误解的权利；</w:t>
      </w:r>
    </w:p>
    <w:p w14:paraId="5215EEDC">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(4)其投标文件自开标之日起有效期为</w:t>
      </w:r>
      <w:r>
        <w:rPr>
          <w:rFonts w:hint="eastAsia" w:ascii="仿宋" w:hAnsi="仿宋" w:eastAsia="仿宋" w:cs="仿宋"/>
          <w:color w:val="000000" w:themeColor="text1"/>
          <w:sz w:val="24"/>
          <w:u w:val="single"/>
          <w14:textFill>
            <w14:solidFill>
              <w14:schemeClr w14:val="tx1"/>
            </w14:solidFill>
          </w14:textFill>
        </w:rPr>
        <w:t xml:space="preserve"> 90 </w:t>
      </w:r>
      <w:r>
        <w:rPr>
          <w:rFonts w:hint="eastAsia" w:ascii="仿宋" w:hAnsi="仿宋" w:eastAsia="仿宋" w:cs="仿宋"/>
          <w:color w:val="000000" w:themeColor="text1"/>
          <w:sz w:val="24"/>
          <w14:textFill>
            <w14:solidFill>
              <w14:schemeClr w14:val="tx1"/>
            </w14:solidFill>
          </w14:textFill>
        </w:rPr>
        <w:t xml:space="preserve"> 个日历天；</w:t>
      </w:r>
    </w:p>
    <w:p w14:paraId="20F9FF03">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(5)如果在规定的宣读投标时间后，我方在投标有效期内撤回投标；或</w:t>
      </w:r>
      <w:r>
        <w:rPr>
          <w:rFonts w:hint="eastAsia" w:ascii="仿宋" w:hAnsi="仿宋" w:eastAsia="仿宋" w:cs="仿宋"/>
          <w:color w:val="000000" w:themeColor="text1"/>
          <w:sz w:val="24"/>
          <w:lang w:val="en-US" w:eastAsia="zh-CN"/>
          <w14:textFill>
            <w14:solidFill>
              <w14:schemeClr w14:val="tx1"/>
            </w14:solidFill>
          </w14:textFill>
        </w:rPr>
        <w:t>中标</w:t>
      </w:r>
      <w:r>
        <w:rPr>
          <w:rFonts w:hint="eastAsia" w:ascii="仿宋" w:hAnsi="仿宋" w:eastAsia="仿宋" w:cs="仿宋"/>
          <w:color w:val="000000" w:themeColor="text1"/>
          <w:sz w:val="24"/>
          <w14:textFill>
            <w14:solidFill>
              <w14:schemeClr w14:val="tx1"/>
            </w14:solidFill>
          </w14:textFill>
        </w:rPr>
        <w:t>后未按招标文件中</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须知规定的向招标代理人交纳足额的招标代理服务费，我方投标保证金将被贵方没收；</w:t>
      </w:r>
    </w:p>
    <w:p w14:paraId="0B7710AE">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(6)我方同意提供按照贵方可能要求的与其投标有关的一切数据或资料，完全理解贵方不一定要接受最低价的投标或收到的任何投标。</w:t>
      </w:r>
    </w:p>
    <w:p w14:paraId="2F017520">
      <w:pPr>
        <w:spacing w:line="360" w:lineRule="auto"/>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(7)与本投标有关的一切正式往来通讯请寄：</w:t>
      </w:r>
    </w:p>
    <w:p w14:paraId="5833328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邮编：</w:t>
      </w:r>
      <w:r>
        <w:rPr>
          <w:rFonts w:hint="eastAsia" w:ascii="仿宋" w:hAnsi="仿宋" w:eastAsia="仿宋" w:cs="仿宋"/>
          <w:color w:val="000000" w:themeColor="text1"/>
          <w:sz w:val="24"/>
          <w:u w:val="single"/>
          <w14:textFill>
            <w14:solidFill>
              <w14:schemeClr w14:val="tx1"/>
            </w14:solidFill>
          </w14:textFill>
        </w:rPr>
        <w:t xml:space="preserve">                    </w:t>
      </w:r>
    </w:p>
    <w:p w14:paraId="0020F83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传真：</w:t>
      </w:r>
      <w:r>
        <w:rPr>
          <w:rFonts w:hint="eastAsia" w:ascii="仿宋" w:hAnsi="仿宋" w:eastAsia="仿宋" w:cs="仿宋"/>
          <w:color w:val="000000" w:themeColor="text1"/>
          <w:sz w:val="24"/>
          <w:u w:val="single"/>
          <w14:textFill>
            <w14:solidFill>
              <w14:schemeClr w14:val="tx1"/>
            </w14:solidFill>
          </w14:textFill>
        </w:rPr>
        <w:t xml:space="preserve">                     </w:t>
      </w:r>
    </w:p>
    <w:p w14:paraId="19099F8B">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代表姓名、职务（印刷体）：</w:t>
      </w:r>
      <w:r>
        <w:rPr>
          <w:rFonts w:hint="eastAsia" w:ascii="仿宋" w:hAnsi="仿宋" w:eastAsia="仿宋" w:cs="仿宋"/>
          <w:color w:val="000000" w:themeColor="text1"/>
          <w:sz w:val="24"/>
          <w:u w:val="single"/>
          <w14:textFill>
            <w14:solidFill>
              <w14:schemeClr w14:val="tx1"/>
            </w14:solidFill>
          </w14:textFill>
        </w:rPr>
        <w:t xml:space="preserve">                                   </w:t>
      </w:r>
    </w:p>
    <w:p w14:paraId="414B1C23">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bookmarkStart w:id="364" w:name="_Hlt491573407"/>
      <w:bookmarkEnd w:id="364"/>
      <w:bookmarkStart w:id="365" w:name="_Toc389620244"/>
      <w:bookmarkStart w:id="366" w:name="_Toc497546922"/>
      <w:bookmarkStart w:id="367" w:name="_Toc497712137"/>
      <w:bookmarkStart w:id="368" w:name="_Toc492955463"/>
      <w:bookmarkStart w:id="369" w:name="_Toc497711589"/>
      <w:bookmarkStart w:id="370" w:name="_Toc497551824"/>
      <w:bookmarkStart w:id="371" w:name="_Toc385992404"/>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名称：</w:t>
      </w:r>
      <w:r>
        <w:rPr>
          <w:rFonts w:hint="eastAsia" w:ascii="仿宋" w:hAnsi="仿宋" w:eastAsia="仿宋" w:cs="仿宋"/>
          <w:color w:val="000000" w:themeColor="text1"/>
          <w:sz w:val="24"/>
          <w:u w:val="single"/>
          <w14:textFill>
            <w14:solidFill>
              <w14:schemeClr w14:val="tx1"/>
            </w14:solidFill>
          </w14:textFill>
        </w:rPr>
        <w:t xml:space="preserve">                    （公章）</w:t>
      </w:r>
    </w:p>
    <w:p w14:paraId="7284B91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法定代表人或被授权代表签字或盖章：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2A61037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0F0F5E75">
      <w:pPr>
        <w:pStyle w:val="3"/>
        <w:adjustRightInd w:val="0"/>
        <w:spacing w:line="360" w:lineRule="auto"/>
        <w:textAlignment w:val="baseline"/>
        <w:rPr>
          <w:rFonts w:hint="eastAsia" w:ascii="仿宋" w:hAnsi="仿宋" w:eastAsia="仿宋" w:cs="仿宋"/>
          <w:bCs/>
          <w:color w:val="000000" w:themeColor="text1"/>
          <w14:textFill>
            <w14:solidFill>
              <w14:schemeClr w14:val="tx1"/>
            </w14:solidFill>
          </w14:textFill>
        </w:rPr>
      </w:pPr>
      <w:bookmarkStart w:id="372" w:name="_Toc31675"/>
      <w:bookmarkStart w:id="373" w:name="_Toc233435984"/>
      <w:bookmarkStart w:id="374" w:name="_Toc128557264"/>
      <w:bookmarkStart w:id="375" w:name="_Toc5556"/>
      <w:bookmarkStart w:id="376" w:name="_Toc18709"/>
      <w:bookmarkStart w:id="377" w:name="_Toc7157"/>
      <w:bookmarkStart w:id="378" w:name="_Toc6414"/>
      <w:bookmarkStart w:id="379" w:name="_Toc5592"/>
      <w:bookmarkStart w:id="380" w:name="_Toc31474"/>
      <w:r>
        <w:rPr>
          <w:rFonts w:hint="eastAsia" w:ascii="仿宋" w:hAnsi="仿宋" w:eastAsia="仿宋" w:cs="仿宋"/>
          <w:bCs/>
          <w:color w:val="000000" w:themeColor="text1"/>
          <w14:textFill>
            <w14:solidFill>
              <w14:schemeClr w14:val="tx1"/>
            </w14:solidFill>
          </w14:textFill>
        </w:rPr>
        <w:t>附件  开标一览表</w:t>
      </w:r>
      <w:bookmarkEnd w:id="372"/>
      <w:bookmarkEnd w:id="373"/>
      <w:bookmarkEnd w:id="374"/>
      <w:bookmarkEnd w:id="375"/>
      <w:bookmarkEnd w:id="376"/>
      <w:bookmarkEnd w:id="377"/>
      <w:bookmarkEnd w:id="378"/>
      <w:bookmarkEnd w:id="379"/>
      <w:bookmarkEnd w:id="380"/>
    </w:p>
    <w:p w14:paraId="02315102">
      <w:pPr>
        <w:spacing w:line="360" w:lineRule="auto"/>
        <w:rPr>
          <w:rFonts w:hint="eastAsia" w:ascii="仿宋" w:hAnsi="仿宋" w:eastAsia="仿宋" w:cs="仿宋"/>
          <w:b/>
          <w:color w:val="000000" w:themeColor="text1"/>
          <w14:textFill>
            <w14:solidFill>
              <w14:schemeClr w14:val="tx1"/>
            </w14:solidFill>
          </w14:textFill>
        </w:rPr>
      </w:pPr>
    </w:p>
    <w:tbl>
      <w:tblPr>
        <w:tblStyle w:val="40"/>
        <w:tblW w:w="8999" w:type="dxa"/>
        <w:tblInd w:w="-13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2"/>
        <w:gridCol w:w="6847"/>
      </w:tblGrid>
      <w:tr w14:paraId="2621D1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2152" w:type="dxa"/>
            <w:tcBorders>
              <w:bottom w:val="single" w:color="auto" w:sz="4" w:space="0"/>
            </w:tcBorders>
            <w:noWrap w:val="0"/>
            <w:vAlign w:val="center"/>
          </w:tcPr>
          <w:p w14:paraId="05332E97">
            <w:pPr>
              <w:spacing w:line="240" w:lineRule="auto"/>
              <w:jc w:val="center"/>
              <w:rPr>
                <w:rFonts w:hint="eastAsia" w:ascii="仿宋" w:hAnsi="仿宋" w:eastAsia="仿宋" w:cs="仿宋"/>
                <w:cap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6847" w:type="dxa"/>
            <w:noWrap w:val="0"/>
            <w:vAlign w:val="center"/>
          </w:tcPr>
          <w:p w14:paraId="067D4EDE">
            <w:pPr>
              <w:spacing w:line="240" w:lineRule="auto"/>
              <w:jc w:val="center"/>
              <w:rPr>
                <w:rFonts w:hint="eastAsia" w:ascii="仿宋" w:hAnsi="仿宋" w:eastAsia="仿宋" w:cs="仿宋"/>
                <w:caps/>
                <w:color w:val="000000" w:themeColor="text1"/>
                <w:sz w:val="24"/>
                <w14:textFill>
                  <w14:solidFill>
                    <w14:schemeClr w14:val="tx1"/>
                  </w14:solidFill>
                </w14:textFill>
              </w:rPr>
            </w:pPr>
          </w:p>
        </w:tc>
      </w:tr>
      <w:tr w14:paraId="611A6A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rPr>
        <w:tc>
          <w:tcPr>
            <w:tcW w:w="2152" w:type="dxa"/>
            <w:tcBorders>
              <w:bottom w:val="single" w:color="auto" w:sz="4" w:space="0"/>
            </w:tcBorders>
            <w:noWrap w:val="0"/>
            <w:vAlign w:val="center"/>
          </w:tcPr>
          <w:p w14:paraId="0184E604">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p>
        </w:tc>
        <w:tc>
          <w:tcPr>
            <w:tcW w:w="6847" w:type="dxa"/>
            <w:tcBorders>
              <w:bottom w:val="single" w:color="auto" w:sz="4" w:space="0"/>
            </w:tcBorders>
            <w:noWrap w:val="0"/>
            <w:vAlign w:val="center"/>
          </w:tcPr>
          <w:p w14:paraId="3E448FF8">
            <w:pPr>
              <w:spacing w:line="240" w:lineRule="auto"/>
              <w:jc w:val="center"/>
              <w:rPr>
                <w:rFonts w:hint="eastAsia" w:ascii="仿宋" w:hAnsi="仿宋" w:eastAsia="仿宋" w:cs="仿宋"/>
                <w:caps/>
                <w:color w:val="000000" w:themeColor="text1"/>
                <w:sz w:val="24"/>
                <w14:textFill>
                  <w14:solidFill>
                    <w14:schemeClr w14:val="tx1"/>
                  </w14:solidFill>
                </w14:textFill>
              </w:rPr>
            </w:pPr>
          </w:p>
        </w:tc>
      </w:tr>
      <w:tr w14:paraId="2F277C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rPr>
        <w:tc>
          <w:tcPr>
            <w:tcW w:w="2152" w:type="dxa"/>
            <w:noWrap w:val="0"/>
            <w:vAlign w:val="center"/>
          </w:tcPr>
          <w:p w14:paraId="3C4779E0">
            <w:pPr>
              <w:spacing w:line="24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投标人</w:t>
            </w:r>
          </w:p>
        </w:tc>
        <w:tc>
          <w:tcPr>
            <w:tcW w:w="6847" w:type="dxa"/>
            <w:noWrap w:val="0"/>
            <w:vAlign w:val="center"/>
          </w:tcPr>
          <w:p w14:paraId="0656F499">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121A40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trPr>
        <w:tc>
          <w:tcPr>
            <w:tcW w:w="2152" w:type="dxa"/>
            <w:noWrap w:val="0"/>
            <w:vAlign w:val="center"/>
          </w:tcPr>
          <w:p w14:paraId="0CCDD937">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w:t>
            </w:r>
          </w:p>
          <w:p w14:paraId="65A63CCF">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元</w:t>
            </w:r>
            <w:r>
              <w:rPr>
                <w:rFonts w:hint="eastAsia" w:ascii="仿宋" w:hAnsi="仿宋" w:eastAsia="仿宋" w:cs="仿宋"/>
                <w:color w:val="000000" w:themeColor="text1"/>
                <w:sz w:val="24"/>
                <w14:textFill>
                  <w14:solidFill>
                    <w14:schemeClr w14:val="tx1"/>
                  </w14:solidFill>
                </w14:textFill>
              </w:rPr>
              <w:t>）</w:t>
            </w:r>
          </w:p>
        </w:tc>
        <w:tc>
          <w:tcPr>
            <w:tcW w:w="6847" w:type="dxa"/>
            <w:noWrap w:val="0"/>
            <w:vAlign w:val="center"/>
          </w:tcPr>
          <w:p w14:paraId="0A575B55">
            <w:pPr>
              <w:spacing w:line="240" w:lineRule="auto"/>
              <w:ind w:firstLine="2880" w:firstLineChars="12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u w:val="none"/>
                <w:lang w:val="en-US" w:eastAsia="zh-CN"/>
                <w14:textFill>
                  <w14:solidFill>
                    <w14:schemeClr w14:val="tx1"/>
                  </w14:solidFill>
                </w14:textFill>
              </w:rPr>
              <w:t xml:space="preserve"> </w:t>
            </w:r>
          </w:p>
        </w:tc>
      </w:tr>
      <w:tr w14:paraId="24EA94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3" w:hRule="atLeast"/>
        </w:trPr>
        <w:tc>
          <w:tcPr>
            <w:tcW w:w="2152" w:type="dxa"/>
            <w:tcBorders>
              <w:right w:val="single" w:color="auto" w:sz="4" w:space="0"/>
            </w:tcBorders>
            <w:noWrap w:val="0"/>
            <w:vAlign w:val="center"/>
          </w:tcPr>
          <w:p w14:paraId="0F63E28F">
            <w:pPr>
              <w:spacing w:line="24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交货期及交货地点是否响应</w:t>
            </w:r>
          </w:p>
        </w:tc>
        <w:tc>
          <w:tcPr>
            <w:tcW w:w="6847" w:type="dxa"/>
            <w:tcBorders>
              <w:left w:val="single" w:color="auto" w:sz="4" w:space="0"/>
            </w:tcBorders>
            <w:noWrap w:val="0"/>
            <w:vAlign w:val="center"/>
          </w:tcPr>
          <w:p w14:paraId="50C26286">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aps w:val="0"/>
                <w:smallCaps w:val="0"/>
                <w:color w:val="000000" w:themeColor="text1"/>
                <w:spacing w:val="0"/>
                <w:sz w:val="24"/>
                <w14:textFill>
                  <w14:solidFill>
                    <w14:schemeClr w14:val="tx1"/>
                  </w14:solidFill>
                </w14:textFill>
              </w:rPr>
              <w:t>是/否</w:t>
            </w:r>
          </w:p>
        </w:tc>
      </w:tr>
      <w:tr w14:paraId="1A83DF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3" w:hRule="atLeast"/>
        </w:trPr>
        <w:tc>
          <w:tcPr>
            <w:tcW w:w="2152" w:type="dxa"/>
            <w:tcBorders>
              <w:right w:val="single" w:color="auto" w:sz="4" w:space="0"/>
            </w:tcBorders>
            <w:noWrap w:val="0"/>
            <w:vAlign w:val="center"/>
          </w:tcPr>
          <w:p w14:paraId="36122FAA">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付款方式</w:t>
            </w:r>
            <w:r>
              <w:rPr>
                <w:rFonts w:hint="eastAsia" w:ascii="仿宋" w:hAnsi="仿宋" w:eastAsia="仿宋" w:cs="仿宋"/>
                <w:color w:val="000000" w:themeColor="text1"/>
                <w:sz w:val="24"/>
                <w:lang w:val="en-US" w:eastAsia="zh-CN"/>
                <w14:textFill>
                  <w14:solidFill>
                    <w14:schemeClr w14:val="tx1"/>
                  </w14:solidFill>
                </w14:textFill>
              </w:rPr>
              <w:t>是否响应</w:t>
            </w:r>
          </w:p>
        </w:tc>
        <w:tc>
          <w:tcPr>
            <w:tcW w:w="6847" w:type="dxa"/>
            <w:tcBorders>
              <w:left w:val="single" w:color="auto" w:sz="4" w:space="0"/>
            </w:tcBorders>
            <w:noWrap w:val="0"/>
            <w:vAlign w:val="center"/>
          </w:tcPr>
          <w:p w14:paraId="4AB42E8A">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aps w:val="0"/>
                <w:smallCaps w:val="0"/>
                <w:color w:val="000000" w:themeColor="text1"/>
                <w:spacing w:val="0"/>
                <w:sz w:val="24"/>
                <w14:textFill>
                  <w14:solidFill>
                    <w14:schemeClr w14:val="tx1"/>
                  </w14:solidFill>
                </w14:textFill>
              </w:rPr>
              <w:t>是/否</w:t>
            </w:r>
          </w:p>
        </w:tc>
      </w:tr>
      <w:tr w14:paraId="132A71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3" w:hRule="atLeast"/>
        </w:trPr>
        <w:tc>
          <w:tcPr>
            <w:tcW w:w="2152" w:type="dxa"/>
            <w:tcBorders>
              <w:right w:val="single" w:color="auto" w:sz="4" w:space="0"/>
            </w:tcBorders>
            <w:noWrap w:val="0"/>
            <w:vAlign w:val="center"/>
          </w:tcPr>
          <w:p w14:paraId="0B79A59E">
            <w:pPr>
              <w:spacing w:line="24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质保期是否响应</w:t>
            </w:r>
          </w:p>
        </w:tc>
        <w:tc>
          <w:tcPr>
            <w:tcW w:w="6847" w:type="dxa"/>
            <w:tcBorders>
              <w:left w:val="single" w:color="auto" w:sz="4" w:space="0"/>
            </w:tcBorders>
            <w:noWrap w:val="0"/>
            <w:vAlign w:val="center"/>
          </w:tcPr>
          <w:p w14:paraId="4A27042F">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aps w:val="0"/>
                <w:smallCaps w:val="0"/>
                <w:color w:val="000000" w:themeColor="text1"/>
                <w:spacing w:val="0"/>
                <w:sz w:val="24"/>
                <w14:textFill>
                  <w14:solidFill>
                    <w14:schemeClr w14:val="tx1"/>
                  </w14:solidFill>
                </w14:textFill>
              </w:rPr>
              <w:t>是/否</w:t>
            </w:r>
          </w:p>
        </w:tc>
      </w:tr>
      <w:tr w14:paraId="27269A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3" w:hRule="atLeast"/>
        </w:trPr>
        <w:tc>
          <w:tcPr>
            <w:tcW w:w="2152" w:type="dxa"/>
            <w:tcBorders>
              <w:right w:val="single" w:color="auto" w:sz="4" w:space="0"/>
            </w:tcBorders>
            <w:noWrap w:val="0"/>
            <w:vAlign w:val="center"/>
          </w:tcPr>
          <w:p w14:paraId="25DEC0E0">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质量要求是否响应</w:t>
            </w:r>
          </w:p>
        </w:tc>
        <w:tc>
          <w:tcPr>
            <w:tcW w:w="6847" w:type="dxa"/>
            <w:tcBorders>
              <w:left w:val="single" w:color="auto" w:sz="4" w:space="0"/>
            </w:tcBorders>
            <w:noWrap w:val="0"/>
            <w:vAlign w:val="center"/>
          </w:tcPr>
          <w:p w14:paraId="3E94AA63">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是/否</w:t>
            </w:r>
          </w:p>
        </w:tc>
      </w:tr>
    </w:tbl>
    <w:p w14:paraId="15CFAFF1">
      <w:pPr>
        <w:spacing w:line="360" w:lineRule="auto"/>
        <w:ind w:right="480"/>
        <w:rPr>
          <w:rFonts w:hint="eastAsia" w:ascii="仿宋" w:hAnsi="仿宋" w:eastAsia="仿宋" w:cs="仿宋"/>
          <w:color w:val="000000" w:themeColor="text1"/>
          <w:sz w:val="28"/>
          <w14:textFill>
            <w14:solidFill>
              <w14:schemeClr w14:val="tx1"/>
            </w14:solidFill>
          </w14:textFill>
        </w:rPr>
      </w:pPr>
    </w:p>
    <w:p w14:paraId="01A768F1">
      <w:pPr>
        <w:widowControl/>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r>
        <w:rPr>
          <w:rFonts w:hint="eastAsia" w:ascii="仿宋" w:hAnsi="仿宋" w:eastAsia="仿宋" w:cs="仿宋"/>
          <w:b w:val="0"/>
          <w:bCs w:val="0"/>
          <w:color w:val="000000" w:themeColor="text1"/>
          <w:sz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14:textFill>
            <w14:solidFill>
              <w14:schemeClr w14:val="tx1"/>
            </w14:solidFill>
          </w14:textFill>
        </w:rPr>
        <w:t>内容以元为单位，保留小数点后（两位）</w:t>
      </w:r>
    </w:p>
    <w:p w14:paraId="3436A910">
      <w:pPr>
        <w:pStyle w:val="25"/>
        <w:spacing w:line="360" w:lineRule="auto"/>
        <w:rPr>
          <w:rFonts w:hint="eastAsia" w:ascii="仿宋" w:hAnsi="仿宋" w:eastAsia="仿宋" w:cs="仿宋"/>
          <w:color w:val="000000" w:themeColor="text1"/>
          <w14:textFill>
            <w14:solidFill>
              <w14:schemeClr w14:val="tx1"/>
            </w14:solidFill>
          </w14:textFill>
        </w:rPr>
      </w:pPr>
    </w:p>
    <w:p w14:paraId="6DB9E586">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17BAD39">
      <w:pPr>
        <w:spacing w:line="360" w:lineRule="auto"/>
        <w:ind w:right="-161" w:firstLine="3360" w:firstLineChars="14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bookmarkStart w:id="381" w:name="_Toc10816"/>
      <w:bookmarkStart w:id="382" w:name="_Toc18882"/>
      <w:bookmarkStart w:id="383" w:name="_Toc18495"/>
      <w:bookmarkStart w:id="384" w:name="_Toc233435985"/>
      <w:bookmarkStart w:id="385" w:name="_Toc2643"/>
      <w:bookmarkStart w:id="386" w:name="_Toc13377"/>
      <w:bookmarkStart w:id="387" w:name="_Toc128557265"/>
    </w:p>
    <w:p w14:paraId="26F48673">
      <w:pPr>
        <w:outlineLvl w:val="9"/>
        <w:rPr>
          <w:rFonts w:hint="eastAsia"/>
          <w:color w:val="000000" w:themeColor="text1"/>
          <w14:textFill>
            <w14:solidFill>
              <w14:schemeClr w14:val="tx1"/>
            </w14:solidFill>
          </w14:textFill>
        </w:rPr>
      </w:pPr>
    </w:p>
    <w:bookmarkEnd w:id="381"/>
    <w:bookmarkEnd w:id="382"/>
    <w:bookmarkEnd w:id="383"/>
    <w:bookmarkEnd w:id="384"/>
    <w:bookmarkEnd w:id="385"/>
    <w:bookmarkEnd w:id="386"/>
    <w:bookmarkEnd w:id="387"/>
    <w:p w14:paraId="293BB463">
      <w:pPr>
        <w:pStyle w:val="25"/>
        <w:spacing w:line="360" w:lineRule="auto"/>
        <w:rPr>
          <w:rFonts w:hint="eastAsia" w:ascii="仿宋" w:hAnsi="仿宋" w:eastAsia="仿宋" w:cs="仿宋"/>
          <w:color w:val="000000" w:themeColor="text1"/>
          <w14:textFill>
            <w14:solidFill>
              <w14:schemeClr w14:val="tx1"/>
            </w14:solidFill>
          </w14:textFill>
        </w:rPr>
      </w:pPr>
    </w:p>
    <w:p w14:paraId="42BEADEE">
      <w:pPr>
        <w:pStyle w:val="25"/>
        <w:spacing w:line="360" w:lineRule="auto"/>
        <w:rPr>
          <w:rFonts w:hint="eastAsia" w:ascii="仿宋" w:hAnsi="仿宋" w:eastAsia="仿宋" w:cs="仿宋"/>
          <w:color w:val="000000" w:themeColor="text1"/>
          <w14:textFill>
            <w14:solidFill>
              <w14:schemeClr w14:val="tx1"/>
            </w14:solidFill>
          </w14:textFill>
        </w:rPr>
      </w:pPr>
    </w:p>
    <w:p w14:paraId="51BF16E5">
      <w:pPr>
        <w:pStyle w:val="25"/>
        <w:spacing w:line="360" w:lineRule="auto"/>
        <w:rPr>
          <w:rFonts w:hint="eastAsia" w:ascii="仿宋" w:hAnsi="仿宋" w:eastAsia="仿宋" w:cs="仿宋"/>
          <w:color w:val="000000" w:themeColor="text1"/>
          <w14:textFill>
            <w14:solidFill>
              <w14:schemeClr w14:val="tx1"/>
            </w14:solidFill>
          </w14:textFill>
        </w:rPr>
      </w:pPr>
    </w:p>
    <w:bookmarkEnd w:id="365"/>
    <w:bookmarkEnd w:id="366"/>
    <w:bookmarkEnd w:id="367"/>
    <w:bookmarkEnd w:id="368"/>
    <w:bookmarkEnd w:id="369"/>
    <w:bookmarkEnd w:id="370"/>
    <w:bookmarkEnd w:id="371"/>
    <w:p w14:paraId="39FBCC3C">
      <w:pPr>
        <w:rPr>
          <w:rFonts w:hint="eastAsia" w:ascii="仿宋" w:hAnsi="仿宋" w:eastAsia="仿宋" w:cs="仿宋"/>
          <w:color w:val="000000" w:themeColor="text1"/>
          <w14:textFill>
            <w14:solidFill>
              <w14:schemeClr w14:val="tx1"/>
            </w14:solidFill>
          </w14:textFill>
        </w:rPr>
      </w:pPr>
      <w:bookmarkStart w:id="388" w:name="_Toc1683"/>
      <w:bookmarkStart w:id="389" w:name="_Toc19184"/>
      <w:bookmarkStart w:id="390" w:name="_Toc11947"/>
      <w:bookmarkStart w:id="391" w:name="_Toc2470"/>
      <w:bookmarkStart w:id="392" w:name="_Toc13240"/>
      <w:bookmarkStart w:id="393" w:name="_Toc10507"/>
      <w:bookmarkStart w:id="394" w:name="_Toc25202"/>
      <w:bookmarkStart w:id="395" w:name="_Toc492955464"/>
      <w:bookmarkStart w:id="396" w:name="_Toc233435986"/>
      <w:bookmarkStart w:id="397" w:name="_Toc497712138"/>
      <w:bookmarkStart w:id="398" w:name="_Toc385992405"/>
      <w:bookmarkStart w:id="399" w:name="_Toc497711590"/>
      <w:bookmarkStart w:id="400" w:name="_Toc497551825"/>
      <w:bookmarkStart w:id="401" w:name="_Hlt491766443"/>
      <w:bookmarkStart w:id="402" w:name="_Toc497546923"/>
      <w:bookmarkStart w:id="403" w:name="_Toc389620245"/>
      <w:r>
        <w:rPr>
          <w:rFonts w:hint="eastAsia" w:ascii="仿宋" w:hAnsi="仿宋" w:eastAsia="仿宋" w:cs="仿宋"/>
          <w:color w:val="000000" w:themeColor="text1"/>
          <w14:textFill>
            <w14:solidFill>
              <w14:schemeClr w14:val="tx1"/>
            </w14:solidFill>
          </w14:textFill>
        </w:rPr>
        <w:br w:type="page"/>
      </w:r>
    </w:p>
    <w:p w14:paraId="0279EC0A">
      <w:pPr>
        <w:pStyle w:val="3"/>
        <w:adjustRightInd w:val="0"/>
        <w:spacing w:line="416" w:lineRule="atLeast"/>
        <w:jc w:val="both"/>
        <w:textAlignment w:val="baseline"/>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附件</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分项报价表</w:t>
      </w:r>
    </w:p>
    <w:p w14:paraId="39EA8517">
      <w:pPr>
        <w:jc w:val="right"/>
        <w:rPr>
          <w:rFonts w:hint="eastAsia"/>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页共</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bl>
      <w:tblPr>
        <w:tblStyle w:val="40"/>
        <w:tblW w:w="0" w:type="auto"/>
        <w:jc w:val="center"/>
        <w:tblLayout w:type="fixed"/>
        <w:tblCellMar>
          <w:top w:w="0" w:type="dxa"/>
          <w:left w:w="108" w:type="dxa"/>
          <w:bottom w:w="0" w:type="dxa"/>
          <w:right w:w="108" w:type="dxa"/>
        </w:tblCellMar>
      </w:tblPr>
      <w:tblGrid>
        <w:gridCol w:w="551"/>
        <w:gridCol w:w="2474"/>
        <w:gridCol w:w="1036"/>
        <w:gridCol w:w="1028"/>
        <w:gridCol w:w="1241"/>
        <w:gridCol w:w="894"/>
        <w:gridCol w:w="999"/>
      </w:tblGrid>
      <w:tr w14:paraId="5AFE0133">
        <w:tblPrEx>
          <w:tblCellMar>
            <w:top w:w="0" w:type="dxa"/>
            <w:left w:w="108" w:type="dxa"/>
            <w:bottom w:w="0" w:type="dxa"/>
            <w:right w:w="108" w:type="dxa"/>
          </w:tblCellMar>
        </w:tblPrEx>
        <w:trPr>
          <w:trHeight w:val="996" w:hRule="exact"/>
          <w:jc w:val="center"/>
        </w:trPr>
        <w:tc>
          <w:tcPr>
            <w:tcW w:w="551" w:type="dxa"/>
            <w:tcBorders>
              <w:top w:val="single" w:color="auto" w:sz="4" w:space="0"/>
              <w:left w:val="single" w:color="auto" w:sz="4" w:space="0"/>
              <w:bottom w:val="single" w:color="auto" w:sz="4" w:space="0"/>
              <w:right w:val="single" w:color="auto" w:sz="4" w:space="0"/>
            </w:tcBorders>
            <w:vAlign w:val="center"/>
          </w:tcPr>
          <w:p w14:paraId="1022C144">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序号</w:t>
            </w:r>
          </w:p>
        </w:tc>
        <w:tc>
          <w:tcPr>
            <w:tcW w:w="2474" w:type="dxa"/>
            <w:tcBorders>
              <w:top w:val="single" w:color="auto" w:sz="4" w:space="0"/>
              <w:left w:val="nil"/>
              <w:bottom w:val="single" w:color="auto" w:sz="4" w:space="0"/>
              <w:right w:val="single" w:color="auto" w:sz="4" w:space="0"/>
            </w:tcBorders>
            <w:vAlign w:val="center"/>
          </w:tcPr>
          <w:p w14:paraId="0AD9CDDB">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货物名称</w:t>
            </w:r>
          </w:p>
        </w:tc>
        <w:tc>
          <w:tcPr>
            <w:tcW w:w="1036" w:type="dxa"/>
            <w:tcBorders>
              <w:top w:val="single" w:color="auto" w:sz="4" w:space="0"/>
              <w:left w:val="nil"/>
              <w:bottom w:val="single" w:color="auto" w:sz="4" w:space="0"/>
              <w:right w:val="single" w:color="auto" w:sz="4" w:space="0"/>
            </w:tcBorders>
            <w:vAlign w:val="center"/>
          </w:tcPr>
          <w:p w14:paraId="797D6A96">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规格型号</w:t>
            </w:r>
          </w:p>
        </w:tc>
        <w:tc>
          <w:tcPr>
            <w:tcW w:w="1028" w:type="dxa"/>
            <w:tcBorders>
              <w:top w:val="single" w:color="auto" w:sz="4" w:space="0"/>
              <w:left w:val="nil"/>
              <w:bottom w:val="single" w:color="auto" w:sz="4" w:space="0"/>
              <w:right w:val="single" w:color="auto" w:sz="4" w:space="0"/>
            </w:tcBorders>
            <w:vAlign w:val="center"/>
          </w:tcPr>
          <w:p w14:paraId="540266CF">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品牌</w:t>
            </w:r>
          </w:p>
        </w:tc>
        <w:tc>
          <w:tcPr>
            <w:tcW w:w="1241" w:type="dxa"/>
            <w:tcBorders>
              <w:top w:val="single" w:color="auto" w:sz="4" w:space="0"/>
              <w:left w:val="nil"/>
              <w:bottom w:val="single" w:color="auto" w:sz="4" w:space="0"/>
              <w:right w:val="single" w:color="auto" w:sz="4" w:space="0"/>
            </w:tcBorders>
            <w:vAlign w:val="center"/>
          </w:tcPr>
          <w:p w14:paraId="313CDDF4">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单价</w:t>
            </w:r>
          </w:p>
          <w:p w14:paraId="7A8599B2">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（元）</w:t>
            </w:r>
          </w:p>
        </w:tc>
        <w:tc>
          <w:tcPr>
            <w:tcW w:w="894" w:type="dxa"/>
            <w:tcBorders>
              <w:top w:val="single" w:color="auto" w:sz="4" w:space="0"/>
              <w:left w:val="nil"/>
              <w:bottom w:val="single" w:color="auto" w:sz="4" w:space="0"/>
              <w:right w:val="single" w:color="auto" w:sz="4" w:space="0"/>
            </w:tcBorders>
            <w:vAlign w:val="center"/>
          </w:tcPr>
          <w:p w14:paraId="30353B21">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数量</w:t>
            </w:r>
          </w:p>
        </w:tc>
        <w:tc>
          <w:tcPr>
            <w:tcW w:w="999" w:type="dxa"/>
            <w:tcBorders>
              <w:top w:val="single" w:color="auto" w:sz="4" w:space="0"/>
              <w:left w:val="nil"/>
              <w:bottom w:val="single" w:color="auto" w:sz="4" w:space="0"/>
              <w:right w:val="single" w:color="auto" w:sz="4" w:space="0"/>
            </w:tcBorders>
            <w:vAlign w:val="center"/>
          </w:tcPr>
          <w:p w14:paraId="62CEE4C6">
            <w:pPr>
              <w:widowControl/>
              <w:ind w:left="-105" w:leftChars="-50" w:right="-57"/>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总价（元）</w:t>
            </w:r>
          </w:p>
        </w:tc>
      </w:tr>
      <w:tr w14:paraId="6832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51" w:type="dxa"/>
            <w:vAlign w:val="center"/>
          </w:tcPr>
          <w:p w14:paraId="00D8C2A9">
            <w:pPr>
              <w:ind w:left="-50" w:right="-5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474" w:type="dxa"/>
            <w:vAlign w:val="center"/>
          </w:tcPr>
          <w:p w14:paraId="61BBD0A8">
            <w:pPr>
              <w:ind w:left="-50" w:right="-50"/>
              <w:jc w:val="center"/>
              <w:rPr>
                <w:rFonts w:ascii="仿宋" w:hAnsi="仿宋" w:eastAsia="仿宋" w:cs="仿宋"/>
                <w:color w:val="000000" w:themeColor="text1"/>
                <w:sz w:val="24"/>
                <w:szCs w:val="24"/>
                <w14:textFill>
                  <w14:solidFill>
                    <w14:schemeClr w14:val="tx1"/>
                  </w14:solidFill>
                </w14:textFill>
              </w:rPr>
            </w:pPr>
          </w:p>
        </w:tc>
        <w:tc>
          <w:tcPr>
            <w:tcW w:w="1036" w:type="dxa"/>
            <w:vAlign w:val="center"/>
          </w:tcPr>
          <w:p w14:paraId="41D5E6B5">
            <w:pPr>
              <w:ind w:left="-50" w:right="-50"/>
              <w:jc w:val="center"/>
              <w:rPr>
                <w:rFonts w:ascii="仿宋" w:hAnsi="仿宋" w:eastAsia="仿宋" w:cs="仿宋"/>
                <w:color w:val="000000" w:themeColor="text1"/>
                <w:sz w:val="24"/>
                <w:szCs w:val="24"/>
                <w14:textFill>
                  <w14:solidFill>
                    <w14:schemeClr w14:val="tx1"/>
                  </w14:solidFill>
                </w14:textFill>
              </w:rPr>
            </w:pPr>
          </w:p>
        </w:tc>
        <w:tc>
          <w:tcPr>
            <w:tcW w:w="1028" w:type="dxa"/>
            <w:vAlign w:val="center"/>
          </w:tcPr>
          <w:p w14:paraId="05B3E380">
            <w:pPr>
              <w:ind w:left="-50" w:right="-50"/>
              <w:jc w:val="center"/>
              <w:rPr>
                <w:rFonts w:ascii="仿宋" w:hAnsi="仿宋" w:eastAsia="仿宋" w:cs="仿宋"/>
                <w:color w:val="000000" w:themeColor="text1"/>
                <w:sz w:val="24"/>
                <w:szCs w:val="24"/>
                <w14:textFill>
                  <w14:solidFill>
                    <w14:schemeClr w14:val="tx1"/>
                  </w14:solidFill>
                </w14:textFill>
              </w:rPr>
            </w:pPr>
          </w:p>
        </w:tc>
        <w:tc>
          <w:tcPr>
            <w:tcW w:w="1241" w:type="dxa"/>
            <w:vAlign w:val="center"/>
          </w:tcPr>
          <w:p w14:paraId="5BA5336C">
            <w:pPr>
              <w:ind w:left="-50" w:right="-50"/>
              <w:jc w:val="center"/>
              <w:rPr>
                <w:rFonts w:ascii="仿宋" w:hAnsi="仿宋" w:eastAsia="仿宋" w:cs="仿宋"/>
                <w:color w:val="000000" w:themeColor="text1"/>
                <w:sz w:val="24"/>
                <w:szCs w:val="24"/>
                <w14:textFill>
                  <w14:solidFill>
                    <w14:schemeClr w14:val="tx1"/>
                  </w14:solidFill>
                </w14:textFill>
              </w:rPr>
            </w:pPr>
          </w:p>
        </w:tc>
        <w:tc>
          <w:tcPr>
            <w:tcW w:w="894" w:type="dxa"/>
            <w:vAlign w:val="center"/>
          </w:tcPr>
          <w:p w14:paraId="7B8CECC2">
            <w:pPr>
              <w:ind w:left="-50" w:right="-50"/>
              <w:jc w:val="center"/>
              <w:rPr>
                <w:rFonts w:ascii="仿宋" w:hAnsi="仿宋" w:eastAsia="仿宋" w:cs="仿宋"/>
                <w:color w:val="000000" w:themeColor="text1"/>
                <w:sz w:val="24"/>
                <w:szCs w:val="24"/>
                <w14:textFill>
                  <w14:solidFill>
                    <w14:schemeClr w14:val="tx1"/>
                  </w14:solidFill>
                </w14:textFill>
              </w:rPr>
            </w:pPr>
          </w:p>
        </w:tc>
        <w:tc>
          <w:tcPr>
            <w:tcW w:w="999" w:type="dxa"/>
            <w:vAlign w:val="center"/>
          </w:tcPr>
          <w:p w14:paraId="08B53B1A">
            <w:pPr>
              <w:ind w:left="-50" w:right="-50"/>
              <w:jc w:val="center"/>
              <w:rPr>
                <w:rFonts w:ascii="仿宋" w:hAnsi="仿宋" w:eastAsia="仿宋" w:cs="仿宋"/>
                <w:color w:val="000000" w:themeColor="text1"/>
                <w:sz w:val="24"/>
                <w:szCs w:val="24"/>
                <w14:textFill>
                  <w14:solidFill>
                    <w14:schemeClr w14:val="tx1"/>
                  </w14:solidFill>
                </w14:textFill>
              </w:rPr>
            </w:pPr>
          </w:p>
        </w:tc>
      </w:tr>
      <w:tr w14:paraId="02CB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51" w:type="dxa"/>
            <w:vAlign w:val="center"/>
          </w:tcPr>
          <w:p w14:paraId="105185F4">
            <w:pPr>
              <w:ind w:left="-50" w:right="-5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474" w:type="dxa"/>
            <w:vAlign w:val="center"/>
          </w:tcPr>
          <w:p w14:paraId="240074CB">
            <w:pPr>
              <w:ind w:left="-50" w:right="-50"/>
              <w:jc w:val="center"/>
              <w:rPr>
                <w:rFonts w:ascii="仿宋" w:hAnsi="仿宋" w:eastAsia="仿宋" w:cs="仿宋"/>
                <w:color w:val="000000" w:themeColor="text1"/>
                <w:sz w:val="24"/>
                <w:szCs w:val="24"/>
                <w14:textFill>
                  <w14:solidFill>
                    <w14:schemeClr w14:val="tx1"/>
                  </w14:solidFill>
                </w14:textFill>
              </w:rPr>
            </w:pPr>
          </w:p>
        </w:tc>
        <w:tc>
          <w:tcPr>
            <w:tcW w:w="1036" w:type="dxa"/>
            <w:vAlign w:val="center"/>
          </w:tcPr>
          <w:p w14:paraId="5A738B80">
            <w:pPr>
              <w:ind w:left="-50" w:right="-50"/>
              <w:jc w:val="center"/>
              <w:rPr>
                <w:rFonts w:ascii="仿宋" w:hAnsi="仿宋" w:eastAsia="仿宋" w:cs="仿宋"/>
                <w:color w:val="000000" w:themeColor="text1"/>
                <w:sz w:val="24"/>
                <w:szCs w:val="24"/>
                <w14:textFill>
                  <w14:solidFill>
                    <w14:schemeClr w14:val="tx1"/>
                  </w14:solidFill>
                </w14:textFill>
              </w:rPr>
            </w:pPr>
          </w:p>
        </w:tc>
        <w:tc>
          <w:tcPr>
            <w:tcW w:w="1028" w:type="dxa"/>
            <w:vAlign w:val="center"/>
          </w:tcPr>
          <w:p w14:paraId="0F03E1FA">
            <w:pPr>
              <w:ind w:left="-50" w:right="-50"/>
              <w:jc w:val="center"/>
              <w:rPr>
                <w:rFonts w:ascii="仿宋" w:hAnsi="仿宋" w:eastAsia="仿宋" w:cs="仿宋"/>
                <w:color w:val="000000" w:themeColor="text1"/>
                <w:sz w:val="24"/>
                <w:szCs w:val="24"/>
                <w14:textFill>
                  <w14:solidFill>
                    <w14:schemeClr w14:val="tx1"/>
                  </w14:solidFill>
                </w14:textFill>
              </w:rPr>
            </w:pPr>
          </w:p>
        </w:tc>
        <w:tc>
          <w:tcPr>
            <w:tcW w:w="1241" w:type="dxa"/>
            <w:vAlign w:val="center"/>
          </w:tcPr>
          <w:p w14:paraId="76BCA1A7">
            <w:pPr>
              <w:ind w:left="-50" w:right="-50"/>
              <w:jc w:val="center"/>
              <w:rPr>
                <w:rFonts w:ascii="仿宋" w:hAnsi="仿宋" w:eastAsia="仿宋" w:cs="仿宋"/>
                <w:color w:val="000000" w:themeColor="text1"/>
                <w:sz w:val="24"/>
                <w:szCs w:val="24"/>
                <w14:textFill>
                  <w14:solidFill>
                    <w14:schemeClr w14:val="tx1"/>
                  </w14:solidFill>
                </w14:textFill>
              </w:rPr>
            </w:pPr>
          </w:p>
        </w:tc>
        <w:tc>
          <w:tcPr>
            <w:tcW w:w="894" w:type="dxa"/>
            <w:vAlign w:val="center"/>
          </w:tcPr>
          <w:p w14:paraId="21144D3B">
            <w:pPr>
              <w:ind w:left="-50" w:right="-50"/>
              <w:jc w:val="center"/>
              <w:rPr>
                <w:rFonts w:ascii="仿宋" w:hAnsi="仿宋" w:eastAsia="仿宋" w:cs="仿宋"/>
                <w:color w:val="000000" w:themeColor="text1"/>
                <w:sz w:val="24"/>
                <w:szCs w:val="24"/>
                <w14:textFill>
                  <w14:solidFill>
                    <w14:schemeClr w14:val="tx1"/>
                  </w14:solidFill>
                </w14:textFill>
              </w:rPr>
            </w:pPr>
          </w:p>
        </w:tc>
        <w:tc>
          <w:tcPr>
            <w:tcW w:w="999" w:type="dxa"/>
            <w:vAlign w:val="center"/>
          </w:tcPr>
          <w:p w14:paraId="19958BD5">
            <w:pPr>
              <w:ind w:left="-50" w:right="-50"/>
              <w:jc w:val="center"/>
              <w:rPr>
                <w:rFonts w:ascii="仿宋" w:hAnsi="仿宋" w:eastAsia="仿宋" w:cs="仿宋"/>
                <w:color w:val="000000" w:themeColor="text1"/>
                <w:sz w:val="24"/>
                <w:szCs w:val="24"/>
                <w14:textFill>
                  <w14:solidFill>
                    <w14:schemeClr w14:val="tx1"/>
                  </w14:solidFill>
                </w14:textFill>
              </w:rPr>
            </w:pPr>
          </w:p>
        </w:tc>
      </w:tr>
      <w:tr w14:paraId="5CA2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51" w:type="dxa"/>
            <w:vAlign w:val="center"/>
          </w:tcPr>
          <w:p w14:paraId="17F9AE6B">
            <w:pPr>
              <w:ind w:left="-50" w:right="-5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2474" w:type="dxa"/>
            <w:vAlign w:val="center"/>
          </w:tcPr>
          <w:p w14:paraId="4B97CC74">
            <w:pPr>
              <w:ind w:left="-50" w:right="-50"/>
              <w:jc w:val="center"/>
              <w:rPr>
                <w:rFonts w:ascii="仿宋" w:hAnsi="仿宋" w:eastAsia="仿宋" w:cs="仿宋"/>
                <w:color w:val="000000" w:themeColor="text1"/>
                <w:sz w:val="24"/>
                <w:szCs w:val="24"/>
                <w14:textFill>
                  <w14:solidFill>
                    <w14:schemeClr w14:val="tx1"/>
                  </w14:solidFill>
                </w14:textFill>
              </w:rPr>
            </w:pPr>
          </w:p>
        </w:tc>
        <w:tc>
          <w:tcPr>
            <w:tcW w:w="1036" w:type="dxa"/>
            <w:vAlign w:val="center"/>
          </w:tcPr>
          <w:p w14:paraId="61800229">
            <w:pPr>
              <w:ind w:left="-50" w:right="-50"/>
              <w:jc w:val="center"/>
              <w:rPr>
                <w:rFonts w:ascii="仿宋" w:hAnsi="仿宋" w:eastAsia="仿宋" w:cs="仿宋"/>
                <w:color w:val="000000" w:themeColor="text1"/>
                <w:sz w:val="24"/>
                <w:szCs w:val="24"/>
                <w14:textFill>
                  <w14:solidFill>
                    <w14:schemeClr w14:val="tx1"/>
                  </w14:solidFill>
                </w14:textFill>
              </w:rPr>
            </w:pPr>
          </w:p>
        </w:tc>
        <w:tc>
          <w:tcPr>
            <w:tcW w:w="1028" w:type="dxa"/>
            <w:vAlign w:val="center"/>
          </w:tcPr>
          <w:p w14:paraId="412E7E46">
            <w:pPr>
              <w:ind w:left="-50" w:right="-50"/>
              <w:jc w:val="center"/>
              <w:rPr>
                <w:rFonts w:ascii="仿宋" w:hAnsi="仿宋" w:eastAsia="仿宋" w:cs="仿宋"/>
                <w:color w:val="000000" w:themeColor="text1"/>
                <w:sz w:val="24"/>
                <w:szCs w:val="24"/>
                <w14:textFill>
                  <w14:solidFill>
                    <w14:schemeClr w14:val="tx1"/>
                  </w14:solidFill>
                </w14:textFill>
              </w:rPr>
            </w:pPr>
          </w:p>
        </w:tc>
        <w:tc>
          <w:tcPr>
            <w:tcW w:w="1241" w:type="dxa"/>
            <w:vAlign w:val="center"/>
          </w:tcPr>
          <w:p w14:paraId="7EDB7CB8">
            <w:pPr>
              <w:ind w:left="-50" w:right="-50"/>
              <w:jc w:val="center"/>
              <w:rPr>
                <w:rFonts w:ascii="仿宋" w:hAnsi="仿宋" w:eastAsia="仿宋" w:cs="仿宋"/>
                <w:color w:val="000000" w:themeColor="text1"/>
                <w:sz w:val="24"/>
                <w:szCs w:val="24"/>
                <w14:textFill>
                  <w14:solidFill>
                    <w14:schemeClr w14:val="tx1"/>
                  </w14:solidFill>
                </w14:textFill>
              </w:rPr>
            </w:pPr>
          </w:p>
        </w:tc>
        <w:tc>
          <w:tcPr>
            <w:tcW w:w="894" w:type="dxa"/>
            <w:vAlign w:val="center"/>
          </w:tcPr>
          <w:p w14:paraId="060B223A">
            <w:pPr>
              <w:ind w:left="-50" w:right="-50"/>
              <w:jc w:val="center"/>
              <w:rPr>
                <w:rFonts w:ascii="仿宋" w:hAnsi="仿宋" w:eastAsia="仿宋" w:cs="仿宋"/>
                <w:color w:val="000000" w:themeColor="text1"/>
                <w:sz w:val="24"/>
                <w:szCs w:val="24"/>
                <w14:textFill>
                  <w14:solidFill>
                    <w14:schemeClr w14:val="tx1"/>
                  </w14:solidFill>
                </w14:textFill>
              </w:rPr>
            </w:pPr>
          </w:p>
        </w:tc>
        <w:tc>
          <w:tcPr>
            <w:tcW w:w="999" w:type="dxa"/>
            <w:vAlign w:val="center"/>
          </w:tcPr>
          <w:p w14:paraId="19E7816F">
            <w:pPr>
              <w:ind w:left="-50" w:right="-50"/>
              <w:jc w:val="center"/>
              <w:rPr>
                <w:rFonts w:ascii="仿宋" w:hAnsi="仿宋" w:eastAsia="仿宋" w:cs="仿宋"/>
                <w:color w:val="000000" w:themeColor="text1"/>
                <w:sz w:val="24"/>
                <w:szCs w:val="24"/>
                <w14:textFill>
                  <w14:solidFill>
                    <w14:schemeClr w14:val="tx1"/>
                  </w14:solidFill>
                </w14:textFill>
              </w:rPr>
            </w:pPr>
          </w:p>
        </w:tc>
      </w:tr>
      <w:tr w14:paraId="19DA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3" w:type="dxa"/>
            <w:gridSpan w:val="7"/>
            <w:vAlign w:val="center"/>
          </w:tcPr>
          <w:p w14:paraId="3B2D6503">
            <w:pPr>
              <w:ind w:left="-50" w:right="-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合计（总报价）：</w:t>
            </w:r>
          </w:p>
        </w:tc>
      </w:tr>
    </w:tbl>
    <w:p w14:paraId="32133843">
      <w:pPr>
        <w:adjustRightInd w:val="0"/>
        <w:snapToGrid w:val="0"/>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p w14:paraId="571257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注：1、供应商须按照此表格式进行报价，不得有零元或免费赠送报价内容。</w:t>
      </w:r>
    </w:p>
    <w:p w14:paraId="2B6C02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70484776">
      <w:pPr>
        <w:spacing w:line="400" w:lineRule="atLeast"/>
        <w:rPr>
          <w:rFonts w:hint="eastAsia" w:ascii="仿宋" w:hAnsi="仿宋" w:eastAsia="仿宋" w:cs="仿宋"/>
          <w:color w:val="000000" w:themeColor="text1"/>
          <w:sz w:val="24"/>
          <w14:textFill>
            <w14:solidFill>
              <w14:schemeClr w14:val="tx1"/>
            </w14:solidFill>
          </w14:textFill>
        </w:rPr>
      </w:pPr>
    </w:p>
    <w:p w14:paraId="7F600E14">
      <w:pPr>
        <w:spacing w:line="400" w:lineRule="atLeast"/>
        <w:rPr>
          <w:rFonts w:hint="eastAsia" w:ascii="仿宋" w:hAnsi="仿宋" w:eastAsia="仿宋" w:cs="仿宋"/>
          <w:color w:val="000000" w:themeColor="text1"/>
          <w:sz w:val="24"/>
          <w14:textFill>
            <w14:solidFill>
              <w14:schemeClr w14:val="tx1"/>
            </w14:solidFill>
          </w14:textFill>
        </w:rPr>
      </w:pPr>
    </w:p>
    <w:p w14:paraId="588E40AE">
      <w:pPr>
        <w:spacing w:line="400" w:lineRule="atLeast"/>
        <w:rPr>
          <w:rFonts w:hint="eastAsia" w:ascii="仿宋" w:hAnsi="仿宋" w:eastAsia="仿宋" w:cs="仿宋"/>
          <w:color w:val="000000" w:themeColor="text1"/>
          <w:sz w:val="24"/>
          <w14:textFill>
            <w14:solidFill>
              <w14:schemeClr w14:val="tx1"/>
            </w14:solidFill>
          </w14:textFill>
        </w:rPr>
      </w:pPr>
    </w:p>
    <w:p w14:paraId="0441A65B">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B95864F">
      <w:pPr>
        <w:ind w:firstLine="2880" w:firstLineChars="1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5BAF5B5">
      <w:pPr>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br w:type="page"/>
      </w:r>
    </w:p>
    <w:p w14:paraId="2DF1655B">
      <w:pPr>
        <w:pStyle w:val="39"/>
        <w:rPr>
          <w:rFonts w:hint="eastAsia"/>
          <w:color w:val="000000" w:themeColor="text1"/>
          <w14:textFill>
            <w14:solidFill>
              <w14:schemeClr w14:val="tx1"/>
            </w14:solidFill>
          </w14:textFill>
        </w:rPr>
      </w:pPr>
    </w:p>
    <w:p w14:paraId="2E6A1C59">
      <w:pPr>
        <w:pStyle w:val="3"/>
        <w:adjustRightInd w:val="0"/>
        <w:spacing w:line="360" w:lineRule="auto"/>
        <w:textAlignment w:val="baseline"/>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附件  货物简要说明一览表</w:t>
      </w:r>
      <w:bookmarkEnd w:id="388"/>
      <w:bookmarkEnd w:id="389"/>
      <w:bookmarkEnd w:id="390"/>
      <w:bookmarkEnd w:id="391"/>
      <w:bookmarkEnd w:id="392"/>
      <w:bookmarkEnd w:id="393"/>
      <w:bookmarkEnd w:id="394"/>
    </w:p>
    <w:p w14:paraId="4EC7889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页共</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bl>
      <w:tblPr>
        <w:tblStyle w:val="4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819"/>
        <w:gridCol w:w="1438"/>
        <w:gridCol w:w="3191"/>
        <w:gridCol w:w="1122"/>
        <w:gridCol w:w="893"/>
        <w:gridCol w:w="894"/>
      </w:tblGrid>
      <w:tr w14:paraId="6792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jc w:val="center"/>
        </w:trPr>
        <w:tc>
          <w:tcPr>
            <w:tcW w:w="490" w:type="pct"/>
            <w:noWrap w:val="0"/>
            <w:vAlign w:val="center"/>
          </w:tcPr>
          <w:p w14:paraId="593CAEB0">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60" w:type="pct"/>
            <w:noWrap w:val="0"/>
            <w:vAlign w:val="center"/>
          </w:tcPr>
          <w:p w14:paraId="3B1383C0">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1908" w:type="pct"/>
            <w:noWrap w:val="0"/>
            <w:vAlign w:val="center"/>
          </w:tcPr>
          <w:p w14:paraId="513CF73E">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型号规格</w:t>
            </w:r>
          </w:p>
        </w:tc>
        <w:tc>
          <w:tcPr>
            <w:tcW w:w="671" w:type="pct"/>
            <w:noWrap w:val="0"/>
            <w:vAlign w:val="center"/>
          </w:tcPr>
          <w:p w14:paraId="0579D8B7">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生产厂家</w:t>
            </w:r>
          </w:p>
        </w:tc>
        <w:tc>
          <w:tcPr>
            <w:tcW w:w="534" w:type="pct"/>
            <w:noWrap w:val="0"/>
            <w:vAlign w:val="center"/>
          </w:tcPr>
          <w:p w14:paraId="67AF3445">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534" w:type="pct"/>
            <w:noWrap w:val="0"/>
            <w:vAlign w:val="center"/>
          </w:tcPr>
          <w:p w14:paraId="7AEB6A70">
            <w:pPr>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794F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14FE9A2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0AB823E8">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5C68248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2D25992C">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40DA1CD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1D470860">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4426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54E43C16">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7AD27ACE">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75A5385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7286DBA1">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78A6192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643BBDA9">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680F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1660BFB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12BA548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507502A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55982AA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508B18C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61063F3">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1268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73120BF0">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670298F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6F6BBF2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747E95E8">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CDC9D3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7B53B49E">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1278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4E7E7E21">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4A4C0889">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1BC9BBAC">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7FED29C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67F6A6C0">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714432A2">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2D2D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22E4259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6D87C57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20CDAC8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4526C846">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6B3E32E9">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67EA483A">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6081A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3D4914D9">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4D3CC07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3C625B3E">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30E26AC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5DD3FD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46D43D01">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7CF2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203E9F51">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5814F3A0">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5DE169C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04ABF64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11A666B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560EB05D">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1C84C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00" w:hRule="atLeast"/>
          <w:jc w:val="center"/>
        </w:trPr>
        <w:tc>
          <w:tcPr>
            <w:tcW w:w="490" w:type="pct"/>
            <w:noWrap w:val="0"/>
            <w:vAlign w:val="top"/>
          </w:tcPr>
          <w:p w14:paraId="3AE5BBB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3A03751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32B41A3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3EF0C4A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646802E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0D1F37B">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67768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1CB3A3C8">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2C7EBEB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196CC3C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2BE0569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4003DBA6">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02065A54">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0256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588E230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74E0274E">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52C7DBC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62FE67A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0D93CF3E">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284975D">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00D7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490" w:type="pct"/>
            <w:noWrap w:val="0"/>
            <w:vAlign w:val="top"/>
          </w:tcPr>
          <w:p w14:paraId="0695734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860" w:type="pct"/>
            <w:noWrap w:val="0"/>
            <w:vAlign w:val="top"/>
          </w:tcPr>
          <w:p w14:paraId="11F4378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08" w:type="pct"/>
            <w:noWrap w:val="0"/>
            <w:vAlign w:val="top"/>
          </w:tcPr>
          <w:p w14:paraId="28F9F48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671" w:type="pct"/>
            <w:noWrap w:val="0"/>
            <w:vAlign w:val="top"/>
          </w:tcPr>
          <w:p w14:paraId="34445BC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A60F6F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534" w:type="pct"/>
            <w:noWrap w:val="0"/>
            <w:vAlign w:val="top"/>
          </w:tcPr>
          <w:p w14:paraId="3591F653">
            <w:pPr>
              <w:spacing w:line="240" w:lineRule="auto"/>
              <w:jc w:val="center"/>
              <w:rPr>
                <w:rFonts w:hint="eastAsia" w:ascii="仿宋" w:hAnsi="仿宋" w:eastAsia="仿宋" w:cs="仿宋"/>
                <w:color w:val="000000" w:themeColor="text1"/>
                <w:sz w:val="24"/>
                <w14:textFill>
                  <w14:solidFill>
                    <w14:schemeClr w14:val="tx1"/>
                  </w14:solidFill>
                </w14:textFill>
              </w:rPr>
            </w:pPr>
          </w:p>
        </w:tc>
      </w:tr>
    </w:tbl>
    <w:p w14:paraId="3BABA8E0">
      <w:pPr>
        <w:spacing w:line="360" w:lineRule="auto"/>
        <w:rPr>
          <w:rFonts w:hint="eastAsia" w:ascii="仿宋" w:hAnsi="仿宋" w:eastAsia="仿宋" w:cs="仿宋"/>
          <w:color w:val="000000" w:themeColor="text1"/>
          <w:sz w:val="24"/>
          <w:u w:val="single"/>
          <w14:textFill>
            <w14:solidFill>
              <w14:schemeClr w14:val="tx1"/>
            </w14:solidFill>
          </w14:textFill>
        </w:rPr>
      </w:pPr>
    </w:p>
    <w:p w14:paraId="7B65103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相同规格的货物不重复填写</w:t>
      </w:r>
    </w:p>
    <w:p w14:paraId="1CC8E037">
      <w:pPr>
        <w:pStyle w:val="16"/>
        <w:rPr>
          <w:rFonts w:hint="eastAsia" w:ascii="仿宋" w:hAnsi="仿宋" w:eastAsia="仿宋" w:cs="仿宋"/>
          <w:color w:val="000000" w:themeColor="text1"/>
          <w:sz w:val="24"/>
          <w14:textFill>
            <w14:solidFill>
              <w14:schemeClr w14:val="tx1"/>
            </w14:solidFill>
          </w14:textFill>
        </w:rPr>
      </w:pPr>
    </w:p>
    <w:p w14:paraId="3CF670A1">
      <w:pPr>
        <w:rPr>
          <w:rFonts w:hint="eastAsia" w:ascii="仿宋" w:hAnsi="仿宋" w:eastAsia="仿宋" w:cs="仿宋"/>
          <w:color w:val="000000" w:themeColor="text1"/>
          <w:sz w:val="24"/>
          <w14:textFill>
            <w14:solidFill>
              <w14:schemeClr w14:val="tx1"/>
            </w14:solidFill>
          </w14:textFill>
        </w:rPr>
      </w:pPr>
    </w:p>
    <w:p w14:paraId="5A26A618">
      <w:pPr>
        <w:pStyle w:val="16"/>
        <w:rPr>
          <w:rFonts w:hint="eastAsia" w:ascii="仿宋" w:hAnsi="仿宋" w:eastAsia="仿宋" w:cs="仿宋"/>
          <w:color w:val="000000" w:themeColor="text1"/>
          <w:sz w:val="24"/>
          <w14:textFill>
            <w14:solidFill>
              <w14:schemeClr w14:val="tx1"/>
            </w14:solidFill>
          </w14:textFill>
        </w:rPr>
      </w:pPr>
    </w:p>
    <w:p w14:paraId="22BF6C05">
      <w:pPr>
        <w:rPr>
          <w:rFonts w:hint="eastAsia" w:ascii="仿宋" w:hAnsi="仿宋" w:eastAsia="仿宋" w:cs="仿宋"/>
          <w:color w:val="000000" w:themeColor="text1"/>
          <w14:textFill>
            <w14:solidFill>
              <w14:schemeClr w14:val="tx1"/>
            </w14:solidFill>
          </w14:textFill>
        </w:rPr>
      </w:pPr>
    </w:p>
    <w:p w14:paraId="3A32195E">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7DA8331">
      <w:pPr>
        <w:spacing w:line="360" w:lineRule="auto"/>
        <w:ind w:right="-161" w:firstLine="2640" w:firstLineChars="1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C36BF72">
      <w:pPr>
        <w:spacing w:line="360" w:lineRule="auto"/>
        <w:rPr>
          <w:rFonts w:hint="eastAsia" w:ascii="仿宋" w:hAnsi="仿宋" w:eastAsia="仿宋" w:cs="仿宋"/>
          <w:color w:val="000000" w:themeColor="text1"/>
          <w:sz w:val="24"/>
          <w:szCs w:val="24"/>
          <w14:textFill>
            <w14:solidFill>
              <w14:schemeClr w14:val="tx1"/>
            </w14:solidFill>
          </w14:textFill>
        </w:rPr>
      </w:pPr>
    </w:p>
    <w:p w14:paraId="7173CED3">
      <w:pPr>
        <w:pStyle w:val="25"/>
        <w:spacing w:line="360" w:lineRule="auto"/>
        <w:rPr>
          <w:rFonts w:hint="eastAsia" w:ascii="仿宋" w:hAnsi="仿宋" w:eastAsia="仿宋" w:cs="仿宋"/>
          <w:color w:val="000000" w:themeColor="text1"/>
          <w14:textFill>
            <w14:solidFill>
              <w14:schemeClr w14:val="tx1"/>
            </w14:solidFill>
          </w14:textFill>
        </w:rPr>
      </w:pPr>
    </w:p>
    <w:p w14:paraId="4E887CB4">
      <w:pPr>
        <w:pStyle w:val="25"/>
        <w:spacing w:line="360" w:lineRule="auto"/>
        <w:rPr>
          <w:rFonts w:hint="eastAsia" w:ascii="仿宋" w:hAnsi="仿宋" w:eastAsia="仿宋" w:cs="仿宋"/>
          <w:color w:val="000000" w:themeColor="text1"/>
          <w14:textFill>
            <w14:solidFill>
              <w14:schemeClr w14:val="tx1"/>
            </w14:solidFill>
          </w14:textFill>
        </w:rPr>
      </w:pPr>
    </w:p>
    <w:p w14:paraId="35DD57EE">
      <w:pPr>
        <w:pStyle w:val="25"/>
        <w:spacing w:line="360" w:lineRule="auto"/>
        <w:rPr>
          <w:rFonts w:hint="eastAsia" w:ascii="仿宋" w:hAnsi="仿宋" w:eastAsia="仿宋" w:cs="仿宋"/>
          <w:color w:val="000000" w:themeColor="text1"/>
          <w14:textFill>
            <w14:solidFill>
              <w14:schemeClr w14:val="tx1"/>
            </w14:solidFill>
          </w14:textFill>
        </w:rPr>
      </w:pPr>
    </w:p>
    <w:p w14:paraId="1E3DB782">
      <w:pPr>
        <w:pStyle w:val="25"/>
        <w:spacing w:line="360" w:lineRule="auto"/>
        <w:rPr>
          <w:rFonts w:hint="eastAsia" w:ascii="仿宋" w:hAnsi="仿宋" w:eastAsia="仿宋" w:cs="仿宋"/>
          <w:color w:val="000000" w:themeColor="text1"/>
          <w14:textFill>
            <w14:solidFill>
              <w14:schemeClr w14:val="tx1"/>
            </w14:solidFill>
          </w14:textFill>
        </w:rPr>
      </w:pPr>
    </w:p>
    <w:bookmarkEnd w:id="395"/>
    <w:bookmarkEnd w:id="396"/>
    <w:bookmarkEnd w:id="397"/>
    <w:bookmarkEnd w:id="398"/>
    <w:bookmarkEnd w:id="399"/>
    <w:bookmarkEnd w:id="400"/>
    <w:bookmarkEnd w:id="401"/>
    <w:bookmarkEnd w:id="402"/>
    <w:bookmarkEnd w:id="403"/>
    <w:p w14:paraId="00895C02">
      <w:pPr>
        <w:pStyle w:val="3"/>
        <w:adjustRightInd w:val="0"/>
        <w:spacing w:line="416" w:lineRule="atLeast"/>
        <w:textAlignment w:val="baseline"/>
        <w:rPr>
          <w:rFonts w:hint="eastAsia" w:ascii="仿宋" w:hAnsi="仿宋" w:eastAsia="仿宋" w:cs="仿宋"/>
          <w:color w:val="000000" w:themeColor="text1"/>
          <w:sz w:val="24"/>
          <w:highlight w:val="none"/>
          <w14:textFill>
            <w14:solidFill>
              <w14:schemeClr w14:val="tx1"/>
            </w14:solidFill>
          </w14:textFill>
        </w:rPr>
      </w:pPr>
      <w:bookmarkStart w:id="404" w:name="_Toc22718"/>
      <w:bookmarkStart w:id="405" w:name="_Toc14727"/>
      <w:bookmarkStart w:id="406" w:name="_Toc18655"/>
      <w:bookmarkStart w:id="407" w:name="_Toc8343"/>
      <w:bookmarkStart w:id="408" w:name="_Toc30253"/>
      <w:bookmarkStart w:id="409" w:name="_Toc29521"/>
      <w:bookmarkStart w:id="410" w:name="_Toc11295"/>
      <w:bookmarkStart w:id="411" w:name="_Toc22946"/>
      <w:bookmarkStart w:id="412" w:name="_Toc233435988"/>
      <w:bookmarkStart w:id="413" w:name="_Toc492955465"/>
      <w:bookmarkStart w:id="414" w:name="_Toc497551826"/>
      <w:bookmarkStart w:id="415" w:name="_Toc497712139"/>
      <w:bookmarkStart w:id="416" w:name="_Toc389620246"/>
      <w:bookmarkStart w:id="417" w:name="_Toc497546924"/>
      <w:bookmarkStart w:id="418" w:name="_Toc385992406"/>
      <w:bookmarkStart w:id="419" w:name="_Toc497711591"/>
      <w:r>
        <w:rPr>
          <w:rFonts w:hint="eastAsia" w:ascii="仿宋" w:hAnsi="仿宋" w:eastAsia="仿宋" w:cs="仿宋"/>
          <w:color w:val="000000" w:themeColor="text1"/>
          <w:highlight w:val="none"/>
          <w14:textFill>
            <w14:solidFill>
              <w14:schemeClr w14:val="tx1"/>
            </w14:solidFill>
          </w14:textFill>
        </w:rPr>
        <w:t>附件  商务偏离表</w:t>
      </w:r>
      <w:bookmarkEnd w:id="404"/>
      <w:bookmarkEnd w:id="405"/>
    </w:p>
    <w:tbl>
      <w:tblPr>
        <w:tblStyle w:val="4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279"/>
        <w:gridCol w:w="2367"/>
        <w:gridCol w:w="2287"/>
        <w:gridCol w:w="1181"/>
        <w:gridCol w:w="1245"/>
      </w:tblGrid>
      <w:tr w14:paraId="3C9B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765" w:type="pct"/>
            <w:noWrap w:val="0"/>
            <w:vAlign w:val="center"/>
          </w:tcPr>
          <w:p w14:paraId="2505946D">
            <w:pPr>
              <w:spacing w:line="400" w:lineRule="atLeast"/>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商务条款</w:t>
            </w:r>
          </w:p>
        </w:tc>
        <w:tc>
          <w:tcPr>
            <w:tcW w:w="1415" w:type="pct"/>
            <w:noWrap w:val="0"/>
            <w:vAlign w:val="center"/>
          </w:tcPr>
          <w:p w14:paraId="329AE2BB">
            <w:pPr>
              <w:spacing w:line="400" w:lineRule="atLeast"/>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招标</w:t>
            </w:r>
            <w:r>
              <w:rPr>
                <w:rFonts w:hint="eastAsia" w:ascii="仿宋" w:hAnsi="仿宋" w:eastAsia="仿宋" w:cs="仿宋"/>
                <w:b/>
                <w:bCs w:val="0"/>
                <w:color w:val="000000" w:themeColor="text1"/>
                <w:sz w:val="24"/>
                <w:highlight w:val="none"/>
                <w14:textFill>
                  <w14:solidFill>
                    <w14:schemeClr w14:val="tx1"/>
                  </w14:solidFill>
                </w14:textFill>
              </w:rPr>
              <w:t>文件商务要求</w:t>
            </w:r>
          </w:p>
        </w:tc>
        <w:tc>
          <w:tcPr>
            <w:tcW w:w="1367" w:type="pct"/>
            <w:noWrap w:val="0"/>
            <w:vAlign w:val="center"/>
          </w:tcPr>
          <w:p w14:paraId="6392635A">
            <w:pPr>
              <w:spacing w:line="400" w:lineRule="atLeast"/>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投标</w:t>
            </w:r>
            <w:r>
              <w:rPr>
                <w:rFonts w:hint="eastAsia" w:ascii="仿宋" w:hAnsi="仿宋" w:eastAsia="仿宋" w:cs="仿宋"/>
                <w:b/>
                <w:bCs w:val="0"/>
                <w:color w:val="000000" w:themeColor="text1"/>
                <w:sz w:val="24"/>
                <w:highlight w:val="none"/>
                <w14:textFill>
                  <w14:solidFill>
                    <w14:schemeClr w14:val="tx1"/>
                  </w14:solidFill>
                </w14:textFill>
              </w:rPr>
              <w:t>文件商务响应</w:t>
            </w:r>
          </w:p>
        </w:tc>
        <w:tc>
          <w:tcPr>
            <w:tcW w:w="706" w:type="pct"/>
            <w:noWrap w:val="0"/>
            <w:vAlign w:val="center"/>
          </w:tcPr>
          <w:p w14:paraId="182BAB02">
            <w:pPr>
              <w:spacing w:line="400" w:lineRule="atLeast"/>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偏离</w:t>
            </w:r>
          </w:p>
        </w:tc>
        <w:tc>
          <w:tcPr>
            <w:tcW w:w="744" w:type="pct"/>
            <w:noWrap w:val="0"/>
            <w:vAlign w:val="center"/>
          </w:tcPr>
          <w:p w14:paraId="061ACF18">
            <w:pPr>
              <w:spacing w:line="400" w:lineRule="atLeast"/>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说明</w:t>
            </w:r>
          </w:p>
        </w:tc>
      </w:tr>
      <w:tr w14:paraId="4AC8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5B9171CD">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415" w:type="pct"/>
            <w:noWrap w:val="0"/>
            <w:vAlign w:val="center"/>
          </w:tcPr>
          <w:p w14:paraId="38C3D5A3">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2B34A2F6">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64DD021F">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6568D90D">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1BDE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6EAC6CCC">
            <w:pPr>
              <w:spacing w:line="400" w:lineRule="atLeast"/>
              <w:jc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415" w:type="pct"/>
            <w:noWrap w:val="0"/>
            <w:vAlign w:val="center"/>
          </w:tcPr>
          <w:p w14:paraId="3690A5B5">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62CAB9F5">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5E4E49D8">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7A0F09FA">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0543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74DBF074">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415" w:type="pct"/>
            <w:noWrap w:val="0"/>
            <w:vAlign w:val="center"/>
          </w:tcPr>
          <w:p w14:paraId="248C32B3">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4FF7A7E4">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47961E6C">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77D92D49">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5129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235885B5">
            <w:pPr>
              <w:spacing w:line="400" w:lineRule="atLeast"/>
              <w:jc w:val="center"/>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p>
        </w:tc>
        <w:tc>
          <w:tcPr>
            <w:tcW w:w="1415" w:type="pct"/>
            <w:noWrap w:val="0"/>
            <w:vAlign w:val="center"/>
          </w:tcPr>
          <w:p w14:paraId="3259A870">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130D882B">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5E0C40AB">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0EE16FDB">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0593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13F87D0D">
            <w:pPr>
              <w:spacing w:line="400" w:lineRule="atLeast"/>
              <w:jc w:val="center"/>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p>
        </w:tc>
        <w:tc>
          <w:tcPr>
            <w:tcW w:w="1415" w:type="pct"/>
            <w:noWrap w:val="0"/>
            <w:vAlign w:val="center"/>
          </w:tcPr>
          <w:p w14:paraId="4EA23AF4">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2A41A554">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1FC22CD2">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74C6131A">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26CB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1322A381">
            <w:pPr>
              <w:spacing w:line="400" w:lineRule="atLeast"/>
              <w:jc w:val="center"/>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p>
        </w:tc>
        <w:tc>
          <w:tcPr>
            <w:tcW w:w="1415" w:type="pct"/>
            <w:noWrap w:val="0"/>
            <w:vAlign w:val="center"/>
          </w:tcPr>
          <w:p w14:paraId="1721133F">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3A075886">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08A2476A">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5F558E50">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r w14:paraId="18FE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65" w:type="pct"/>
            <w:noWrap w:val="0"/>
            <w:vAlign w:val="center"/>
          </w:tcPr>
          <w:p w14:paraId="7B8DA639">
            <w:pPr>
              <w:spacing w:line="400" w:lineRule="atLeast"/>
              <w:jc w:val="center"/>
              <w:rPr>
                <w:rFonts w:hint="eastAsia" w:ascii="仿宋" w:hAnsi="仿宋" w:eastAsia="仿宋" w:cs="仿宋"/>
                <w:color w:val="000000" w:themeColor="text1"/>
                <w:sz w:val="24"/>
                <w:szCs w:val="22"/>
                <w:highlight w:val="none"/>
                <w14:textFill>
                  <w14:solidFill>
                    <w14:schemeClr w14:val="tx1"/>
                  </w14:solidFill>
                </w14:textFill>
              </w:rPr>
            </w:pPr>
          </w:p>
        </w:tc>
        <w:tc>
          <w:tcPr>
            <w:tcW w:w="1415" w:type="pct"/>
            <w:noWrap w:val="0"/>
            <w:vAlign w:val="center"/>
          </w:tcPr>
          <w:p w14:paraId="427F2EED">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1367" w:type="pct"/>
            <w:noWrap w:val="0"/>
            <w:vAlign w:val="center"/>
          </w:tcPr>
          <w:p w14:paraId="4B667E6D">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06" w:type="pct"/>
            <w:noWrap w:val="0"/>
            <w:vAlign w:val="center"/>
          </w:tcPr>
          <w:p w14:paraId="0B9A9CB3">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c>
          <w:tcPr>
            <w:tcW w:w="744" w:type="pct"/>
            <w:noWrap w:val="0"/>
            <w:vAlign w:val="center"/>
          </w:tcPr>
          <w:p w14:paraId="453FA99A">
            <w:pPr>
              <w:spacing w:line="400" w:lineRule="atLeast"/>
              <w:jc w:val="center"/>
              <w:rPr>
                <w:rFonts w:hint="eastAsia" w:ascii="仿宋" w:hAnsi="仿宋" w:eastAsia="仿宋" w:cs="仿宋"/>
                <w:color w:val="000000" w:themeColor="text1"/>
                <w:sz w:val="24"/>
                <w:highlight w:val="none"/>
                <w14:textFill>
                  <w14:solidFill>
                    <w14:schemeClr w14:val="tx1"/>
                  </w14:solidFill>
                </w14:textFill>
              </w:rPr>
            </w:pPr>
          </w:p>
        </w:tc>
      </w:tr>
    </w:tbl>
    <w:p w14:paraId="66F31ACF">
      <w:pPr>
        <w:spacing w:line="400" w:lineRule="atLeast"/>
        <w:rPr>
          <w:rFonts w:hint="eastAsia" w:ascii="仿宋" w:hAnsi="仿宋" w:eastAsia="仿宋" w:cs="仿宋"/>
          <w:color w:val="000000" w:themeColor="text1"/>
          <w:sz w:val="24"/>
          <w:highlight w:val="none"/>
          <w14:textFill>
            <w14:solidFill>
              <w14:schemeClr w14:val="tx1"/>
            </w14:solidFill>
          </w14:textFill>
        </w:rPr>
      </w:pPr>
    </w:p>
    <w:p w14:paraId="6ABD840D">
      <w:pPr>
        <w:spacing w:line="40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582D5926">
      <w:pPr>
        <w:spacing w:line="40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1、本表只填写投标文件中与招标文件有偏离的内容，投标文件中</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条款响应与招标文件要求完全一致的，不用在此表中列出，但必须提交空白表（需签字盖章）。</w:t>
      </w:r>
    </w:p>
    <w:p w14:paraId="24159C46">
      <w:pPr>
        <w:spacing w:line="40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2、投标人必须据实填写，不得虚假响应，否则将取消其投标或中标资格，并按有关规定进处罚。</w:t>
      </w:r>
    </w:p>
    <w:p w14:paraId="0D07B939">
      <w:pPr>
        <w:spacing w:line="400" w:lineRule="atLeast"/>
        <w:ind w:left="720" w:hanging="720"/>
        <w:rPr>
          <w:rFonts w:hint="eastAsia" w:ascii="仿宋" w:hAnsi="仿宋" w:eastAsia="仿宋" w:cs="仿宋"/>
          <w:color w:val="000000" w:themeColor="text1"/>
          <w:sz w:val="24"/>
          <w:highlight w:val="none"/>
          <w14:textFill>
            <w14:solidFill>
              <w14:schemeClr w14:val="tx1"/>
            </w14:solidFill>
          </w14:textFill>
        </w:rPr>
      </w:pPr>
    </w:p>
    <w:p w14:paraId="3BAAE0AC">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bookmarkStart w:id="420" w:name="_Hlt491572882"/>
      <w:bookmarkEnd w:id="420"/>
      <w:bookmarkStart w:id="421" w:name="_Hlt491573425"/>
      <w:bookmarkEnd w:id="421"/>
      <w:bookmarkStart w:id="422" w:name="_Hlt491765868"/>
      <w:bookmarkEnd w:id="422"/>
      <w:bookmarkStart w:id="423" w:name="_Hlt491765944"/>
      <w:bookmarkEnd w:id="423"/>
      <w:bookmarkStart w:id="424" w:name="_Hlt491766019"/>
      <w:bookmarkEnd w:id="424"/>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8E252A0">
      <w:pPr>
        <w:spacing w:line="360" w:lineRule="auto"/>
        <w:jc w:val="center"/>
        <w:outlineLvl w:val="9"/>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1FA7621">
      <w:pPr>
        <w:pStyle w:val="3"/>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br w:type="page"/>
      </w:r>
      <w:bookmarkStart w:id="425" w:name="_Toc16320"/>
      <w:r>
        <w:rPr>
          <w:rFonts w:hint="eastAsia" w:ascii="仿宋" w:hAnsi="仿宋" w:eastAsia="仿宋" w:cs="仿宋"/>
          <w:color w:val="000000" w:themeColor="text1"/>
          <w14:textFill>
            <w14:solidFill>
              <w14:schemeClr w14:val="tx1"/>
            </w14:solidFill>
          </w14:textFill>
        </w:rPr>
        <w:t>附件  技术参数偏离表</w:t>
      </w:r>
      <w:bookmarkEnd w:id="406"/>
      <w:bookmarkEnd w:id="407"/>
      <w:bookmarkEnd w:id="408"/>
      <w:bookmarkEnd w:id="409"/>
      <w:bookmarkEnd w:id="410"/>
      <w:bookmarkEnd w:id="411"/>
      <w:bookmarkEnd w:id="425"/>
    </w:p>
    <w:tbl>
      <w:tblPr>
        <w:tblStyle w:val="40"/>
        <w:tblW w:w="8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13"/>
        <w:gridCol w:w="2287"/>
        <w:gridCol w:w="1980"/>
        <w:gridCol w:w="1620"/>
        <w:gridCol w:w="1440"/>
      </w:tblGrid>
      <w:tr w14:paraId="49B7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0" w:hRule="atLeast"/>
          <w:jc w:val="center"/>
        </w:trPr>
        <w:tc>
          <w:tcPr>
            <w:tcW w:w="1313" w:type="dxa"/>
            <w:noWrap w:val="0"/>
            <w:vAlign w:val="center"/>
          </w:tcPr>
          <w:p w14:paraId="4D75CAAE">
            <w:pPr>
              <w:spacing w:line="24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货物名称</w:t>
            </w:r>
          </w:p>
        </w:tc>
        <w:tc>
          <w:tcPr>
            <w:tcW w:w="2287" w:type="dxa"/>
            <w:noWrap w:val="0"/>
            <w:vAlign w:val="center"/>
          </w:tcPr>
          <w:p w14:paraId="0D975297">
            <w:pPr>
              <w:spacing w:line="24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招标参数</w:t>
            </w:r>
          </w:p>
        </w:tc>
        <w:tc>
          <w:tcPr>
            <w:tcW w:w="1980" w:type="dxa"/>
            <w:noWrap w:val="0"/>
            <w:vAlign w:val="center"/>
          </w:tcPr>
          <w:p w14:paraId="61034EC6">
            <w:pPr>
              <w:spacing w:line="24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投标参数</w:t>
            </w:r>
          </w:p>
        </w:tc>
        <w:tc>
          <w:tcPr>
            <w:tcW w:w="1620" w:type="dxa"/>
            <w:noWrap w:val="0"/>
            <w:vAlign w:val="center"/>
          </w:tcPr>
          <w:p w14:paraId="66536EB0">
            <w:pPr>
              <w:spacing w:line="240" w:lineRule="auto"/>
              <w:jc w:val="center"/>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w:t>
            </w:r>
            <w:r>
              <w:rPr>
                <w:rFonts w:hint="eastAsia" w:ascii="仿宋" w:hAnsi="仿宋" w:eastAsia="仿宋" w:cs="仿宋"/>
                <w:b/>
                <w:bCs/>
                <w:color w:val="000000" w:themeColor="text1"/>
                <w:sz w:val="24"/>
                <w:lang w:eastAsia="zh-CN"/>
                <w14:textFill>
                  <w14:solidFill>
                    <w14:schemeClr w14:val="tx1"/>
                  </w14:solidFill>
                </w14:textFill>
              </w:rPr>
              <w:t>情况</w:t>
            </w:r>
          </w:p>
        </w:tc>
        <w:tc>
          <w:tcPr>
            <w:tcW w:w="1440" w:type="dxa"/>
            <w:noWrap w:val="0"/>
            <w:vAlign w:val="center"/>
          </w:tcPr>
          <w:p w14:paraId="2F6E8C36">
            <w:pPr>
              <w:spacing w:line="24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说明</w:t>
            </w:r>
          </w:p>
        </w:tc>
      </w:tr>
      <w:tr w14:paraId="6BD9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67F672C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71E890C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4733A1F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2E9895E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4CE66530">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09B4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55CC8F2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4805D82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34F31FF3">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36C3D5F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44660989">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5A66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0F327B4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7479BB57">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7A42CE44">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53459F2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022A6464">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2B7DC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7A1186B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4DD9C9EC">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0E14BB56">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72B3B3FD">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1708574C">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0C55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1651E1DF">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6E590070">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7B003721">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2B4772D5">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664EB533">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7F8E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20" w:hRule="atLeast"/>
          <w:jc w:val="center"/>
        </w:trPr>
        <w:tc>
          <w:tcPr>
            <w:tcW w:w="1313" w:type="dxa"/>
            <w:noWrap w:val="0"/>
            <w:vAlign w:val="center"/>
          </w:tcPr>
          <w:p w14:paraId="511F6B1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056C67A9">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16003F4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09FD8DCF">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0A81023C">
            <w:pPr>
              <w:spacing w:line="240" w:lineRule="auto"/>
              <w:jc w:val="center"/>
              <w:rPr>
                <w:rFonts w:hint="eastAsia" w:ascii="仿宋" w:hAnsi="仿宋" w:eastAsia="仿宋" w:cs="仿宋"/>
                <w:color w:val="000000" w:themeColor="text1"/>
                <w:sz w:val="24"/>
                <w14:textFill>
                  <w14:solidFill>
                    <w14:schemeClr w14:val="tx1"/>
                  </w14:solidFill>
                </w14:textFill>
              </w:rPr>
            </w:pPr>
          </w:p>
        </w:tc>
      </w:tr>
      <w:tr w14:paraId="3190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13" w:type="dxa"/>
            <w:noWrap w:val="0"/>
            <w:vAlign w:val="center"/>
          </w:tcPr>
          <w:p w14:paraId="48EF0A92">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2287" w:type="dxa"/>
            <w:noWrap w:val="0"/>
            <w:vAlign w:val="center"/>
          </w:tcPr>
          <w:p w14:paraId="22A02BB1">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980" w:type="dxa"/>
            <w:noWrap w:val="0"/>
            <w:vAlign w:val="center"/>
          </w:tcPr>
          <w:p w14:paraId="5F0695DA">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620" w:type="dxa"/>
            <w:noWrap w:val="0"/>
            <w:vAlign w:val="center"/>
          </w:tcPr>
          <w:p w14:paraId="6859AFFB">
            <w:pPr>
              <w:spacing w:line="240" w:lineRule="auto"/>
              <w:jc w:val="center"/>
              <w:rPr>
                <w:rFonts w:hint="eastAsia" w:ascii="仿宋" w:hAnsi="仿宋" w:eastAsia="仿宋" w:cs="仿宋"/>
                <w:color w:val="000000" w:themeColor="text1"/>
                <w:sz w:val="24"/>
                <w14:textFill>
                  <w14:solidFill>
                    <w14:schemeClr w14:val="tx1"/>
                  </w14:solidFill>
                </w14:textFill>
              </w:rPr>
            </w:pPr>
          </w:p>
        </w:tc>
        <w:tc>
          <w:tcPr>
            <w:tcW w:w="1440" w:type="dxa"/>
            <w:noWrap w:val="0"/>
            <w:vAlign w:val="center"/>
          </w:tcPr>
          <w:p w14:paraId="5972967A">
            <w:pPr>
              <w:spacing w:line="240" w:lineRule="auto"/>
              <w:jc w:val="center"/>
              <w:rPr>
                <w:rFonts w:hint="eastAsia" w:ascii="仿宋" w:hAnsi="仿宋" w:eastAsia="仿宋" w:cs="仿宋"/>
                <w:color w:val="000000" w:themeColor="text1"/>
                <w:sz w:val="24"/>
                <w14:textFill>
                  <w14:solidFill>
                    <w14:schemeClr w14:val="tx1"/>
                  </w14:solidFill>
                </w14:textFill>
              </w:rPr>
            </w:pPr>
          </w:p>
        </w:tc>
      </w:tr>
    </w:tbl>
    <w:p w14:paraId="19458437">
      <w:pPr>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w:t>
      </w:r>
    </w:p>
    <w:p w14:paraId="19146E18">
      <w:pPr>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1、本表参数</w:t>
      </w:r>
      <w:r>
        <w:rPr>
          <w:rFonts w:hint="eastAsia" w:ascii="仿宋" w:hAnsi="仿宋" w:eastAsia="仿宋" w:cs="仿宋"/>
          <w:bCs/>
          <w:color w:val="000000" w:themeColor="text1"/>
          <w:sz w:val="24"/>
          <w:szCs w:val="24"/>
          <w:lang w:eastAsia="zh-CN"/>
          <w14:textFill>
            <w14:solidFill>
              <w14:schemeClr w14:val="tx1"/>
            </w14:solidFill>
          </w14:textFill>
        </w:rPr>
        <w:t>须</w:t>
      </w:r>
      <w:r>
        <w:rPr>
          <w:rFonts w:hint="eastAsia" w:ascii="仿宋" w:hAnsi="仿宋" w:eastAsia="仿宋" w:cs="仿宋"/>
          <w:bCs/>
          <w:color w:val="000000" w:themeColor="text1"/>
          <w:sz w:val="24"/>
          <w:szCs w:val="24"/>
          <w14:textFill>
            <w14:solidFill>
              <w14:schemeClr w14:val="tx1"/>
            </w14:solidFill>
          </w14:textFill>
        </w:rPr>
        <w:t>逐条响应</w:t>
      </w:r>
      <w:r>
        <w:rPr>
          <w:rFonts w:hint="eastAsia" w:ascii="仿宋" w:hAnsi="仿宋" w:eastAsia="仿宋" w:cs="仿宋"/>
          <w:bCs/>
          <w:color w:val="000000" w:themeColor="text1"/>
          <w:sz w:val="24"/>
          <w:szCs w:val="24"/>
          <w:lang w:eastAsia="zh-CN"/>
          <w14:textFill>
            <w14:solidFill>
              <w14:schemeClr w14:val="tx1"/>
            </w14:solidFill>
          </w14:textFill>
        </w:rPr>
        <w:t>，并在上述偏离表中详细列明正偏离、负偏离、无偏离</w:t>
      </w:r>
      <w:r>
        <w:rPr>
          <w:rFonts w:hint="eastAsia" w:ascii="仿宋" w:hAnsi="仿宋" w:eastAsia="仿宋" w:cs="仿宋"/>
          <w:bCs/>
          <w:color w:val="000000" w:themeColor="text1"/>
          <w:sz w:val="24"/>
          <w:szCs w:val="24"/>
          <w14:textFill>
            <w14:solidFill>
              <w14:schemeClr w14:val="tx1"/>
            </w14:solidFill>
          </w14:textFill>
        </w:rPr>
        <w:t>。</w:t>
      </w:r>
    </w:p>
    <w:p w14:paraId="09ED47F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2、投标人必须据实填写，不得虚假响应，否则将取消其投标或中标资格，并按有关规定进处罚。</w:t>
      </w:r>
    </w:p>
    <w:p w14:paraId="1436086C">
      <w:pPr>
        <w:pStyle w:val="25"/>
        <w:spacing w:line="360" w:lineRule="auto"/>
        <w:rPr>
          <w:rFonts w:hint="eastAsia" w:ascii="仿宋" w:hAnsi="仿宋" w:eastAsia="仿宋" w:cs="仿宋"/>
          <w:color w:val="000000" w:themeColor="text1"/>
          <w14:textFill>
            <w14:solidFill>
              <w14:schemeClr w14:val="tx1"/>
            </w14:solidFill>
          </w14:textFill>
        </w:rPr>
      </w:pPr>
    </w:p>
    <w:p w14:paraId="49738C2D">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DC3FB5B">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0EE9E33">
      <w:pPr>
        <w:pStyle w:val="25"/>
        <w:rPr>
          <w:rFonts w:hint="eastAsia" w:ascii="仿宋" w:hAnsi="仿宋" w:eastAsia="仿宋" w:cs="仿宋"/>
          <w:color w:val="000000" w:themeColor="text1"/>
          <w:sz w:val="24"/>
          <w:szCs w:val="24"/>
          <w:u w:val="single"/>
          <w14:textFill>
            <w14:solidFill>
              <w14:schemeClr w14:val="tx1"/>
            </w14:solidFill>
          </w14:textFill>
        </w:rPr>
      </w:pPr>
    </w:p>
    <w:p w14:paraId="2F097EB0">
      <w:pPr>
        <w:pStyle w:val="25"/>
        <w:rPr>
          <w:rFonts w:hint="eastAsia" w:ascii="仿宋" w:hAnsi="仿宋" w:eastAsia="仿宋" w:cs="仿宋"/>
          <w:color w:val="000000" w:themeColor="text1"/>
          <w:sz w:val="24"/>
          <w:szCs w:val="24"/>
          <w:u w:val="single"/>
          <w14:textFill>
            <w14:solidFill>
              <w14:schemeClr w14:val="tx1"/>
            </w14:solidFill>
          </w14:textFill>
        </w:rPr>
      </w:pPr>
    </w:p>
    <w:p w14:paraId="23982F78">
      <w:pPr>
        <w:pStyle w:val="25"/>
        <w:rPr>
          <w:rFonts w:hint="eastAsia" w:ascii="仿宋" w:hAnsi="仿宋" w:eastAsia="仿宋" w:cs="仿宋"/>
          <w:color w:val="000000" w:themeColor="text1"/>
          <w:sz w:val="24"/>
          <w:szCs w:val="24"/>
          <w:u w:val="single"/>
          <w14:textFill>
            <w14:solidFill>
              <w14:schemeClr w14:val="tx1"/>
            </w14:solidFill>
          </w14:textFill>
        </w:rPr>
      </w:pPr>
    </w:p>
    <w:p w14:paraId="4710AC94">
      <w:pPr>
        <w:pStyle w:val="25"/>
        <w:rPr>
          <w:rFonts w:hint="eastAsia" w:ascii="仿宋" w:hAnsi="仿宋" w:eastAsia="仿宋" w:cs="仿宋"/>
          <w:color w:val="000000" w:themeColor="text1"/>
          <w:sz w:val="24"/>
          <w:szCs w:val="24"/>
          <w:u w:val="single"/>
          <w14:textFill>
            <w14:solidFill>
              <w14:schemeClr w14:val="tx1"/>
            </w14:solidFill>
          </w14:textFill>
        </w:rPr>
      </w:pPr>
    </w:p>
    <w:p w14:paraId="70958F3B">
      <w:pPr>
        <w:pStyle w:val="25"/>
        <w:rPr>
          <w:rFonts w:hint="eastAsia" w:ascii="仿宋" w:hAnsi="仿宋" w:eastAsia="仿宋" w:cs="仿宋"/>
          <w:color w:val="000000" w:themeColor="text1"/>
          <w:sz w:val="24"/>
          <w:szCs w:val="24"/>
          <w:u w:val="single"/>
          <w14:textFill>
            <w14:solidFill>
              <w14:schemeClr w14:val="tx1"/>
            </w14:solidFill>
          </w14:textFill>
        </w:rPr>
      </w:pPr>
    </w:p>
    <w:p w14:paraId="53C17B2E">
      <w:pPr>
        <w:pStyle w:val="25"/>
        <w:rPr>
          <w:rFonts w:hint="eastAsia" w:ascii="仿宋" w:hAnsi="仿宋" w:eastAsia="仿宋" w:cs="仿宋"/>
          <w:color w:val="000000" w:themeColor="text1"/>
          <w:sz w:val="24"/>
          <w:szCs w:val="24"/>
          <w:u w:val="single"/>
          <w14:textFill>
            <w14:solidFill>
              <w14:schemeClr w14:val="tx1"/>
            </w14:solidFill>
          </w14:textFill>
        </w:rPr>
      </w:pPr>
    </w:p>
    <w:p w14:paraId="48F7EE25">
      <w:pPr>
        <w:pStyle w:val="25"/>
        <w:rPr>
          <w:rFonts w:hint="eastAsia" w:ascii="仿宋" w:hAnsi="仿宋" w:eastAsia="仿宋" w:cs="仿宋"/>
          <w:color w:val="000000" w:themeColor="text1"/>
          <w:sz w:val="24"/>
          <w:szCs w:val="24"/>
          <w:u w:val="single"/>
          <w14:textFill>
            <w14:solidFill>
              <w14:schemeClr w14:val="tx1"/>
            </w14:solidFill>
          </w14:textFill>
        </w:rPr>
      </w:pPr>
    </w:p>
    <w:p w14:paraId="2A65F7C5">
      <w:pPr>
        <w:pStyle w:val="25"/>
        <w:rPr>
          <w:rFonts w:hint="eastAsia" w:ascii="仿宋" w:hAnsi="仿宋" w:eastAsia="仿宋" w:cs="仿宋"/>
          <w:color w:val="000000" w:themeColor="text1"/>
          <w:sz w:val="24"/>
          <w:szCs w:val="24"/>
          <w:u w:val="single"/>
          <w14:textFill>
            <w14:solidFill>
              <w14:schemeClr w14:val="tx1"/>
            </w14:solidFill>
          </w14:textFill>
        </w:rPr>
      </w:pPr>
    </w:p>
    <w:p w14:paraId="2C72ED83">
      <w:pPr>
        <w:pStyle w:val="25"/>
        <w:rPr>
          <w:rFonts w:hint="eastAsia" w:ascii="仿宋" w:hAnsi="仿宋" w:eastAsia="仿宋" w:cs="仿宋"/>
          <w:color w:val="000000" w:themeColor="text1"/>
          <w:sz w:val="24"/>
          <w:szCs w:val="24"/>
          <w:u w:val="single"/>
          <w14:textFill>
            <w14:solidFill>
              <w14:schemeClr w14:val="tx1"/>
            </w14:solidFill>
          </w14:textFill>
        </w:rPr>
      </w:pPr>
    </w:p>
    <w:p w14:paraId="7F460087">
      <w:pPr>
        <w:pStyle w:val="25"/>
        <w:rPr>
          <w:rFonts w:hint="eastAsia" w:ascii="仿宋" w:hAnsi="仿宋" w:eastAsia="仿宋" w:cs="仿宋"/>
          <w:color w:val="000000" w:themeColor="text1"/>
          <w:sz w:val="24"/>
          <w:szCs w:val="24"/>
          <w:u w:val="single"/>
          <w14:textFill>
            <w14:solidFill>
              <w14:schemeClr w14:val="tx1"/>
            </w14:solidFill>
          </w14:textFill>
        </w:rPr>
      </w:pPr>
    </w:p>
    <w:bookmarkEnd w:id="412"/>
    <w:bookmarkEnd w:id="413"/>
    <w:bookmarkEnd w:id="414"/>
    <w:bookmarkEnd w:id="415"/>
    <w:bookmarkEnd w:id="416"/>
    <w:bookmarkEnd w:id="417"/>
    <w:bookmarkEnd w:id="418"/>
    <w:bookmarkEnd w:id="419"/>
    <w:p w14:paraId="7586CF5E">
      <w:pPr>
        <w:pStyle w:val="3"/>
        <w:adjustRightInd w:val="0"/>
        <w:spacing w:line="360" w:lineRule="auto"/>
        <w:textAlignment w:val="baseline"/>
        <w:rPr>
          <w:rFonts w:hint="eastAsia" w:ascii="仿宋" w:hAnsi="仿宋" w:eastAsia="仿宋" w:cs="仿宋"/>
          <w:color w:val="000000" w:themeColor="text1"/>
          <w:sz w:val="24"/>
          <w:u w:val="single"/>
          <w14:textFill>
            <w14:solidFill>
              <w14:schemeClr w14:val="tx1"/>
            </w14:solidFill>
          </w14:textFill>
        </w:rPr>
      </w:pPr>
      <w:bookmarkStart w:id="426" w:name="_Toc173809567"/>
      <w:bookmarkStart w:id="427" w:name="_Toc167595494"/>
      <w:bookmarkStart w:id="428" w:name="_Toc233435992"/>
      <w:bookmarkStart w:id="429" w:name="_Toc17211"/>
      <w:bookmarkStart w:id="430" w:name="_Toc15011"/>
      <w:bookmarkStart w:id="431" w:name="_Toc11151"/>
      <w:bookmarkStart w:id="432" w:name="_Toc23618"/>
      <w:bookmarkStart w:id="433" w:name="_Toc1288"/>
      <w:bookmarkStart w:id="434" w:name="_Toc13469"/>
      <w:bookmarkStart w:id="435" w:name="_Toc20490"/>
      <w:bookmarkStart w:id="436" w:name="_Toc497551832"/>
      <w:bookmarkStart w:id="437" w:name="_Toc492955471"/>
      <w:bookmarkStart w:id="438" w:name="_Toc497711597"/>
      <w:bookmarkStart w:id="439" w:name="_Toc497546930"/>
      <w:bookmarkStart w:id="440" w:name="_Toc497712145"/>
      <w:r>
        <w:rPr>
          <w:rFonts w:hint="eastAsia" w:ascii="仿宋" w:hAnsi="仿宋" w:eastAsia="仿宋" w:cs="仿宋"/>
          <w:color w:val="000000" w:themeColor="text1"/>
          <w14:textFill>
            <w14:solidFill>
              <w14:schemeClr w14:val="tx1"/>
            </w14:solidFill>
          </w14:textFill>
        </w:rPr>
        <w:t xml:space="preserve">附件  </w:t>
      </w:r>
      <w:bookmarkEnd w:id="426"/>
      <w:bookmarkEnd w:id="427"/>
      <w:bookmarkEnd w:id="428"/>
      <w:bookmarkStart w:id="441" w:name="_Toc68"/>
      <w:bookmarkStart w:id="442" w:name="_Toc29197"/>
      <w:bookmarkStart w:id="443" w:name="_Toc1659"/>
      <w:bookmarkStart w:id="444" w:name="_Toc24720"/>
      <w:bookmarkStart w:id="445" w:name="_Toc246928970"/>
      <w:bookmarkStart w:id="446" w:name="_Toc11957"/>
      <w:bookmarkStart w:id="447" w:name="_Toc31634"/>
      <w:bookmarkStart w:id="448" w:name="_Toc16562"/>
      <w:bookmarkStart w:id="449" w:name="_Toc11787"/>
      <w:r>
        <w:rPr>
          <w:rFonts w:hint="eastAsia" w:ascii="仿宋" w:hAnsi="仿宋" w:eastAsia="仿宋" w:cs="仿宋"/>
          <w:color w:val="000000" w:themeColor="text1"/>
          <w14:textFill>
            <w14:solidFill>
              <w14:schemeClr w14:val="tx1"/>
            </w14:solidFill>
          </w14:textFill>
        </w:rPr>
        <w:t>业绩一览表</w:t>
      </w:r>
      <w:bookmarkEnd w:id="429"/>
      <w:bookmarkEnd w:id="430"/>
      <w:bookmarkEnd w:id="431"/>
      <w:bookmarkEnd w:id="432"/>
      <w:bookmarkEnd w:id="433"/>
      <w:bookmarkEnd w:id="434"/>
      <w:bookmarkEnd w:id="435"/>
      <w:bookmarkEnd w:id="441"/>
      <w:bookmarkEnd w:id="442"/>
      <w:bookmarkEnd w:id="443"/>
      <w:bookmarkEnd w:id="444"/>
      <w:bookmarkEnd w:id="445"/>
      <w:bookmarkEnd w:id="446"/>
      <w:bookmarkEnd w:id="447"/>
      <w:bookmarkEnd w:id="448"/>
      <w:bookmarkEnd w:id="449"/>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1799"/>
        <w:gridCol w:w="901"/>
      </w:tblGrid>
      <w:tr w14:paraId="0FCD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3E54015D">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980" w:type="dxa"/>
            <w:noWrap w:val="0"/>
            <w:vAlign w:val="center"/>
          </w:tcPr>
          <w:p w14:paraId="153CF7D6">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项目名称</w:t>
            </w:r>
          </w:p>
        </w:tc>
        <w:tc>
          <w:tcPr>
            <w:tcW w:w="1800" w:type="dxa"/>
            <w:tcBorders>
              <w:left w:val="single" w:color="auto" w:sz="4" w:space="0"/>
              <w:right w:val="single" w:color="auto" w:sz="4" w:space="0"/>
            </w:tcBorders>
            <w:noWrap w:val="0"/>
            <w:vAlign w:val="center"/>
          </w:tcPr>
          <w:p w14:paraId="67795F00">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合同金额（万元）</w:t>
            </w:r>
          </w:p>
        </w:tc>
        <w:tc>
          <w:tcPr>
            <w:tcW w:w="1441" w:type="dxa"/>
            <w:noWrap w:val="0"/>
            <w:vAlign w:val="center"/>
          </w:tcPr>
          <w:p w14:paraId="2E6C1E90">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完成日期</w:t>
            </w:r>
          </w:p>
        </w:tc>
        <w:tc>
          <w:tcPr>
            <w:tcW w:w="1799" w:type="dxa"/>
            <w:tcBorders>
              <w:right w:val="single" w:color="auto" w:sz="4" w:space="0"/>
            </w:tcBorders>
            <w:noWrap w:val="0"/>
            <w:vAlign w:val="center"/>
          </w:tcPr>
          <w:p w14:paraId="540799FF">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业主名称、联系人及电话</w:t>
            </w:r>
          </w:p>
        </w:tc>
        <w:tc>
          <w:tcPr>
            <w:tcW w:w="901" w:type="dxa"/>
            <w:tcBorders>
              <w:left w:val="single" w:color="auto" w:sz="4" w:space="0"/>
            </w:tcBorders>
            <w:noWrap w:val="0"/>
            <w:vAlign w:val="center"/>
          </w:tcPr>
          <w:p w14:paraId="15EF52A7">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14:paraId="7C15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5BD89D42">
            <w:pPr>
              <w:spacing w:line="360" w:lineRule="auto"/>
              <w:ind w:left="12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980" w:type="dxa"/>
            <w:noWrap w:val="0"/>
            <w:vAlign w:val="center"/>
          </w:tcPr>
          <w:p w14:paraId="505C310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394797E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035870ED">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1D4ACB38">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66A6697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4FD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41354533">
            <w:pPr>
              <w:spacing w:line="360" w:lineRule="auto"/>
              <w:ind w:left="12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980" w:type="dxa"/>
            <w:noWrap w:val="0"/>
            <w:vAlign w:val="center"/>
          </w:tcPr>
          <w:p w14:paraId="48747D1A">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5E0E4962">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56D595C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31AE124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65C9AEC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322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1280DC37">
            <w:pPr>
              <w:spacing w:line="360" w:lineRule="auto"/>
              <w:ind w:left="12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980" w:type="dxa"/>
            <w:noWrap w:val="0"/>
            <w:vAlign w:val="center"/>
          </w:tcPr>
          <w:p w14:paraId="659A06A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2BA4C9CD">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229E832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13C5FAF2">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2AD834A7">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87C5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3396CDA3">
            <w:pPr>
              <w:spacing w:line="360" w:lineRule="auto"/>
              <w:ind w:left="12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980" w:type="dxa"/>
            <w:noWrap w:val="0"/>
            <w:vAlign w:val="center"/>
          </w:tcPr>
          <w:p w14:paraId="18A43256">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3BE8407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47AEF08A">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57FE0899">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42F601E7">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E79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5CBC5DD0">
            <w:pPr>
              <w:spacing w:line="360" w:lineRule="auto"/>
              <w:ind w:left="12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980" w:type="dxa"/>
            <w:noWrap w:val="0"/>
            <w:vAlign w:val="center"/>
          </w:tcPr>
          <w:p w14:paraId="11AF829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69FDFD69">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26C9F16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6FD4FE0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23C4C675">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229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48" w:type="dxa"/>
            <w:noWrap w:val="0"/>
            <w:vAlign w:val="center"/>
          </w:tcPr>
          <w:p w14:paraId="0C43FDE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980" w:type="dxa"/>
            <w:noWrap w:val="0"/>
            <w:vAlign w:val="center"/>
          </w:tcPr>
          <w:p w14:paraId="537510B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Borders>
              <w:left w:val="single" w:color="auto" w:sz="4" w:space="0"/>
              <w:right w:val="single" w:color="auto" w:sz="4" w:space="0"/>
            </w:tcBorders>
            <w:noWrap w:val="0"/>
            <w:vAlign w:val="center"/>
          </w:tcPr>
          <w:p w14:paraId="4063763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41" w:type="dxa"/>
            <w:noWrap w:val="0"/>
            <w:vAlign w:val="center"/>
          </w:tcPr>
          <w:p w14:paraId="670D670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99" w:type="dxa"/>
            <w:tcBorders>
              <w:right w:val="single" w:color="auto" w:sz="4" w:space="0"/>
            </w:tcBorders>
            <w:noWrap w:val="0"/>
            <w:vAlign w:val="top"/>
          </w:tcPr>
          <w:p w14:paraId="7F6D790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01" w:type="dxa"/>
            <w:tcBorders>
              <w:left w:val="single" w:color="auto" w:sz="4" w:space="0"/>
            </w:tcBorders>
            <w:noWrap w:val="0"/>
            <w:vAlign w:val="top"/>
          </w:tcPr>
          <w:p w14:paraId="0CB81983">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1A652B89">
      <w:pPr>
        <w:tabs>
          <w:tab w:val="left" w:pos="8782"/>
        </w:tabs>
        <w:snapToGrid w:val="0"/>
        <w:spacing w:before="120" w:line="360" w:lineRule="auto"/>
        <w:ind w:left="503" w:leftChars="50" w:right="-38" w:hanging="398" w:hangingChars="16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应如实列出以上情况，如有隐瞒，一经查实将导致其报价申请被拒绝。</w:t>
      </w:r>
    </w:p>
    <w:p w14:paraId="754AD1C9">
      <w:pPr>
        <w:snapToGrid w:val="0"/>
        <w:spacing w:before="120" w:line="360" w:lineRule="auto"/>
        <w:ind w:left="418" w:leftChars="199" w:right="19" w:firstLine="120" w:firstLine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2.证明材料复印件加盖公章附在本表后。</w:t>
      </w:r>
    </w:p>
    <w:p w14:paraId="6A6CCE21">
      <w:pPr>
        <w:spacing w:line="360" w:lineRule="auto"/>
        <w:ind w:right="-161" w:firstLine="2640" w:firstLineChars="1100"/>
        <w:rPr>
          <w:rFonts w:hint="eastAsia" w:ascii="仿宋" w:hAnsi="仿宋" w:eastAsia="仿宋" w:cs="仿宋"/>
          <w:color w:val="000000" w:themeColor="text1"/>
          <w:sz w:val="24"/>
          <w:szCs w:val="24"/>
          <w14:textFill>
            <w14:solidFill>
              <w14:schemeClr w14:val="tx1"/>
            </w14:solidFill>
          </w14:textFill>
        </w:rPr>
      </w:pPr>
    </w:p>
    <w:p w14:paraId="59498577">
      <w:pPr>
        <w:spacing w:line="360" w:lineRule="auto"/>
        <w:ind w:right="-161"/>
        <w:rPr>
          <w:rFonts w:hint="eastAsia" w:ascii="仿宋" w:hAnsi="仿宋" w:eastAsia="仿宋" w:cs="仿宋"/>
          <w:color w:val="000000" w:themeColor="text1"/>
          <w:sz w:val="24"/>
          <w:szCs w:val="24"/>
          <w14:textFill>
            <w14:solidFill>
              <w14:schemeClr w14:val="tx1"/>
            </w14:solidFill>
          </w14:textFill>
        </w:rPr>
      </w:pPr>
    </w:p>
    <w:p w14:paraId="3489090C">
      <w:pPr>
        <w:pStyle w:val="25"/>
        <w:spacing w:line="360" w:lineRule="auto"/>
        <w:rPr>
          <w:rFonts w:hint="eastAsia" w:ascii="仿宋" w:hAnsi="仿宋" w:eastAsia="仿宋" w:cs="仿宋"/>
          <w:color w:val="000000" w:themeColor="text1"/>
          <w14:textFill>
            <w14:solidFill>
              <w14:schemeClr w14:val="tx1"/>
            </w14:solidFill>
          </w14:textFill>
        </w:rPr>
      </w:pPr>
    </w:p>
    <w:p w14:paraId="2D54395D">
      <w:pPr>
        <w:pStyle w:val="25"/>
        <w:spacing w:line="360" w:lineRule="auto"/>
        <w:rPr>
          <w:rFonts w:hint="eastAsia" w:ascii="仿宋" w:hAnsi="仿宋" w:eastAsia="仿宋" w:cs="仿宋"/>
          <w:color w:val="000000" w:themeColor="text1"/>
          <w14:textFill>
            <w14:solidFill>
              <w14:schemeClr w14:val="tx1"/>
            </w14:solidFill>
          </w14:textFill>
        </w:rPr>
      </w:pPr>
    </w:p>
    <w:p w14:paraId="6CAD9D82">
      <w:pPr>
        <w:spacing w:line="360" w:lineRule="auto"/>
        <w:ind w:right="-161" w:firstLine="2640" w:firstLineChars="11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4808D94A">
      <w:pPr>
        <w:spacing w:line="360" w:lineRule="auto"/>
        <w:ind w:right="-161" w:firstLine="2640" w:firstLineChars="1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0424CD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F22E16B">
      <w:pPr>
        <w:pStyle w:val="25"/>
        <w:spacing w:line="360" w:lineRule="auto"/>
        <w:rPr>
          <w:rFonts w:hint="eastAsia" w:ascii="仿宋" w:hAnsi="仿宋" w:eastAsia="仿宋" w:cs="仿宋"/>
          <w:color w:val="000000" w:themeColor="text1"/>
          <w14:textFill>
            <w14:solidFill>
              <w14:schemeClr w14:val="tx1"/>
            </w14:solidFill>
          </w14:textFill>
        </w:rPr>
      </w:pPr>
    </w:p>
    <w:p w14:paraId="25630523">
      <w:pPr>
        <w:pStyle w:val="25"/>
        <w:spacing w:line="360" w:lineRule="auto"/>
        <w:rPr>
          <w:rFonts w:hint="eastAsia" w:ascii="仿宋" w:hAnsi="仿宋" w:eastAsia="仿宋" w:cs="仿宋"/>
          <w:color w:val="000000" w:themeColor="text1"/>
          <w14:textFill>
            <w14:solidFill>
              <w14:schemeClr w14:val="tx1"/>
            </w14:solidFill>
          </w14:textFill>
        </w:rPr>
      </w:pPr>
    </w:p>
    <w:p w14:paraId="6C642BCE">
      <w:pPr>
        <w:pStyle w:val="25"/>
        <w:spacing w:line="360" w:lineRule="auto"/>
        <w:rPr>
          <w:rFonts w:hint="eastAsia" w:ascii="仿宋" w:hAnsi="仿宋" w:eastAsia="仿宋" w:cs="仿宋"/>
          <w:color w:val="000000" w:themeColor="text1"/>
          <w14:textFill>
            <w14:solidFill>
              <w14:schemeClr w14:val="tx1"/>
            </w14:solidFill>
          </w14:textFill>
        </w:rPr>
      </w:pPr>
    </w:p>
    <w:bookmarkEnd w:id="436"/>
    <w:bookmarkEnd w:id="437"/>
    <w:bookmarkEnd w:id="438"/>
    <w:bookmarkEnd w:id="439"/>
    <w:bookmarkEnd w:id="440"/>
    <w:p w14:paraId="41C27FED">
      <w:pPr>
        <w:pStyle w:val="3"/>
        <w:adjustRightInd w:val="0"/>
        <w:spacing w:line="360" w:lineRule="auto"/>
        <w:textAlignment w:val="baseline"/>
        <w:rPr>
          <w:rFonts w:hint="eastAsia" w:ascii="仿宋" w:hAnsi="仿宋" w:eastAsia="仿宋" w:cs="仿宋"/>
          <w:color w:val="000000" w:themeColor="text1"/>
          <w14:textFill>
            <w14:solidFill>
              <w14:schemeClr w14:val="tx1"/>
            </w14:solidFill>
          </w14:textFill>
        </w:rPr>
        <w:sectPr>
          <w:headerReference r:id="rId6" w:type="default"/>
          <w:footerReference r:id="rId7" w:type="default"/>
          <w:footerReference r:id="rId8" w:type="even"/>
          <w:pgSz w:w="11906" w:h="16838"/>
          <w:pgMar w:top="1440" w:right="1800" w:bottom="1440" w:left="1800" w:header="720" w:footer="720" w:gutter="0"/>
          <w:cols w:space="720" w:num="1"/>
          <w:docGrid w:linePitch="312" w:charSpace="0"/>
        </w:sectPr>
      </w:pPr>
      <w:bookmarkStart w:id="450" w:name="_Toc29706"/>
      <w:bookmarkStart w:id="451" w:name="_Toc20942"/>
      <w:bookmarkStart w:id="452" w:name="_Toc1516"/>
      <w:bookmarkStart w:id="453" w:name="_Toc9640"/>
      <w:bookmarkStart w:id="454" w:name="_Toc16579"/>
      <w:bookmarkStart w:id="455" w:name="_Toc3764"/>
      <w:bookmarkStart w:id="456" w:name="_Toc544"/>
      <w:bookmarkStart w:id="457" w:name="_Toc389620250"/>
      <w:bookmarkStart w:id="458" w:name="_Toc385992410"/>
    </w:p>
    <w:p w14:paraId="05E5423A">
      <w:pPr>
        <w:pStyle w:val="3"/>
        <w:adjustRightInd w:val="0"/>
        <w:spacing w:line="360" w:lineRule="auto"/>
        <w:textAlignment w:val="baseline"/>
        <w:rPr>
          <w:rFonts w:hint="eastAsia" w:ascii="仿宋" w:hAnsi="仿宋" w:eastAsia="仿宋" w:cs="仿宋"/>
          <w:color w:val="000000" w:themeColor="text1"/>
          <w14:textFill>
            <w14:solidFill>
              <w14:schemeClr w14:val="tx1"/>
            </w14:solidFill>
          </w14:textFill>
        </w:rPr>
      </w:pPr>
      <w:bookmarkStart w:id="459" w:name="_Toc8431"/>
      <w:r>
        <w:rPr>
          <w:rFonts w:hint="eastAsia" w:ascii="仿宋" w:hAnsi="仿宋" w:eastAsia="仿宋" w:cs="仿宋"/>
          <w:color w:val="000000" w:themeColor="text1"/>
          <w14:textFill>
            <w14:solidFill>
              <w14:schemeClr w14:val="tx1"/>
            </w14:solidFill>
          </w14:textFill>
        </w:rPr>
        <w:t xml:space="preserve">附件  </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基本资格证明文件及其他</w:t>
      </w:r>
      <w:bookmarkEnd w:id="450"/>
      <w:bookmarkEnd w:id="451"/>
      <w:bookmarkEnd w:id="452"/>
      <w:bookmarkEnd w:id="453"/>
      <w:bookmarkEnd w:id="454"/>
      <w:bookmarkEnd w:id="455"/>
      <w:bookmarkEnd w:id="456"/>
      <w:bookmarkEnd w:id="459"/>
    </w:p>
    <w:p w14:paraId="0D27E488">
      <w:pPr>
        <w:numPr>
          <w:ilvl w:val="0"/>
          <w:numId w:val="2"/>
        </w:num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资格证明：</w:t>
      </w:r>
    </w:p>
    <w:p w14:paraId="7884784A">
      <w:pPr>
        <w:spacing w:line="360" w:lineRule="auto"/>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满足《中华人民共和国政府采购法》第二十二条规定</w:t>
      </w:r>
      <w:r>
        <w:rPr>
          <w:rFonts w:hint="eastAsia" w:ascii="仿宋" w:hAnsi="仿宋" w:eastAsia="仿宋" w:cs="仿宋"/>
          <w:bCs/>
          <w:color w:val="000000" w:themeColor="text1"/>
          <w:sz w:val="24"/>
          <w:lang w:eastAsia="zh-CN"/>
          <w14:textFill>
            <w14:solidFill>
              <w14:schemeClr w14:val="tx1"/>
            </w14:solidFill>
          </w14:textFill>
        </w:rPr>
        <w:t>：</w:t>
      </w:r>
    </w:p>
    <w:p w14:paraId="1EFBC441">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1.1具有独立承担民事责任的能力。 </w:t>
      </w:r>
    </w:p>
    <w:p w14:paraId="57486916">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1.2具有良好的商业信誉和健全的财务会计制度。 </w:t>
      </w:r>
    </w:p>
    <w:p w14:paraId="3DAB73C1">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1.3具有履行合同所必需的设备和专业技术能力。 </w:t>
      </w:r>
    </w:p>
    <w:p w14:paraId="3935C997">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1.4有依法缴纳税收和社会保障资金的良好记录。 </w:t>
      </w:r>
    </w:p>
    <w:p w14:paraId="250DFE70">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1.5参加政府采购活动前三年内，在经营活动中没有重大违法记录。</w:t>
      </w:r>
    </w:p>
    <w:p w14:paraId="7CF553AE">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2、本项目不接受联合体投标。</w:t>
      </w:r>
    </w:p>
    <w:p w14:paraId="10F18974">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、特定资格要求：</w:t>
      </w:r>
    </w:p>
    <w:p w14:paraId="76D5F942">
      <w:pPr>
        <w:spacing w:line="360" w:lineRule="auto"/>
        <w:ind w:firstLine="480" w:firstLineChars="20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3.1投标人应授权合法的人员参加投标全过程，其中法定代表人直接参加投标的，须出具法定代表人身份证，并与营业执照上信息一致。法定代表人授权代表参加投标的，须出具法定代表人授权书及授权代表身份证。（其他组织或自然人参照执行）；</w:t>
      </w:r>
    </w:p>
    <w:p w14:paraId="3E706FFC">
      <w:pPr>
        <w:spacing w:line="360" w:lineRule="auto"/>
        <w:ind w:firstLine="480" w:firstLineChars="20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3.2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14:paraId="48886109">
      <w:pPr>
        <w:spacing w:line="360" w:lineRule="auto"/>
        <w:ind w:firstLine="480" w:firstLineChars="20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3.3单位负责人为同一人或者存在直接控股、管理关系的不同投标人，不得参加同一合同项下的政府采购活动；</w:t>
      </w:r>
    </w:p>
    <w:p w14:paraId="075B6A8C">
      <w:pPr>
        <w:spacing w:line="360" w:lineRule="auto"/>
        <w:ind w:firstLine="480" w:firstLineChars="200"/>
        <w:rPr>
          <w:rFonts w:hint="default" w:ascii="仿宋" w:hAnsi="仿宋" w:eastAsia="仿宋" w:cs="仿宋"/>
          <w:bCs/>
          <w:color w:val="000000" w:themeColor="text1"/>
          <w:sz w:val="24"/>
          <w:lang w:val="en-US"/>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3.4本项目专门面向中小企业采购，仅限符合《政府采购促进中小企业发展管理办法》（财库〔2020〕46 号）条件的中小微企业参与，供应商应填写中小企业声明函并对真实性负责（残疾人福利性单位及监狱企业视同为小型、微型企业）。</w:t>
      </w:r>
    </w:p>
    <w:p w14:paraId="42C49FCB">
      <w:pPr>
        <w:spacing w:line="360" w:lineRule="auto"/>
        <w:rPr>
          <w:rFonts w:hint="eastAsia" w:ascii="仿宋" w:hAnsi="仿宋" w:eastAsia="仿宋" w:cs="仿宋"/>
          <w:bCs/>
          <w:color w:val="000000" w:themeColor="text1"/>
          <w:sz w:val="24"/>
          <w14:textFill>
            <w14:solidFill>
              <w14:schemeClr w14:val="tx1"/>
            </w14:solidFill>
          </w14:textFill>
        </w:rPr>
      </w:pPr>
    </w:p>
    <w:p w14:paraId="56603F8A">
      <w:pPr>
        <w:tabs>
          <w:tab w:val="left" w:pos="5580"/>
        </w:tabs>
        <w:spacing w:before="120" w:line="360" w:lineRule="auto"/>
        <w:rPr>
          <w:rFonts w:hint="eastAsia" w:ascii="仿宋" w:hAnsi="仿宋" w:eastAsia="仿宋" w:cs="仿宋"/>
          <w:color w:val="000000" w:themeColor="text1"/>
          <w:sz w:val="24"/>
          <w14:textFill>
            <w14:solidFill>
              <w14:schemeClr w14:val="tx1"/>
            </w14:solidFill>
          </w14:textFill>
        </w:rPr>
      </w:pPr>
    </w:p>
    <w:p w14:paraId="329450EF">
      <w:pPr>
        <w:pStyle w:val="16"/>
        <w:rPr>
          <w:rFonts w:hint="eastAsia" w:ascii="仿宋" w:hAnsi="仿宋" w:eastAsia="仿宋" w:cs="仿宋"/>
          <w:color w:val="000000" w:themeColor="text1"/>
          <w:sz w:val="24"/>
          <w14:textFill>
            <w14:solidFill>
              <w14:schemeClr w14:val="tx1"/>
            </w14:solidFill>
          </w14:textFill>
        </w:rPr>
      </w:pPr>
    </w:p>
    <w:p w14:paraId="25F1867A">
      <w:pPr>
        <w:rPr>
          <w:rFonts w:hint="eastAsia" w:ascii="仿宋" w:hAnsi="仿宋" w:eastAsia="仿宋" w:cs="仿宋"/>
          <w:color w:val="000000" w:themeColor="text1"/>
          <w:sz w:val="24"/>
          <w14:textFill>
            <w14:solidFill>
              <w14:schemeClr w14:val="tx1"/>
            </w14:solidFill>
          </w14:textFill>
        </w:rPr>
      </w:pPr>
    </w:p>
    <w:p w14:paraId="378FF3E0">
      <w:pPr>
        <w:pStyle w:val="16"/>
        <w:rPr>
          <w:rFonts w:hint="eastAsia" w:ascii="仿宋" w:hAnsi="仿宋" w:eastAsia="仿宋" w:cs="仿宋"/>
          <w:color w:val="000000" w:themeColor="text1"/>
          <w:sz w:val="24"/>
          <w14:textFill>
            <w14:solidFill>
              <w14:schemeClr w14:val="tx1"/>
            </w14:solidFill>
          </w14:textFill>
        </w:rPr>
      </w:pPr>
    </w:p>
    <w:p w14:paraId="1319E7C3">
      <w:pPr>
        <w:rPr>
          <w:rFonts w:hint="eastAsia" w:ascii="仿宋" w:hAnsi="仿宋" w:eastAsia="仿宋" w:cs="仿宋"/>
          <w:color w:val="000000" w:themeColor="text1"/>
          <w:sz w:val="24"/>
          <w14:textFill>
            <w14:solidFill>
              <w14:schemeClr w14:val="tx1"/>
            </w14:solidFill>
          </w14:textFill>
        </w:rPr>
      </w:pPr>
    </w:p>
    <w:p w14:paraId="00BF773D">
      <w:pPr>
        <w:spacing w:line="360" w:lineRule="auto"/>
        <w:outlineLvl w:val="2"/>
        <w:rPr>
          <w:rFonts w:hint="eastAsia" w:ascii="仿宋" w:hAnsi="仿宋" w:eastAsia="仿宋" w:cs="仿宋"/>
          <w:color w:val="000000" w:themeColor="text1"/>
          <w:sz w:val="24"/>
          <w14:textFill>
            <w14:solidFill>
              <w14:schemeClr w14:val="tx1"/>
            </w14:solidFill>
          </w14:textFill>
        </w:rPr>
      </w:pPr>
      <w:bookmarkStart w:id="460" w:name="_Toc2068"/>
      <w:r>
        <w:rPr>
          <w:rFonts w:hint="eastAsia" w:ascii="仿宋" w:hAnsi="仿宋" w:eastAsia="仿宋" w:cs="仿宋"/>
          <w:b/>
          <w:bCs/>
          <w:color w:val="000000" w:themeColor="text1"/>
          <w:sz w:val="24"/>
          <w14:textFill>
            <w14:solidFill>
              <w14:schemeClr w14:val="tx1"/>
            </w14:solidFill>
          </w14:textFill>
        </w:rPr>
        <w:t>附件 具有独立承担民事责任的能力</w:t>
      </w:r>
      <w:bookmarkEnd w:id="460"/>
    </w:p>
    <w:p w14:paraId="2D26B40F">
      <w:pPr>
        <w:spacing w:line="360" w:lineRule="auto"/>
        <w:rPr>
          <w:rFonts w:hint="eastAsia" w:ascii="仿宋" w:hAnsi="仿宋" w:eastAsia="仿宋" w:cs="仿宋"/>
          <w:color w:val="000000" w:themeColor="text1"/>
          <w:sz w:val="24"/>
          <w14:textFill>
            <w14:solidFill>
              <w14:schemeClr w14:val="tx1"/>
            </w14:solidFill>
          </w14:textFill>
        </w:rPr>
      </w:pPr>
    </w:p>
    <w:p w14:paraId="2300891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p w14:paraId="1BC3E1F4">
      <w:pPr>
        <w:pStyle w:val="20"/>
        <w:numPr>
          <w:ilvl w:val="0"/>
          <w:numId w:val="3"/>
        </w:numPr>
        <w:tabs>
          <w:tab w:val="left" w:pos="5580"/>
        </w:tabs>
        <w:spacing w:before="120" w:line="360" w:lineRule="auto"/>
        <w:ind w:left="833" w:leftChars="168" w:hanging="480" w:hanging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如</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是企业（包括合伙企业），应提供在工商部门注册的有效“企业法人营业执照”或“营业执照”；</w:t>
      </w:r>
    </w:p>
    <w:p w14:paraId="09112347">
      <w:pPr>
        <w:pStyle w:val="20"/>
        <w:numPr>
          <w:ilvl w:val="0"/>
          <w:numId w:val="3"/>
        </w:numPr>
        <w:tabs>
          <w:tab w:val="left" w:pos="5580"/>
        </w:tabs>
        <w:spacing w:before="120" w:line="360" w:lineRule="auto"/>
        <w:ind w:left="833" w:leftChars="168" w:hanging="480" w:hanging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如</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是事业单位，应提供有效的“事业单位法人证书”；</w:t>
      </w:r>
    </w:p>
    <w:p w14:paraId="0311E460">
      <w:pPr>
        <w:pStyle w:val="20"/>
        <w:numPr>
          <w:ilvl w:val="0"/>
          <w:numId w:val="3"/>
        </w:numPr>
        <w:tabs>
          <w:tab w:val="left" w:pos="5580"/>
        </w:tabs>
        <w:spacing w:before="120" w:line="360" w:lineRule="auto"/>
        <w:ind w:left="833" w:leftChars="168" w:hanging="480" w:hanging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如</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是为企业专业服务机构的，应提供执业许可证等证明文件；</w:t>
      </w:r>
    </w:p>
    <w:p w14:paraId="278BEB5D">
      <w:pPr>
        <w:pStyle w:val="20"/>
        <w:numPr>
          <w:ilvl w:val="0"/>
          <w:numId w:val="3"/>
        </w:numPr>
        <w:tabs>
          <w:tab w:val="left" w:pos="5580"/>
        </w:tabs>
        <w:spacing w:before="120" w:line="360" w:lineRule="auto"/>
        <w:ind w:left="833" w:leftChars="168" w:hanging="480" w:hanging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如</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是个体工商户，应提供有效的“个体工商户营业执照”；</w:t>
      </w:r>
    </w:p>
    <w:p w14:paraId="38966AF8">
      <w:pPr>
        <w:pStyle w:val="20"/>
        <w:numPr>
          <w:ilvl w:val="0"/>
          <w:numId w:val="3"/>
        </w:numPr>
        <w:tabs>
          <w:tab w:val="left" w:pos="5580"/>
        </w:tabs>
        <w:spacing w:before="120" w:line="360" w:lineRule="auto"/>
        <w:ind w:left="833" w:leftChars="168" w:hanging="480" w:hanging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如</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为自然人，应提供有效的自然人身份证明。</w:t>
      </w:r>
    </w:p>
    <w:p w14:paraId="4BD9296C">
      <w:pPr>
        <w:pStyle w:val="20"/>
        <w:tabs>
          <w:tab w:val="left" w:pos="5580"/>
        </w:tabs>
        <w:spacing w:before="120" w:line="360" w:lineRule="auto"/>
        <w:ind w:left="-67" w:leftChars="-32"/>
        <w:rPr>
          <w:rFonts w:hint="eastAsia" w:ascii="仿宋" w:hAnsi="仿宋" w:eastAsia="仿宋" w:cs="仿宋"/>
          <w:color w:val="000000" w:themeColor="text1"/>
          <w:szCs w:val="24"/>
          <w14:textFill>
            <w14:solidFill>
              <w14:schemeClr w14:val="tx1"/>
            </w14:solidFill>
          </w14:textFill>
        </w:rPr>
      </w:pPr>
    </w:p>
    <w:p w14:paraId="1F19DD1F">
      <w:pPr>
        <w:spacing w:line="360" w:lineRule="auto"/>
        <w:rPr>
          <w:rFonts w:hint="eastAsia" w:ascii="仿宋" w:hAnsi="仿宋" w:eastAsia="仿宋" w:cs="仿宋"/>
          <w:color w:val="000000" w:themeColor="text1"/>
          <w:sz w:val="24"/>
          <w14:textFill>
            <w14:solidFill>
              <w14:schemeClr w14:val="tx1"/>
            </w14:solidFill>
          </w14:textFill>
        </w:rPr>
      </w:pPr>
    </w:p>
    <w:p w14:paraId="2F31A7A6">
      <w:pPr>
        <w:spacing w:line="360" w:lineRule="auto"/>
        <w:rPr>
          <w:rFonts w:hint="eastAsia" w:ascii="仿宋" w:hAnsi="仿宋" w:eastAsia="仿宋" w:cs="仿宋"/>
          <w:color w:val="000000" w:themeColor="text1"/>
          <w:sz w:val="24"/>
          <w14:textFill>
            <w14:solidFill>
              <w14:schemeClr w14:val="tx1"/>
            </w14:solidFill>
          </w14:textFill>
        </w:rPr>
      </w:pPr>
    </w:p>
    <w:p w14:paraId="48AD9491">
      <w:pPr>
        <w:spacing w:line="360" w:lineRule="auto"/>
        <w:rPr>
          <w:rFonts w:hint="eastAsia" w:ascii="仿宋" w:hAnsi="仿宋" w:eastAsia="仿宋" w:cs="仿宋"/>
          <w:color w:val="000000" w:themeColor="text1"/>
          <w:sz w:val="24"/>
          <w14:textFill>
            <w14:solidFill>
              <w14:schemeClr w14:val="tx1"/>
            </w14:solidFill>
          </w14:textFill>
        </w:rPr>
      </w:pPr>
    </w:p>
    <w:p w14:paraId="16E67B59">
      <w:pPr>
        <w:spacing w:line="360" w:lineRule="auto"/>
        <w:rPr>
          <w:rFonts w:hint="eastAsia" w:ascii="仿宋" w:hAnsi="仿宋" w:eastAsia="仿宋" w:cs="仿宋"/>
          <w:color w:val="000000" w:themeColor="text1"/>
          <w:sz w:val="24"/>
          <w14:textFill>
            <w14:solidFill>
              <w14:schemeClr w14:val="tx1"/>
            </w14:solidFill>
          </w14:textFill>
        </w:rPr>
      </w:pPr>
    </w:p>
    <w:p w14:paraId="063FF634">
      <w:pPr>
        <w:spacing w:line="360" w:lineRule="auto"/>
        <w:rPr>
          <w:rFonts w:hint="eastAsia" w:ascii="仿宋" w:hAnsi="仿宋" w:eastAsia="仿宋" w:cs="仿宋"/>
          <w:color w:val="000000" w:themeColor="text1"/>
          <w:sz w:val="24"/>
          <w14:textFill>
            <w14:solidFill>
              <w14:schemeClr w14:val="tx1"/>
            </w14:solidFill>
          </w14:textFill>
        </w:rPr>
      </w:pPr>
    </w:p>
    <w:p w14:paraId="64AF9B0B">
      <w:pPr>
        <w:spacing w:line="360" w:lineRule="auto"/>
        <w:rPr>
          <w:rFonts w:hint="eastAsia" w:ascii="仿宋" w:hAnsi="仿宋" w:eastAsia="仿宋" w:cs="仿宋"/>
          <w:color w:val="000000" w:themeColor="text1"/>
          <w:sz w:val="24"/>
          <w14:textFill>
            <w14:solidFill>
              <w14:schemeClr w14:val="tx1"/>
            </w14:solidFill>
          </w14:textFill>
        </w:rPr>
      </w:pPr>
    </w:p>
    <w:p w14:paraId="39F022B3">
      <w:pPr>
        <w:spacing w:line="360" w:lineRule="auto"/>
        <w:rPr>
          <w:rFonts w:hint="eastAsia" w:ascii="仿宋" w:hAnsi="仿宋" w:eastAsia="仿宋" w:cs="仿宋"/>
          <w:color w:val="000000" w:themeColor="text1"/>
          <w:sz w:val="24"/>
          <w14:textFill>
            <w14:solidFill>
              <w14:schemeClr w14:val="tx1"/>
            </w14:solidFill>
          </w14:textFill>
        </w:rPr>
      </w:pPr>
    </w:p>
    <w:p w14:paraId="7978CAEF">
      <w:pPr>
        <w:spacing w:line="360" w:lineRule="auto"/>
        <w:rPr>
          <w:rFonts w:hint="eastAsia" w:ascii="仿宋" w:hAnsi="仿宋" w:eastAsia="仿宋" w:cs="仿宋"/>
          <w:color w:val="000000" w:themeColor="text1"/>
          <w:sz w:val="24"/>
          <w14:textFill>
            <w14:solidFill>
              <w14:schemeClr w14:val="tx1"/>
            </w14:solidFill>
          </w14:textFill>
        </w:rPr>
      </w:pPr>
    </w:p>
    <w:p w14:paraId="125A58C6">
      <w:pPr>
        <w:spacing w:line="360" w:lineRule="auto"/>
        <w:rPr>
          <w:rFonts w:hint="eastAsia" w:ascii="仿宋" w:hAnsi="仿宋" w:eastAsia="仿宋" w:cs="仿宋"/>
          <w:color w:val="000000" w:themeColor="text1"/>
          <w:sz w:val="24"/>
          <w14:textFill>
            <w14:solidFill>
              <w14:schemeClr w14:val="tx1"/>
            </w14:solidFill>
          </w14:textFill>
        </w:rPr>
      </w:pPr>
    </w:p>
    <w:p w14:paraId="676487BB">
      <w:pPr>
        <w:spacing w:line="360" w:lineRule="auto"/>
        <w:rPr>
          <w:rFonts w:hint="eastAsia" w:ascii="仿宋" w:hAnsi="仿宋" w:eastAsia="仿宋" w:cs="仿宋"/>
          <w:color w:val="000000" w:themeColor="text1"/>
          <w:sz w:val="24"/>
          <w14:textFill>
            <w14:solidFill>
              <w14:schemeClr w14:val="tx1"/>
            </w14:solidFill>
          </w14:textFill>
        </w:rPr>
      </w:pPr>
    </w:p>
    <w:p w14:paraId="3C4AD9A6">
      <w:pPr>
        <w:spacing w:line="360" w:lineRule="auto"/>
        <w:rPr>
          <w:rFonts w:hint="eastAsia" w:ascii="仿宋" w:hAnsi="仿宋" w:eastAsia="仿宋" w:cs="仿宋"/>
          <w:color w:val="000000" w:themeColor="text1"/>
          <w:sz w:val="24"/>
          <w14:textFill>
            <w14:solidFill>
              <w14:schemeClr w14:val="tx1"/>
            </w14:solidFill>
          </w14:textFill>
        </w:rPr>
      </w:pPr>
    </w:p>
    <w:p w14:paraId="78193B82">
      <w:pPr>
        <w:spacing w:line="360" w:lineRule="auto"/>
        <w:rPr>
          <w:rFonts w:hint="eastAsia" w:ascii="仿宋" w:hAnsi="仿宋" w:eastAsia="仿宋" w:cs="仿宋"/>
          <w:color w:val="000000" w:themeColor="text1"/>
          <w:sz w:val="24"/>
          <w14:textFill>
            <w14:solidFill>
              <w14:schemeClr w14:val="tx1"/>
            </w14:solidFill>
          </w14:textFill>
        </w:rPr>
      </w:pPr>
    </w:p>
    <w:p w14:paraId="7FD4F3D1">
      <w:pPr>
        <w:spacing w:line="360" w:lineRule="auto"/>
        <w:rPr>
          <w:rFonts w:hint="eastAsia" w:ascii="仿宋" w:hAnsi="仿宋" w:eastAsia="仿宋" w:cs="仿宋"/>
          <w:color w:val="000000" w:themeColor="text1"/>
          <w:sz w:val="24"/>
          <w14:textFill>
            <w14:solidFill>
              <w14:schemeClr w14:val="tx1"/>
            </w14:solidFill>
          </w14:textFill>
        </w:rPr>
      </w:pPr>
    </w:p>
    <w:p w14:paraId="266A512D">
      <w:pPr>
        <w:spacing w:line="360" w:lineRule="auto"/>
        <w:rPr>
          <w:rFonts w:hint="eastAsia" w:ascii="仿宋" w:hAnsi="仿宋" w:eastAsia="仿宋" w:cs="仿宋"/>
          <w:color w:val="000000" w:themeColor="text1"/>
          <w:sz w:val="24"/>
          <w14:textFill>
            <w14:solidFill>
              <w14:schemeClr w14:val="tx1"/>
            </w14:solidFill>
          </w14:textFill>
        </w:rPr>
      </w:pPr>
    </w:p>
    <w:p w14:paraId="6A807E4F">
      <w:pPr>
        <w:pStyle w:val="16"/>
        <w:rPr>
          <w:rFonts w:hint="eastAsia" w:ascii="仿宋" w:hAnsi="仿宋" w:eastAsia="仿宋" w:cs="仿宋"/>
          <w:color w:val="000000" w:themeColor="text1"/>
          <w14:textFill>
            <w14:solidFill>
              <w14:schemeClr w14:val="tx1"/>
            </w14:solidFill>
          </w14:textFill>
        </w:rPr>
      </w:pPr>
    </w:p>
    <w:p w14:paraId="5822464B">
      <w:pPr>
        <w:spacing w:line="360" w:lineRule="auto"/>
        <w:rPr>
          <w:rFonts w:hint="eastAsia" w:ascii="仿宋" w:hAnsi="仿宋" w:eastAsia="仿宋" w:cs="仿宋"/>
          <w:color w:val="000000" w:themeColor="text1"/>
          <w:sz w:val="24"/>
          <w14:textFill>
            <w14:solidFill>
              <w14:schemeClr w14:val="tx1"/>
            </w14:solidFill>
          </w14:textFill>
        </w:rPr>
      </w:pPr>
    </w:p>
    <w:p w14:paraId="1FFBAAE5">
      <w:pPr>
        <w:spacing w:line="360" w:lineRule="auto"/>
        <w:rPr>
          <w:rFonts w:hint="eastAsia" w:ascii="仿宋" w:hAnsi="仿宋" w:eastAsia="仿宋" w:cs="仿宋"/>
          <w:color w:val="000000" w:themeColor="text1"/>
          <w:sz w:val="24"/>
          <w14:textFill>
            <w14:solidFill>
              <w14:schemeClr w14:val="tx1"/>
            </w14:solidFill>
          </w14:textFill>
        </w:rPr>
      </w:pPr>
    </w:p>
    <w:p w14:paraId="32191E4C">
      <w:pPr>
        <w:spacing w:line="360" w:lineRule="auto"/>
        <w:rPr>
          <w:rFonts w:hint="eastAsia" w:ascii="仿宋" w:hAnsi="仿宋" w:eastAsia="仿宋" w:cs="仿宋"/>
          <w:color w:val="000000" w:themeColor="text1"/>
          <w:sz w:val="24"/>
          <w14:textFill>
            <w14:solidFill>
              <w14:schemeClr w14:val="tx1"/>
            </w14:solidFill>
          </w14:textFill>
        </w:rPr>
      </w:pPr>
    </w:p>
    <w:p w14:paraId="27107658">
      <w:pPr>
        <w:spacing w:line="360" w:lineRule="auto"/>
        <w:outlineLvl w:val="2"/>
        <w:rPr>
          <w:rFonts w:hint="eastAsia" w:ascii="仿宋" w:hAnsi="仿宋" w:eastAsia="仿宋" w:cs="仿宋"/>
          <w:b/>
          <w:bCs/>
          <w:color w:val="000000" w:themeColor="text1"/>
          <w:sz w:val="24"/>
          <w14:textFill>
            <w14:solidFill>
              <w14:schemeClr w14:val="tx1"/>
            </w14:solidFill>
          </w14:textFill>
        </w:rPr>
      </w:pPr>
      <w:bookmarkStart w:id="461" w:name="_Toc332805171"/>
      <w:bookmarkStart w:id="462" w:name="_Toc332805616"/>
      <w:bookmarkStart w:id="463" w:name="_Toc17880"/>
      <w:r>
        <w:rPr>
          <w:rFonts w:hint="eastAsia" w:ascii="仿宋" w:hAnsi="仿宋" w:eastAsia="仿宋" w:cs="仿宋"/>
          <w:b/>
          <w:bCs/>
          <w:color w:val="000000" w:themeColor="text1"/>
          <w:sz w:val="24"/>
          <w14:textFill>
            <w14:solidFill>
              <w14:schemeClr w14:val="tx1"/>
            </w14:solidFill>
          </w14:textFill>
        </w:rPr>
        <w:t xml:space="preserve">附件 </w:t>
      </w:r>
      <w:bookmarkEnd w:id="461"/>
      <w:bookmarkEnd w:id="462"/>
      <w:r>
        <w:rPr>
          <w:rFonts w:hint="eastAsia" w:ascii="仿宋" w:hAnsi="仿宋" w:eastAsia="仿宋" w:cs="仿宋"/>
          <w:b/>
          <w:bCs/>
          <w:color w:val="000000" w:themeColor="text1"/>
          <w:sz w:val="24"/>
          <w14:textFill>
            <w14:solidFill>
              <w14:schemeClr w14:val="tx1"/>
            </w14:solidFill>
          </w14:textFill>
        </w:rPr>
        <w:t>具有良好的商业信誉和健全的财务会计制度</w:t>
      </w:r>
      <w:bookmarkEnd w:id="463"/>
    </w:p>
    <w:p w14:paraId="6A782B2B">
      <w:pPr>
        <w:spacing w:line="360" w:lineRule="auto"/>
        <w:rPr>
          <w:rFonts w:hint="eastAsia" w:ascii="仿宋" w:hAnsi="仿宋" w:eastAsia="仿宋" w:cs="仿宋"/>
          <w:color w:val="000000" w:themeColor="text1"/>
          <w:sz w:val="24"/>
          <w14:textFill>
            <w14:solidFill>
              <w14:schemeClr w14:val="tx1"/>
            </w14:solidFill>
          </w14:textFill>
        </w:rPr>
      </w:pPr>
    </w:p>
    <w:p w14:paraId="730D4D3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p w14:paraId="0970771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为法人的，提供202</w:t>
      </w:r>
      <w:r>
        <w:rPr>
          <w:rFonts w:hint="eastAsia" w:ascii="仿宋" w:hAnsi="仿宋" w:eastAsia="仿宋" w:cs="仿宋"/>
          <w:color w:val="000000" w:themeColor="text1"/>
          <w:sz w:val="24"/>
          <w:lang w:val="en-US" w:eastAsia="zh-CN"/>
          <w14:textFill>
            <w14:solidFill>
              <w14:schemeClr w14:val="tx1"/>
            </w14:solidFill>
          </w14:textFill>
        </w:rPr>
        <w:t>3或2024</w:t>
      </w:r>
      <w:r>
        <w:rPr>
          <w:rFonts w:hint="eastAsia" w:ascii="仿宋" w:hAnsi="仿宋" w:eastAsia="仿宋" w:cs="仿宋"/>
          <w:color w:val="000000" w:themeColor="text1"/>
          <w:sz w:val="24"/>
          <w14:textFill>
            <w14:solidFill>
              <w14:schemeClr w14:val="tx1"/>
            </w14:solidFill>
          </w14:textFill>
        </w:rPr>
        <w:t>年度经审计的财务报告或提供银行出具的开标截止日期前六个月内的资信证明。</w:t>
      </w:r>
    </w:p>
    <w:p w14:paraId="0919AD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2、部分其他组织和自然人，没有经审计的财务报告，可以提供银行出具的资信证明。</w:t>
      </w:r>
    </w:p>
    <w:p w14:paraId="1646C8B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提供了财政部门认可的政府采购专业担保机构出具的投标担保函，则不需要提供上述财务状况报告。</w:t>
      </w:r>
    </w:p>
    <w:p w14:paraId="0797BB39">
      <w:pPr>
        <w:spacing w:line="360" w:lineRule="auto"/>
        <w:rPr>
          <w:rFonts w:hint="eastAsia" w:ascii="仿宋" w:hAnsi="仿宋" w:eastAsia="仿宋" w:cs="仿宋"/>
          <w:color w:val="000000" w:themeColor="text1"/>
          <w:sz w:val="24"/>
          <w14:textFill>
            <w14:solidFill>
              <w14:schemeClr w14:val="tx1"/>
            </w14:solidFill>
          </w14:textFill>
        </w:rPr>
      </w:pPr>
    </w:p>
    <w:p w14:paraId="34244685">
      <w:pPr>
        <w:pStyle w:val="25"/>
        <w:spacing w:line="360" w:lineRule="auto"/>
        <w:rPr>
          <w:rFonts w:hint="eastAsia" w:ascii="仿宋" w:hAnsi="仿宋" w:eastAsia="仿宋" w:cs="仿宋"/>
          <w:color w:val="000000" w:themeColor="text1"/>
          <w:sz w:val="24"/>
          <w14:textFill>
            <w14:solidFill>
              <w14:schemeClr w14:val="tx1"/>
            </w14:solidFill>
          </w14:textFill>
        </w:rPr>
      </w:pPr>
    </w:p>
    <w:p w14:paraId="592DBC74">
      <w:pPr>
        <w:pStyle w:val="25"/>
        <w:spacing w:line="360" w:lineRule="auto"/>
        <w:rPr>
          <w:rFonts w:hint="eastAsia" w:ascii="仿宋" w:hAnsi="仿宋" w:eastAsia="仿宋" w:cs="仿宋"/>
          <w:color w:val="000000" w:themeColor="text1"/>
          <w:sz w:val="24"/>
          <w14:textFill>
            <w14:solidFill>
              <w14:schemeClr w14:val="tx1"/>
            </w14:solidFill>
          </w14:textFill>
        </w:rPr>
      </w:pPr>
    </w:p>
    <w:p w14:paraId="73799459">
      <w:pPr>
        <w:pStyle w:val="25"/>
        <w:spacing w:line="360" w:lineRule="auto"/>
        <w:rPr>
          <w:rFonts w:hint="eastAsia" w:ascii="仿宋" w:hAnsi="仿宋" w:eastAsia="仿宋" w:cs="仿宋"/>
          <w:color w:val="000000" w:themeColor="text1"/>
          <w:sz w:val="24"/>
          <w14:textFill>
            <w14:solidFill>
              <w14:schemeClr w14:val="tx1"/>
            </w14:solidFill>
          </w14:textFill>
        </w:rPr>
      </w:pPr>
    </w:p>
    <w:p w14:paraId="20A146F4">
      <w:pPr>
        <w:pStyle w:val="25"/>
        <w:spacing w:line="360" w:lineRule="auto"/>
        <w:rPr>
          <w:rFonts w:hint="eastAsia" w:ascii="仿宋" w:hAnsi="仿宋" w:eastAsia="仿宋" w:cs="仿宋"/>
          <w:color w:val="000000" w:themeColor="text1"/>
          <w:sz w:val="24"/>
          <w14:textFill>
            <w14:solidFill>
              <w14:schemeClr w14:val="tx1"/>
            </w14:solidFill>
          </w14:textFill>
        </w:rPr>
      </w:pPr>
    </w:p>
    <w:p w14:paraId="0B471779">
      <w:pPr>
        <w:pStyle w:val="25"/>
        <w:spacing w:line="360" w:lineRule="auto"/>
        <w:rPr>
          <w:rFonts w:hint="eastAsia" w:ascii="仿宋" w:hAnsi="仿宋" w:eastAsia="仿宋" w:cs="仿宋"/>
          <w:color w:val="000000" w:themeColor="text1"/>
          <w:sz w:val="24"/>
          <w14:textFill>
            <w14:solidFill>
              <w14:schemeClr w14:val="tx1"/>
            </w14:solidFill>
          </w14:textFill>
        </w:rPr>
      </w:pPr>
    </w:p>
    <w:p w14:paraId="6DEBEBA5">
      <w:pPr>
        <w:pStyle w:val="25"/>
        <w:spacing w:line="360" w:lineRule="auto"/>
        <w:rPr>
          <w:rFonts w:hint="eastAsia" w:ascii="仿宋" w:hAnsi="仿宋" w:eastAsia="仿宋" w:cs="仿宋"/>
          <w:color w:val="000000" w:themeColor="text1"/>
          <w:sz w:val="24"/>
          <w14:textFill>
            <w14:solidFill>
              <w14:schemeClr w14:val="tx1"/>
            </w14:solidFill>
          </w14:textFill>
        </w:rPr>
      </w:pPr>
    </w:p>
    <w:p w14:paraId="0986EB37">
      <w:pPr>
        <w:pStyle w:val="25"/>
        <w:spacing w:line="360" w:lineRule="auto"/>
        <w:rPr>
          <w:rFonts w:hint="eastAsia" w:ascii="仿宋" w:hAnsi="仿宋" w:eastAsia="仿宋" w:cs="仿宋"/>
          <w:color w:val="000000" w:themeColor="text1"/>
          <w:sz w:val="24"/>
          <w14:textFill>
            <w14:solidFill>
              <w14:schemeClr w14:val="tx1"/>
            </w14:solidFill>
          </w14:textFill>
        </w:rPr>
      </w:pPr>
    </w:p>
    <w:p w14:paraId="46C45E5D">
      <w:pPr>
        <w:pStyle w:val="25"/>
        <w:spacing w:line="360" w:lineRule="auto"/>
        <w:rPr>
          <w:rFonts w:hint="eastAsia" w:ascii="仿宋" w:hAnsi="仿宋" w:eastAsia="仿宋" w:cs="仿宋"/>
          <w:color w:val="000000" w:themeColor="text1"/>
          <w:sz w:val="24"/>
          <w14:textFill>
            <w14:solidFill>
              <w14:schemeClr w14:val="tx1"/>
            </w14:solidFill>
          </w14:textFill>
        </w:rPr>
      </w:pPr>
    </w:p>
    <w:p w14:paraId="7904C8B4">
      <w:pPr>
        <w:pStyle w:val="25"/>
        <w:spacing w:line="360" w:lineRule="auto"/>
        <w:rPr>
          <w:rFonts w:hint="eastAsia" w:ascii="仿宋" w:hAnsi="仿宋" w:eastAsia="仿宋" w:cs="仿宋"/>
          <w:color w:val="000000" w:themeColor="text1"/>
          <w:sz w:val="24"/>
          <w14:textFill>
            <w14:solidFill>
              <w14:schemeClr w14:val="tx1"/>
            </w14:solidFill>
          </w14:textFill>
        </w:rPr>
      </w:pPr>
    </w:p>
    <w:p w14:paraId="4018B0A1">
      <w:pPr>
        <w:pStyle w:val="25"/>
        <w:spacing w:line="360" w:lineRule="auto"/>
        <w:rPr>
          <w:rFonts w:hint="eastAsia" w:ascii="仿宋" w:hAnsi="仿宋" w:eastAsia="仿宋" w:cs="仿宋"/>
          <w:color w:val="000000" w:themeColor="text1"/>
          <w:sz w:val="24"/>
          <w14:textFill>
            <w14:solidFill>
              <w14:schemeClr w14:val="tx1"/>
            </w14:solidFill>
          </w14:textFill>
        </w:rPr>
      </w:pPr>
    </w:p>
    <w:p w14:paraId="22273329">
      <w:pPr>
        <w:pStyle w:val="25"/>
        <w:spacing w:line="360" w:lineRule="auto"/>
        <w:rPr>
          <w:rFonts w:hint="eastAsia" w:ascii="仿宋" w:hAnsi="仿宋" w:eastAsia="仿宋" w:cs="仿宋"/>
          <w:color w:val="000000" w:themeColor="text1"/>
          <w:sz w:val="24"/>
          <w14:textFill>
            <w14:solidFill>
              <w14:schemeClr w14:val="tx1"/>
            </w14:solidFill>
          </w14:textFill>
        </w:rPr>
      </w:pPr>
    </w:p>
    <w:p w14:paraId="65D626D3">
      <w:pPr>
        <w:pStyle w:val="25"/>
        <w:spacing w:line="360" w:lineRule="auto"/>
        <w:rPr>
          <w:rFonts w:hint="eastAsia" w:ascii="仿宋" w:hAnsi="仿宋" w:eastAsia="仿宋" w:cs="仿宋"/>
          <w:color w:val="000000" w:themeColor="text1"/>
          <w:sz w:val="24"/>
          <w14:textFill>
            <w14:solidFill>
              <w14:schemeClr w14:val="tx1"/>
            </w14:solidFill>
          </w14:textFill>
        </w:rPr>
      </w:pPr>
    </w:p>
    <w:p w14:paraId="3451B90C">
      <w:pPr>
        <w:pStyle w:val="25"/>
        <w:spacing w:line="360" w:lineRule="auto"/>
        <w:rPr>
          <w:rFonts w:hint="eastAsia" w:ascii="仿宋" w:hAnsi="仿宋" w:eastAsia="仿宋" w:cs="仿宋"/>
          <w:color w:val="000000" w:themeColor="text1"/>
          <w:sz w:val="24"/>
          <w14:textFill>
            <w14:solidFill>
              <w14:schemeClr w14:val="tx1"/>
            </w14:solidFill>
          </w14:textFill>
        </w:rPr>
      </w:pPr>
    </w:p>
    <w:p w14:paraId="7A37B653">
      <w:pPr>
        <w:pStyle w:val="25"/>
        <w:spacing w:line="360" w:lineRule="auto"/>
        <w:rPr>
          <w:rFonts w:hint="eastAsia" w:ascii="仿宋" w:hAnsi="仿宋" w:eastAsia="仿宋" w:cs="仿宋"/>
          <w:color w:val="000000" w:themeColor="text1"/>
          <w:sz w:val="24"/>
          <w14:textFill>
            <w14:solidFill>
              <w14:schemeClr w14:val="tx1"/>
            </w14:solidFill>
          </w14:textFill>
        </w:rPr>
      </w:pPr>
    </w:p>
    <w:p w14:paraId="70247796">
      <w:pPr>
        <w:pStyle w:val="25"/>
        <w:spacing w:line="360" w:lineRule="auto"/>
        <w:rPr>
          <w:rFonts w:hint="eastAsia" w:ascii="仿宋" w:hAnsi="仿宋" w:eastAsia="仿宋" w:cs="仿宋"/>
          <w:color w:val="000000" w:themeColor="text1"/>
          <w:sz w:val="24"/>
          <w14:textFill>
            <w14:solidFill>
              <w14:schemeClr w14:val="tx1"/>
            </w14:solidFill>
          </w14:textFill>
        </w:rPr>
      </w:pPr>
    </w:p>
    <w:p w14:paraId="7E9881A9">
      <w:pPr>
        <w:pStyle w:val="25"/>
        <w:spacing w:line="360" w:lineRule="auto"/>
        <w:rPr>
          <w:rFonts w:hint="eastAsia" w:ascii="仿宋" w:hAnsi="仿宋" w:eastAsia="仿宋" w:cs="仿宋"/>
          <w:color w:val="000000" w:themeColor="text1"/>
          <w:sz w:val="24"/>
          <w14:textFill>
            <w14:solidFill>
              <w14:schemeClr w14:val="tx1"/>
            </w14:solidFill>
          </w14:textFill>
        </w:rPr>
      </w:pPr>
    </w:p>
    <w:p w14:paraId="56F1CB47">
      <w:pPr>
        <w:pStyle w:val="25"/>
        <w:spacing w:line="360" w:lineRule="auto"/>
        <w:rPr>
          <w:rFonts w:hint="eastAsia" w:ascii="仿宋" w:hAnsi="仿宋" w:eastAsia="仿宋" w:cs="仿宋"/>
          <w:color w:val="000000" w:themeColor="text1"/>
          <w:sz w:val="24"/>
          <w14:textFill>
            <w14:solidFill>
              <w14:schemeClr w14:val="tx1"/>
            </w14:solidFill>
          </w14:textFill>
        </w:rPr>
      </w:pPr>
    </w:p>
    <w:p w14:paraId="1EFB21E8">
      <w:pPr>
        <w:pStyle w:val="25"/>
        <w:spacing w:line="360" w:lineRule="auto"/>
        <w:rPr>
          <w:rFonts w:hint="eastAsia" w:ascii="仿宋" w:hAnsi="仿宋" w:eastAsia="仿宋" w:cs="仿宋"/>
          <w:color w:val="000000" w:themeColor="text1"/>
          <w:sz w:val="24"/>
          <w14:textFill>
            <w14:solidFill>
              <w14:schemeClr w14:val="tx1"/>
            </w14:solidFill>
          </w14:textFill>
        </w:rPr>
      </w:pPr>
    </w:p>
    <w:p w14:paraId="7E1DFF20">
      <w:pPr>
        <w:pStyle w:val="25"/>
        <w:spacing w:line="360" w:lineRule="auto"/>
        <w:rPr>
          <w:rFonts w:hint="eastAsia" w:ascii="仿宋" w:hAnsi="仿宋" w:eastAsia="仿宋" w:cs="仿宋"/>
          <w:color w:val="000000" w:themeColor="text1"/>
          <w:sz w:val="24"/>
          <w14:textFill>
            <w14:solidFill>
              <w14:schemeClr w14:val="tx1"/>
            </w14:solidFill>
          </w14:textFill>
        </w:rPr>
      </w:pPr>
    </w:p>
    <w:p w14:paraId="642D639E">
      <w:pPr>
        <w:pStyle w:val="25"/>
        <w:spacing w:line="360" w:lineRule="auto"/>
        <w:rPr>
          <w:rFonts w:hint="eastAsia" w:ascii="仿宋" w:hAnsi="仿宋" w:eastAsia="仿宋" w:cs="仿宋"/>
          <w:color w:val="000000" w:themeColor="text1"/>
          <w:sz w:val="24"/>
          <w14:textFill>
            <w14:solidFill>
              <w14:schemeClr w14:val="tx1"/>
            </w14:solidFill>
          </w14:textFill>
        </w:rPr>
      </w:pPr>
    </w:p>
    <w:p w14:paraId="2BCAB538">
      <w:pPr>
        <w:spacing w:line="360" w:lineRule="auto"/>
        <w:outlineLvl w:val="2"/>
        <w:rPr>
          <w:rFonts w:hint="eastAsia" w:ascii="仿宋" w:hAnsi="仿宋" w:eastAsia="仿宋" w:cs="仿宋"/>
          <w:b/>
          <w:bCs/>
          <w:color w:val="000000" w:themeColor="text1"/>
          <w:sz w:val="24"/>
          <w14:textFill>
            <w14:solidFill>
              <w14:schemeClr w14:val="tx1"/>
            </w14:solidFill>
          </w14:textFill>
        </w:rPr>
      </w:pPr>
      <w:bookmarkStart w:id="464" w:name="_Toc24162"/>
      <w:r>
        <w:rPr>
          <w:rFonts w:hint="eastAsia" w:ascii="仿宋" w:hAnsi="仿宋" w:eastAsia="仿宋" w:cs="仿宋"/>
          <w:b/>
          <w:bCs/>
          <w:color w:val="000000" w:themeColor="text1"/>
          <w:sz w:val="24"/>
          <w14:textFill>
            <w14:solidFill>
              <w14:schemeClr w14:val="tx1"/>
            </w14:solidFill>
          </w14:textFill>
        </w:rPr>
        <w:t>附件 具有履行合同所必需的设备和专业技术能力（参考格式）</w:t>
      </w:r>
      <w:bookmarkEnd w:id="464"/>
    </w:p>
    <w:p w14:paraId="73CF3E23">
      <w:pPr>
        <w:spacing w:line="360" w:lineRule="auto"/>
        <w:rPr>
          <w:rFonts w:hint="eastAsia" w:ascii="仿宋" w:hAnsi="仿宋" w:eastAsia="仿宋" w:cs="仿宋"/>
          <w:b/>
          <w:color w:val="000000" w:themeColor="text1"/>
          <w:spacing w:val="4"/>
          <w:sz w:val="24"/>
          <w14:textFill>
            <w14:solidFill>
              <w14:schemeClr w14:val="tx1"/>
            </w14:solidFill>
          </w14:textFill>
        </w:rPr>
      </w:pPr>
    </w:p>
    <w:p w14:paraId="00D620E7">
      <w:pPr>
        <w:spacing w:line="360" w:lineRule="auto"/>
        <w:rPr>
          <w:rFonts w:hint="eastAsia" w:ascii="仿宋" w:hAnsi="仿宋" w:eastAsia="仿宋" w:cs="仿宋"/>
          <w:b/>
          <w:color w:val="000000" w:themeColor="text1"/>
          <w:spacing w:val="4"/>
          <w:sz w:val="24"/>
          <w14:textFill>
            <w14:solidFill>
              <w14:schemeClr w14:val="tx1"/>
            </w14:solidFill>
          </w14:textFill>
        </w:rPr>
      </w:pPr>
      <w:r>
        <w:rPr>
          <w:rFonts w:hint="eastAsia" w:ascii="仿宋" w:hAnsi="仿宋" w:eastAsia="仿宋" w:cs="仿宋"/>
          <w:b/>
          <w:color w:val="000000" w:themeColor="text1"/>
          <w:spacing w:val="4"/>
          <w:sz w:val="24"/>
          <w14:textFill>
            <w14:solidFill>
              <w14:schemeClr w14:val="tx1"/>
            </w14:solidFill>
          </w14:textFill>
        </w:rPr>
        <w:t>提供：</w:t>
      </w:r>
    </w:p>
    <w:p w14:paraId="2A010CDB">
      <w:pPr>
        <w:spacing w:line="360" w:lineRule="auto"/>
        <w:rPr>
          <w:rFonts w:hint="eastAsia" w:ascii="仿宋" w:hAnsi="仿宋" w:eastAsia="仿宋" w:cs="仿宋"/>
          <w:color w:val="000000" w:themeColor="text1"/>
          <w:spacing w:val="4"/>
          <w:sz w:val="24"/>
          <w:u w:val="single"/>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致：</w:t>
      </w:r>
      <w:r>
        <w:rPr>
          <w:rFonts w:hint="eastAsia" w:ascii="仿宋" w:hAnsi="仿宋" w:eastAsia="仿宋" w:cs="仿宋"/>
          <w:color w:val="000000" w:themeColor="text1"/>
          <w:spacing w:val="4"/>
          <w:sz w:val="24"/>
          <w:u w:val="single"/>
          <w14:textFill>
            <w14:solidFill>
              <w14:schemeClr w14:val="tx1"/>
            </w14:solidFill>
          </w14:textFill>
        </w:rPr>
        <w:t xml:space="preserve">     （采购人名称）   </w:t>
      </w:r>
      <w:r>
        <w:rPr>
          <w:rFonts w:hint="eastAsia" w:ascii="仿宋" w:hAnsi="仿宋" w:eastAsia="仿宋" w:cs="仿宋"/>
          <w:color w:val="000000" w:themeColor="text1"/>
          <w:spacing w:val="4"/>
          <w:sz w:val="24"/>
          <w14:textFill>
            <w14:solidFill>
              <w14:schemeClr w14:val="tx1"/>
            </w14:solidFill>
          </w14:textFill>
        </w:rPr>
        <w:t>：</w:t>
      </w:r>
    </w:p>
    <w:p w14:paraId="3C910490">
      <w:pPr>
        <w:spacing w:before="240" w:beforeLines="100" w:after="120" w:afterLines="50" w:line="360" w:lineRule="auto"/>
        <w:ind w:firstLine="496" w:firstLineChars="200"/>
        <w:rPr>
          <w:rFonts w:hint="eastAsia"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pacing w:val="4"/>
          <w:sz w:val="24"/>
          <w:u w:val="single"/>
          <w14:textFill>
            <w14:solidFill>
              <w14:schemeClr w14:val="tx1"/>
            </w14:solidFill>
          </w14:textFill>
        </w:rPr>
        <w:t>（公司）</w:t>
      </w:r>
      <w:r>
        <w:rPr>
          <w:rFonts w:hint="eastAsia" w:ascii="仿宋" w:hAnsi="仿宋" w:eastAsia="仿宋" w:cs="仿宋"/>
          <w:color w:val="000000" w:themeColor="text1"/>
          <w:spacing w:val="4"/>
          <w:sz w:val="24"/>
          <w14:textFill>
            <w14:solidFill>
              <w14:schemeClr w14:val="tx1"/>
            </w14:solidFill>
          </w14:textFill>
        </w:rPr>
        <w:t>于</w:t>
      </w:r>
      <w:r>
        <w:rPr>
          <w:rFonts w:hint="eastAsia" w:ascii="仿宋" w:hAnsi="仿宋" w:eastAsia="仿宋" w:cs="仿宋"/>
          <w:color w:val="000000" w:themeColor="text1"/>
          <w:spacing w:val="4"/>
          <w:sz w:val="24"/>
          <w:u w:val="single"/>
          <w14:textFill>
            <w14:solidFill>
              <w14:schemeClr w14:val="tx1"/>
            </w14:solidFill>
          </w14:textFill>
        </w:rPr>
        <w:t xml:space="preserve">  </w:t>
      </w:r>
      <w:r>
        <w:rPr>
          <w:rFonts w:hint="eastAsia" w:ascii="仿宋" w:hAnsi="仿宋" w:eastAsia="仿宋" w:cs="仿宋"/>
          <w:color w:val="000000" w:themeColor="text1"/>
          <w:spacing w:val="4"/>
          <w:sz w:val="24"/>
          <w14:textFill>
            <w14:solidFill>
              <w14:schemeClr w14:val="tx1"/>
            </w14:solidFill>
          </w14:textFill>
        </w:rPr>
        <w:t>年</w:t>
      </w:r>
      <w:r>
        <w:rPr>
          <w:rFonts w:hint="eastAsia" w:ascii="仿宋" w:hAnsi="仿宋" w:eastAsia="仿宋" w:cs="仿宋"/>
          <w:color w:val="000000" w:themeColor="text1"/>
          <w:spacing w:val="4"/>
          <w:sz w:val="24"/>
          <w:u w:val="single"/>
          <w14:textFill>
            <w14:solidFill>
              <w14:schemeClr w14:val="tx1"/>
            </w14:solidFill>
          </w14:textFill>
        </w:rPr>
        <w:t xml:space="preserve">  </w:t>
      </w:r>
      <w:r>
        <w:rPr>
          <w:rFonts w:hint="eastAsia" w:ascii="仿宋" w:hAnsi="仿宋" w:eastAsia="仿宋" w:cs="仿宋"/>
          <w:color w:val="000000" w:themeColor="text1"/>
          <w:spacing w:val="4"/>
          <w:sz w:val="24"/>
          <w14:textFill>
            <w14:solidFill>
              <w14:schemeClr w14:val="tx1"/>
            </w14:solidFill>
          </w14:textFill>
        </w:rPr>
        <w:t>月</w:t>
      </w:r>
      <w:r>
        <w:rPr>
          <w:rFonts w:hint="eastAsia" w:ascii="仿宋" w:hAnsi="仿宋" w:eastAsia="仿宋" w:cs="仿宋"/>
          <w:color w:val="000000" w:themeColor="text1"/>
          <w:spacing w:val="4"/>
          <w:sz w:val="24"/>
          <w:u w:val="single"/>
          <w14:textFill>
            <w14:solidFill>
              <w14:schemeClr w14:val="tx1"/>
            </w14:solidFill>
          </w14:textFill>
        </w:rPr>
        <w:t xml:space="preserve">  </w:t>
      </w:r>
      <w:r>
        <w:rPr>
          <w:rFonts w:hint="eastAsia" w:ascii="仿宋" w:hAnsi="仿宋" w:eastAsia="仿宋" w:cs="仿宋"/>
          <w:color w:val="000000" w:themeColor="text1"/>
          <w:spacing w:val="4"/>
          <w:sz w:val="24"/>
          <w14:textFill>
            <w14:solidFill>
              <w14:schemeClr w14:val="tx1"/>
            </w14:solidFill>
          </w14:textFill>
        </w:rPr>
        <w:t>日在中华人民共和国境内</w:t>
      </w:r>
      <w:r>
        <w:rPr>
          <w:rFonts w:hint="eastAsia" w:ascii="仿宋" w:hAnsi="仿宋" w:eastAsia="仿宋" w:cs="仿宋"/>
          <w:color w:val="000000" w:themeColor="text1"/>
          <w:spacing w:val="4"/>
          <w:sz w:val="24"/>
          <w:u w:val="single"/>
          <w14:textFill>
            <w14:solidFill>
              <w14:schemeClr w14:val="tx1"/>
            </w14:solidFill>
          </w14:textFill>
        </w:rPr>
        <w:t>（详细注册地址）</w:t>
      </w:r>
      <w:r>
        <w:rPr>
          <w:rFonts w:hint="eastAsia" w:ascii="仿宋" w:hAnsi="仿宋" w:eastAsia="仿宋" w:cs="仿宋"/>
          <w:color w:val="000000" w:themeColor="text1"/>
          <w:spacing w:val="4"/>
          <w:sz w:val="24"/>
          <w14:textFill>
            <w14:solidFill>
              <w14:schemeClr w14:val="tx1"/>
            </w14:solidFill>
          </w14:textFill>
        </w:rPr>
        <w:t>合法注册并经营，公司主营业务为</w:t>
      </w:r>
      <w:r>
        <w:rPr>
          <w:rFonts w:hint="eastAsia" w:ascii="仿宋" w:hAnsi="仿宋" w:eastAsia="仿宋" w:cs="仿宋"/>
          <w:color w:val="000000" w:themeColor="text1"/>
          <w:spacing w:val="4"/>
          <w:sz w:val="24"/>
          <w:u w:val="single"/>
          <w14:textFill>
            <w14:solidFill>
              <w14:schemeClr w14:val="tx1"/>
            </w14:solidFill>
          </w14:textFill>
        </w:rPr>
        <w:t>（      ）</w:t>
      </w:r>
      <w:r>
        <w:rPr>
          <w:rFonts w:hint="eastAsia" w:ascii="仿宋" w:hAnsi="仿宋" w:eastAsia="仿宋" w:cs="仿宋"/>
          <w:color w:val="000000" w:themeColor="text1"/>
          <w:spacing w:val="4"/>
          <w:sz w:val="24"/>
          <w14:textFill>
            <w14:solidFill>
              <w14:schemeClr w14:val="tx1"/>
            </w14:solidFill>
          </w14:textFill>
        </w:rPr>
        <w:t>，营业（生产经营）面积为</w:t>
      </w:r>
      <w:r>
        <w:rPr>
          <w:rFonts w:hint="eastAsia" w:ascii="仿宋" w:hAnsi="仿宋" w:eastAsia="仿宋" w:cs="仿宋"/>
          <w:color w:val="000000" w:themeColor="text1"/>
          <w:spacing w:val="4"/>
          <w:sz w:val="24"/>
          <w:u w:val="single"/>
          <w14:textFill>
            <w14:solidFill>
              <w14:schemeClr w14:val="tx1"/>
            </w14:solidFill>
          </w14:textFill>
        </w:rPr>
        <w:t>（  ）</w:t>
      </w:r>
      <w:r>
        <w:rPr>
          <w:rFonts w:hint="eastAsia" w:ascii="仿宋" w:hAnsi="仿宋" w:eastAsia="仿宋" w:cs="仿宋"/>
          <w:color w:val="000000" w:themeColor="text1"/>
          <w:spacing w:val="4"/>
          <w:sz w:val="24"/>
          <w14:textFill>
            <w14:solidFill>
              <w14:schemeClr w14:val="tx1"/>
            </w14:solidFill>
          </w14:textFill>
        </w:rPr>
        <w:t>。主要设备有</w:t>
      </w:r>
      <w:r>
        <w:rPr>
          <w:rFonts w:hint="eastAsia" w:ascii="仿宋" w:hAnsi="仿宋" w:eastAsia="仿宋" w:cs="仿宋"/>
          <w:color w:val="000000" w:themeColor="text1"/>
          <w:spacing w:val="4"/>
          <w:sz w:val="24"/>
          <w:u w:val="single"/>
          <w14:textFill>
            <w14:solidFill>
              <w14:schemeClr w14:val="tx1"/>
            </w14:solidFill>
          </w14:textFill>
        </w:rPr>
        <w:t>（     品种、数量）</w:t>
      </w:r>
      <w:r>
        <w:rPr>
          <w:rFonts w:hint="eastAsia" w:ascii="仿宋" w:hAnsi="仿宋" w:eastAsia="仿宋" w:cs="仿宋"/>
          <w:color w:val="000000" w:themeColor="text1"/>
          <w:spacing w:val="4"/>
          <w:sz w:val="24"/>
          <w14:textFill>
            <w14:solidFill>
              <w14:schemeClr w14:val="tx1"/>
            </w14:solidFill>
          </w14:textFill>
        </w:rPr>
        <w:t>，其中用于履行本合同所必需的设备有</w:t>
      </w:r>
      <w:r>
        <w:rPr>
          <w:rFonts w:hint="eastAsia" w:ascii="仿宋" w:hAnsi="仿宋" w:eastAsia="仿宋" w:cs="仿宋"/>
          <w:color w:val="000000" w:themeColor="text1"/>
          <w:spacing w:val="4"/>
          <w:sz w:val="24"/>
          <w:u w:val="single"/>
          <w14:textFill>
            <w14:solidFill>
              <w14:schemeClr w14:val="tx1"/>
            </w14:solidFill>
          </w14:textFill>
        </w:rPr>
        <w:t>（    品种、数量）</w:t>
      </w:r>
      <w:r>
        <w:rPr>
          <w:rFonts w:hint="eastAsia" w:ascii="仿宋" w:hAnsi="仿宋" w:eastAsia="仿宋" w:cs="仿宋"/>
          <w:color w:val="000000" w:themeColor="text1"/>
          <w:spacing w:val="4"/>
          <w:sz w:val="24"/>
          <w14:textFill>
            <w14:solidFill>
              <w14:schemeClr w14:val="tx1"/>
            </w14:solidFill>
          </w14:textFill>
        </w:rPr>
        <w:t>；现有员工数量为</w:t>
      </w:r>
      <w:r>
        <w:rPr>
          <w:rFonts w:hint="eastAsia" w:ascii="仿宋" w:hAnsi="仿宋" w:eastAsia="仿宋" w:cs="仿宋"/>
          <w:color w:val="000000" w:themeColor="text1"/>
          <w:spacing w:val="4"/>
          <w:sz w:val="24"/>
          <w:u w:val="single"/>
          <w14:textFill>
            <w14:solidFill>
              <w14:schemeClr w14:val="tx1"/>
            </w14:solidFill>
          </w14:textFill>
        </w:rPr>
        <w:t>（       ）</w:t>
      </w:r>
      <w:r>
        <w:rPr>
          <w:rFonts w:hint="eastAsia" w:ascii="仿宋" w:hAnsi="仿宋" w:eastAsia="仿宋" w:cs="仿宋"/>
          <w:color w:val="000000" w:themeColor="text1"/>
          <w:spacing w:val="4"/>
          <w:sz w:val="24"/>
          <w14:textFill>
            <w14:solidFill>
              <w14:schemeClr w14:val="tx1"/>
            </w14:solidFill>
          </w14:textFill>
        </w:rPr>
        <w:t>，其中与履行本合同相关的专业技术人员有</w:t>
      </w:r>
      <w:r>
        <w:rPr>
          <w:rFonts w:hint="eastAsia" w:ascii="仿宋" w:hAnsi="仿宋" w:eastAsia="仿宋" w:cs="仿宋"/>
          <w:color w:val="000000" w:themeColor="text1"/>
          <w:spacing w:val="4"/>
          <w:sz w:val="24"/>
          <w:u w:val="single"/>
          <w14:textFill>
            <w14:solidFill>
              <w14:schemeClr w14:val="tx1"/>
            </w14:solidFill>
          </w14:textFill>
        </w:rPr>
        <w:t>（          专业能力、数量）</w:t>
      </w:r>
      <w:r>
        <w:rPr>
          <w:rFonts w:hint="eastAsia" w:ascii="仿宋" w:hAnsi="仿宋" w:eastAsia="仿宋" w:cs="仿宋"/>
          <w:color w:val="000000" w:themeColor="text1"/>
          <w:spacing w:val="4"/>
          <w:sz w:val="24"/>
          <w14:textFill>
            <w14:solidFill>
              <w14:schemeClr w14:val="tx1"/>
            </w14:solidFill>
          </w14:textFill>
        </w:rPr>
        <w:t>，本公司郑重承诺，具有履行本合同所必需的设备和专业技术能力。</w:t>
      </w:r>
    </w:p>
    <w:p w14:paraId="75FF6044">
      <w:pPr>
        <w:pStyle w:val="16"/>
        <w:spacing w:line="360" w:lineRule="auto"/>
        <w:rPr>
          <w:rFonts w:hint="eastAsia" w:ascii="仿宋" w:hAnsi="仿宋" w:eastAsia="仿宋" w:cs="仿宋"/>
          <w:color w:val="000000" w:themeColor="text1"/>
          <w:spacing w:val="4"/>
          <w:sz w:val="24"/>
          <w14:textFill>
            <w14:solidFill>
              <w14:schemeClr w14:val="tx1"/>
            </w14:solidFill>
          </w14:textFill>
        </w:rPr>
      </w:pPr>
    </w:p>
    <w:p w14:paraId="2BCC992A">
      <w:pPr>
        <w:spacing w:line="360" w:lineRule="auto"/>
        <w:rPr>
          <w:rFonts w:hint="eastAsia" w:ascii="仿宋" w:hAnsi="仿宋" w:eastAsia="仿宋" w:cs="仿宋"/>
          <w:color w:val="000000" w:themeColor="text1"/>
          <w:spacing w:val="4"/>
          <w:sz w:val="24"/>
          <w:szCs w:val="24"/>
          <w14:textFill>
            <w14:solidFill>
              <w14:schemeClr w14:val="tx1"/>
            </w14:solidFill>
          </w14:textFill>
        </w:rPr>
      </w:pPr>
    </w:p>
    <w:p w14:paraId="571EC3E6">
      <w:pPr>
        <w:pStyle w:val="25"/>
        <w:spacing w:line="360" w:lineRule="auto"/>
        <w:rPr>
          <w:rFonts w:hint="eastAsia" w:ascii="仿宋" w:hAnsi="仿宋" w:eastAsia="仿宋" w:cs="仿宋"/>
          <w:color w:val="000000" w:themeColor="text1"/>
          <w:spacing w:val="4"/>
          <w:sz w:val="24"/>
          <w14:textFill>
            <w14:solidFill>
              <w14:schemeClr w14:val="tx1"/>
            </w14:solidFill>
          </w14:textFill>
        </w:rPr>
      </w:pPr>
    </w:p>
    <w:p w14:paraId="712FBCA4">
      <w:pPr>
        <w:pStyle w:val="25"/>
        <w:spacing w:line="360" w:lineRule="auto"/>
        <w:rPr>
          <w:rFonts w:hint="eastAsia" w:ascii="仿宋" w:hAnsi="仿宋" w:eastAsia="仿宋" w:cs="仿宋"/>
          <w:color w:val="000000" w:themeColor="text1"/>
          <w:spacing w:val="4"/>
          <w:sz w:val="24"/>
          <w14:textFill>
            <w14:solidFill>
              <w14:schemeClr w14:val="tx1"/>
            </w14:solidFill>
          </w14:textFill>
        </w:rPr>
      </w:pPr>
    </w:p>
    <w:p w14:paraId="0C69F2F2">
      <w:pPr>
        <w:pStyle w:val="25"/>
        <w:spacing w:line="360" w:lineRule="auto"/>
        <w:rPr>
          <w:rFonts w:hint="eastAsia" w:ascii="仿宋" w:hAnsi="仿宋" w:eastAsia="仿宋" w:cs="仿宋"/>
          <w:color w:val="000000" w:themeColor="text1"/>
          <w:spacing w:val="4"/>
          <w:sz w:val="24"/>
          <w14:textFill>
            <w14:solidFill>
              <w14:schemeClr w14:val="tx1"/>
            </w14:solidFill>
          </w14:textFill>
        </w:rPr>
      </w:pPr>
    </w:p>
    <w:p w14:paraId="6FB78962">
      <w:pPr>
        <w:pStyle w:val="25"/>
        <w:spacing w:line="360" w:lineRule="auto"/>
        <w:rPr>
          <w:rFonts w:hint="eastAsia" w:ascii="仿宋" w:hAnsi="仿宋" w:eastAsia="仿宋" w:cs="仿宋"/>
          <w:color w:val="000000" w:themeColor="text1"/>
          <w:spacing w:val="4"/>
          <w:sz w:val="24"/>
          <w14:textFill>
            <w14:solidFill>
              <w14:schemeClr w14:val="tx1"/>
            </w14:solidFill>
          </w14:textFill>
        </w:rPr>
      </w:pPr>
    </w:p>
    <w:p w14:paraId="40E8958E">
      <w:pPr>
        <w:pStyle w:val="25"/>
        <w:spacing w:line="360" w:lineRule="auto"/>
        <w:rPr>
          <w:rFonts w:hint="eastAsia" w:ascii="仿宋" w:hAnsi="仿宋" w:eastAsia="仿宋" w:cs="仿宋"/>
          <w:color w:val="000000" w:themeColor="text1"/>
          <w:spacing w:val="4"/>
          <w:sz w:val="24"/>
          <w14:textFill>
            <w14:solidFill>
              <w14:schemeClr w14:val="tx1"/>
            </w14:solidFill>
          </w14:textFill>
        </w:rPr>
      </w:pPr>
    </w:p>
    <w:p w14:paraId="6AD2DDB3">
      <w:pPr>
        <w:spacing w:before="240" w:beforeLines="100" w:after="120" w:afterLines="50" w:line="360" w:lineRule="auto"/>
        <w:ind w:firstLine="170"/>
        <w:rPr>
          <w:rFonts w:hint="eastAsia" w:ascii="仿宋" w:hAnsi="仿宋" w:eastAsia="仿宋" w:cs="仿宋"/>
          <w:color w:val="000000" w:themeColor="text1"/>
          <w:spacing w:val="4"/>
          <w:sz w:val="24"/>
          <w14:textFill>
            <w14:solidFill>
              <w14:schemeClr w14:val="tx1"/>
            </w14:solidFill>
          </w14:textFill>
        </w:rPr>
      </w:pPr>
    </w:p>
    <w:p w14:paraId="12DAAF17">
      <w:pPr>
        <w:pStyle w:val="16"/>
        <w:spacing w:line="360" w:lineRule="auto"/>
        <w:rPr>
          <w:rFonts w:hint="eastAsia" w:ascii="仿宋" w:hAnsi="仿宋" w:eastAsia="仿宋" w:cs="仿宋"/>
          <w:color w:val="000000" w:themeColor="text1"/>
          <w:spacing w:val="4"/>
          <w:sz w:val="24"/>
          <w14:textFill>
            <w14:solidFill>
              <w14:schemeClr w14:val="tx1"/>
            </w14:solidFill>
          </w14:textFill>
        </w:rPr>
      </w:pPr>
    </w:p>
    <w:p w14:paraId="101F2D8D">
      <w:pPr>
        <w:spacing w:line="360" w:lineRule="auto"/>
        <w:rPr>
          <w:rFonts w:hint="eastAsia" w:ascii="仿宋" w:hAnsi="仿宋" w:eastAsia="仿宋" w:cs="仿宋"/>
          <w:color w:val="000000" w:themeColor="text1"/>
          <w14:textFill>
            <w14:solidFill>
              <w14:schemeClr w14:val="tx1"/>
            </w14:solidFill>
          </w14:textFill>
        </w:rPr>
      </w:pPr>
    </w:p>
    <w:p w14:paraId="246637A6">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u w:val="single"/>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名称：</w:t>
      </w:r>
      <w:r>
        <w:rPr>
          <w:rFonts w:hint="eastAsia" w:ascii="仿宋" w:hAnsi="仿宋" w:eastAsia="仿宋" w:cs="仿宋"/>
          <w:color w:val="000000" w:themeColor="text1"/>
          <w:szCs w:val="24"/>
          <w:u w:val="single"/>
          <w14:textFill>
            <w14:solidFill>
              <w14:schemeClr w14:val="tx1"/>
            </w14:solidFill>
          </w14:textFill>
        </w:rPr>
        <w:t xml:space="preserve">                           （盖章）</w:t>
      </w:r>
    </w:p>
    <w:p w14:paraId="1E2F83A7">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法定代表人或授权代理人：</w:t>
      </w:r>
      <w:r>
        <w:rPr>
          <w:rFonts w:hint="eastAsia" w:ascii="仿宋" w:hAnsi="仿宋" w:eastAsia="仿宋" w:cs="仿宋"/>
          <w:color w:val="000000" w:themeColor="text1"/>
          <w:szCs w:val="24"/>
          <w:u w:val="single"/>
          <w14:textFill>
            <w14:solidFill>
              <w14:schemeClr w14:val="tx1"/>
            </w14:solidFill>
          </w14:textFill>
        </w:rPr>
        <w:t xml:space="preserve">         （签字或盖章）</w:t>
      </w:r>
    </w:p>
    <w:p w14:paraId="50DF9C71">
      <w:pPr>
        <w:spacing w:line="360" w:lineRule="auto"/>
        <w:outlineLvl w:val="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bookmarkStart w:id="465" w:name="_Toc332805172"/>
      <w:bookmarkStart w:id="466" w:name="_Toc332805617"/>
      <w:bookmarkStart w:id="467" w:name="_Toc23800"/>
      <w:bookmarkStart w:id="468" w:name="_Toc109543226"/>
      <w:bookmarkStart w:id="469" w:name="_Toc109542406"/>
      <w:r>
        <w:rPr>
          <w:rFonts w:hint="eastAsia" w:ascii="仿宋" w:hAnsi="仿宋" w:eastAsia="仿宋" w:cs="仿宋"/>
          <w:b/>
          <w:bCs/>
          <w:color w:val="000000" w:themeColor="text1"/>
          <w:sz w:val="24"/>
          <w14:textFill>
            <w14:solidFill>
              <w14:schemeClr w14:val="tx1"/>
            </w14:solidFill>
          </w14:textFill>
        </w:rPr>
        <w:t xml:space="preserve">附件 </w:t>
      </w:r>
      <w:bookmarkEnd w:id="465"/>
      <w:bookmarkEnd w:id="466"/>
      <w:r>
        <w:rPr>
          <w:rFonts w:hint="eastAsia" w:ascii="仿宋" w:hAnsi="仿宋" w:eastAsia="仿宋" w:cs="仿宋"/>
          <w:b/>
          <w:bCs/>
          <w:color w:val="000000" w:themeColor="text1"/>
          <w:sz w:val="24"/>
          <w14:textFill>
            <w14:solidFill>
              <w14:schemeClr w14:val="tx1"/>
            </w14:solidFill>
          </w14:textFill>
        </w:rPr>
        <w:t>有依法缴纳税收和社会保障资金的良好记录</w:t>
      </w:r>
      <w:bookmarkEnd w:id="467"/>
    </w:p>
    <w:p w14:paraId="042241D5">
      <w:pPr>
        <w:spacing w:line="360" w:lineRule="auto"/>
        <w:rPr>
          <w:rFonts w:hint="eastAsia" w:ascii="仿宋" w:hAnsi="仿宋" w:eastAsia="仿宋" w:cs="仿宋"/>
          <w:b/>
          <w:bCs/>
          <w:color w:val="000000" w:themeColor="text1"/>
          <w:sz w:val="24"/>
          <w14:textFill>
            <w14:solidFill>
              <w14:schemeClr w14:val="tx1"/>
            </w14:solidFill>
          </w14:textFill>
        </w:rPr>
      </w:pPr>
    </w:p>
    <w:p w14:paraId="3493D626">
      <w:pPr>
        <w:spacing w:line="360" w:lineRule="auto"/>
        <w:rPr>
          <w:rFonts w:hint="eastAsia" w:ascii="仿宋" w:hAnsi="仿宋" w:eastAsia="仿宋" w:cs="仿宋"/>
          <w:color w:val="000000" w:themeColor="text1"/>
          <w:sz w:val="24"/>
          <w14:textFill>
            <w14:solidFill>
              <w14:schemeClr w14:val="tx1"/>
            </w14:solidFill>
          </w14:textFill>
        </w:rPr>
      </w:pPr>
    </w:p>
    <w:p w14:paraId="0C2DDB9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p w14:paraId="3C53C2CE">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社会保障资金：</w:t>
      </w:r>
    </w:p>
    <w:p w14:paraId="5D72388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须依法缴纳社会保障资金，须提供截止开标日期前一年内任意1个月的社会保障资金缴纳记录复印件并加盖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单位公章，自行编写无效。依法不需要缴纳社会保障资金的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提供相应证明文件证明依法不需要缴纳社会保障资金；</w:t>
      </w:r>
    </w:p>
    <w:p w14:paraId="00E79C0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2、国家、地方工商管理部门或者其他相关管理部门对社会保障资金缴纳（如免缴）有特别政策的，须提供相关政策文件复印件以及</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满足相关政策文件的证明文件。</w:t>
      </w:r>
    </w:p>
    <w:p w14:paraId="386D747F">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依法缴纳税收：</w:t>
      </w:r>
    </w:p>
    <w:p w14:paraId="585709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须提供截止开标日期前一年内任意1个月的依法缴纳税收证明（不同于社保税的其他完税证明）。依法免税的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提供相应文件证明其依法免税。</w:t>
      </w:r>
    </w:p>
    <w:p w14:paraId="4A09FFF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4、国家、地方工商管理部门或者其他相关管理部门对企业纳税有特别规定的，须提供相关政策性文件复印件和</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满足政策文件规定的证明文件。</w:t>
      </w:r>
    </w:p>
    <w:p w14:paraId="1D7E5472">
      <w:pPr>
        <w:spacing w:line="360" w:lineRule="auto"/>
        <w:rPr>
          <w:rFonts w:hint="eastAsia" w:ascii="仿宋" w:hAnsi="仿宋" w:eastAsia="仿宋" w:cs="仿宋"/>
          <w:color w:val="000000" w:themeColor="text1"/>
          <w:sz w:val="24"/>
          <w14:textFill>
            <w14:solidFill>
              <w14:schemeClr w14:val="tx1"/>
            </w14:solidFill>
          </w14:textFill>
        </w:rPr>
      </w:pPr>
    </w:p>
    <w:p w14:paraId="16736ED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bookmarkEnd w:id="468"/>
    <w:bookmarkEnd w:id="469"/>
    <w:p w14:paraId="3E41AC37">
      <w:pPr>
        <w:spacing w:line="360" w:lineRule="auto"/>
        <w:rPr>
          <w:rFonts w:hint="eastAsia" w:ascii="仿宋" w:hAnsi="仿宋" w:eastAsia="仿宋" w:cs="仿宋"/>
          <w:b/>
          <w:bCs/>
          <w:color w:val="000000" w:themeColor="text1"/>
          <w:sz w:val="24"/>
          <w14:textFill>
            <w14:solidFill>
              <w14:schemeClr w14:val="tx1"/>
            </w14:solidFill>
          </w14:textFill>
        </w:rPr>
      </w:pPr>
    </w:p>
    <w:p w14:paraId="217939EA">
      <w:pPr>
        <w:spacing w:line="360" w:lineRule="auto"/>
        <w:outlineLvl w:val="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bookmarkStart w:id="470" w:name="_Toc3974"/>
      <w:r>
        <w:rPr>
          <w:rFonts w:hint="eastAsia" w:ascii="仿宋" w:hAnsi="仿宋" w:eastAsia="仿宋" w:cs="仿宋"/>
          <w:b/>
          <w:bCs/>
          <w:color w:val="000000" w:themeColor="text1"/>
          <w:sz w:val="24"/>
          <w14:textFill>
            <w14:solidFill>
              <w14:schemeClr w14:val="tx1"/>
            </w14:solidFill>
          </w14:textFill>
        </w:rPr>
        <w:t>附件 参加本次政府采购活动前三年内，在经营活动中没有重大违法记录的书面声明</w:t>
      </w:r>
      <w:bookmarkEnd w:id="470"/>
    </w:p>
    <w:p w14:paraId="79610849">
      <w:pPr>
        <w:spacing w:line="360" w:lineRule="auto"/>
        <w:rPr>
          <w:rFonts w:hint="eastAsia" w:ascii="仿宋" w:hAnsi="仿宋" w:eastAsia="仿宋" w:cs="仿宋"/>
          <w:color w:val="000000" w:themeColor="text1"/>
          <w:sz w:val="24"/>
          <w14:textFill>
            <w14:solidFill>
              <w14:schemeClr w14:val="tx1"/>
            </w14:solidFill>
          </w14:textFill>
        </w:rPr>
      </w:pPr>
    </w:p>
    <w:p w14:paraId="565CC5CC">
      <w:pPr>
        <w:spacing w:line="360" w:lineRule="auto"/>
        <w:rPr>
          <w:rFonts w:hint="eastAsia" w:ascii="仿宋" w:hAnsi="仿宋" w:eastAsia="仿宋" w:cs="仿宋"/>
          <w:color w:val="000000" w:themeColor="text1"/>
          <w:sz w:val="24"/>
          <w14:textFill>
            <w14:solidFill>
              <w14:schemeClr w14:val="tx1"/>
            </w14:solidFill>
          </w14:textFill>
        </w:rPr>
      </w:pPr>
    </w:p>
    <w:p w14:paraId="285A5186">
      <w:pPr>
        <w:widowControl/>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（采购代理机构）</w:t>
      </w:r>
      <w:r>
        <w:rPr>
          <w:rFonts w:hint="eastAsia" w:ascii="仿宋" w:hAnsi="仿宋" w:eastAsia="仿宋" w:cs="仿宋"/>
          <w:color w:val="000000" w:themeColor="text1"/>
          <w:kern w:val="0"/>
          <w:sz w:val="24"/>
          <w:szCs w:val="24"/>
          <w14:textFill>
            <w14:solidFill>
              <w14:schemeClr w14:val="tx1"/>
            </w14:solidFill>
          </w14:textFill>
        </w:rPr>
        <w:t>：</w:t>
      </w:r>
    </w:p>
    <w:p w14:paraId="6F098541">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我方作为</w:t>
      </w:r>
      <w:r>
        <w:rPr>
          <w:rFonts w:hint="eastAsia" w:ascii="仿宋" w:hAnsi="仿宋" w:eastAsia="仿宋" w:cs="仿宋"/>
          <w:color w:val="000000" w:themeColor="text1"/>
          <w:kern w:val="0"/>
          <w:sz w:val="24"/>
          <w:szCs w:val="24"/>
          <w:u w:val="single"/>
          <w14:textFill>
            <w14:solidFill>
              <w14:schemeClr w14:val="tx1"/>
            </w14:solidFill>
          </w14:textFill>
        </w:rPr>
        <w:t>项目名称</w:t>
      </w:r>
      <w:r>
        <w:rPr>
          <w:rFonts w:hint="eastAsia" w:ascii="仿宋" w:hAnsi="仿宋" w:eastAsia="仿宋" w:cs="仿宋"/>
          <w:color w:val="000000" w:themeColor="text1"/>
          <w:kern w:val="0"/>
          <w:sz w:val="24"/>
          <w:szCs w:val="24"/>
          <w14:textFill>
            <w14:solidFill>
              <w14:schemeClr w14:val="tx1"/>
            </w14:solidFill>
          </w14:textFill>
        </w:rPr>
        <w:t>（项目编号：____）的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kern w:val="0"/>
          <w:sz w:val="24"/>
          <w:szCs w:val="24"/>
          <w14:textFill>
            <w14:solidFill>
              <w14:schemeClr w14:val="tx1"/>
            </w14:solidFill>
          </w14:textFill>
        </w:rPr>
        <w:t>，在此郑重声明：</w:t>
      </w:r>
    </w:p>
    <w:p w14:paraId="31B66020">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1、在参加本次政府采购活动前3年内的经营活动中____（填“没有”或“有”）重大违法记录。</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b/>
          <w:bCs/>
          <w:color w:val="000000" w:themeColor="text1"/>
          <w:kern w:val="0"/>
          <w:sz w:val="24"/>
          <w:szCs w:val="24"/>
          <w14:textFill>
            <w14:solidFill>
              <w14:schemeClr w14:val="tx1"/>
            </w14:solidFill>
          </w14:textFill>
        </w:rPr>
        <w:t>在参加政府采购活动前3年内因违法经营被禁止在一定期限内参加政府采购活动，期限届满的，可以参加政府采购活动，但应提供期限届满的证明材料。</w:t>
      </w:r>
    </w:p>
    <w:p w14:paraId="66DA1013">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2、我方______（填“未被列入”或“被列入”）失信被执行人名单。</w:t>
      </w:r>
    </w:p>
    <w:p w14:paraId="17F888EA">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3、我方______（填“未被列入”或“被列入”）重大税收违法案件当事人名单。</w:t>
      </w:r>
    </w:p>
    <w:p w14:paraId="68B4502F">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4、我方______（填“未被列入”或“被列入”）政府采购严重违法失信行为记录名单。</w:t>
      </w:r>
    </w:p>
    <w:p w14:paraId="2DDC05E6">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如有不实，我方将无条件地退出本项目的采购活动，并遵照《政府采购法》有关“提供虚假材料的规定”接受处罚。</w:t>
      </w:r>
    </w:p>
    <w:p w14:paraId="777C8BB0">
      <w:pPr>
        <w:widowControl/>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特此声明。</w:t>
      </w:r>
    </w:p>
    <w:p w14:paraId="1DB75FA8">
      <w:pPr>
        <w:spacing w:line="360" w:lineRule="auto"/>
        <w:rPr>
          <w:rFonts w:hint="eastAsia" w:ascii="仿宋" w:hAnsi="仿宋" w:eastAsia="仿宋" w:cs="仿宋"/>
          <w:color w:val="000000" w:themeColor="text1"/>
          <w:sz w:val="24"/>
          <w14:textFill>
            <w14:solidFill>
              <w14:schemeClr w14:val="tx1"/>
            </w14:solidFill>
          </w14:textFill>
        </w:rPr>
      </w:pPr>
    </w:p>
    <w:p w14:paraId="44230552">
      <w:pPr>
        <w:spacing w:line="360" w:lineRule="auto"/>
        <w:rPr>
          <w:rFonts w:hint="eastAsia" w:ascii="仿宋" w:hAnsi="仿宋" w:eastAsia="仿宋" w:cs="仿宋"/>
          <w:color w:val="000000" w:themeColor="text1"/>
          <w:sz w:val="24"/>
          <w14:textFill>
            <w14:solidFill>
              <w14:schemeClr w14:val="tx1"/>
            </w14:solidFill>
          </w14:textFill>
        </w:rPr>
      </w:pPr>
    </w:p>
    <w:p w14:paraId="504EB9D5">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u w:val="single"/>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名称：</w:t>
      </w:r>
      <w:r>
        <w:rPr>
          <w:rFonts w:hint="eastAsia" w:ascii="仿宋" w:hAnsi="仿宋" w:eastAsia="仿宋" w:cs="仿宋"/>
          <w:color w:val="000000" w:themeColor="text1"/>
          <w:szCs w:val="24"/>
          <w:u w:val="single"/>
          <w14:textFill>
            <w14:solidFill>
              <w14:schemeClr w14:val="tx1"/>
            </w14:solidFill>
          </w14:textFill>
        </w:rPr>
        <w:t xml:space="preserve">                           （盖章）</w:t>
      </w:r>
    </w:p>
    <w:p w14:paraId="1A07E43E">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法定代表人或授权代理人：</w:t>
      </w:r>
      <w:r>
        <w:rPr>
          <w:rFonts w:hint="eastAsia" w:ascii="仿宋" w:hAnsi="仿宋" w:eastAsia="仿宋" w:cs="仿宋"/>
          <w:color w:val="000000" w:themeColor="text1"/>
          <w:szCs w:val="24"/>
          <w:u w:val="single"/>
          <w14:textFill>
            <w14:solidFill>
              <w14:schemeClr w14:val="tx1"/>
            </w14:solidFill>
          </w14:textFill>
        </w:rPr>
        <w:t xml:space="preserve">         （签字或盖章）</w:t>
      </w:r>
    </w:p>
    <w:p w14:paraId="4C0143CA">
      <w:pPr>
        <w:spacing w:line="360" w:lineRule="auto"/>
        <w:rPr>
          <w:rFonts w:hint="eastAsia" w:ascii="仿宋" w:hAnsi="仿宋" w:eastAsia="仿宋" w:cs="仿宋"/>
          <w:color w:val="000000" w:themeColor="text1"/>
          <w:sz w:val="24"/>
          <w14:textFill>
            <w14:solidFill>
              <w14:schemeClr w14:val="tx1"/>
            </w14:solidFill>
          </w14:textFill>
        </w:rPr>
      </w:pPr>
    </w:p>
    <w:p w14:paraId="17086C9B">
      <w:pPr>
        <w:pStyle w:val="16"/>
        <w:spacing w:line="360" w:lineRule="auto"/>
        <w:rPr>
          <w:rFonts w:hint="eastAsia" w:ascii="仿宋" w:hAnsi="仿宋" w:eastAsia="仿宋" w:cs="仿宋"/>
          <w:color w:val="000000" w:themeColor="text1"/>
          <w:sz w:val="24"/>
          <w14:textFill>
            <w14:solidFill>
              <w14:schemeClr w14:val="tx1"/>
            </w14:solidFill>
          </w14:textFill>
        </w:rPr>
      </w:pPr>
    </w:p>
    <w:p w14:paraId="5763642E">
      <w:pPr>
        <w:spacing w:line="360" w:lineRule="auto"/>
        <w:rPr>
          <w:rFonts w:hint="eastAsia" w:ascii="仿宋" w:hAnsi="仿宋" w:eastAsia="仿宋" w:cs="仿宋"/>
          <w:color w:val="000000" w:themeColor="text1"/>
          <w:sz w:val="24"/>
          <w14:textFill>
            <w14:solidFill>
              <w14:schemeClr w14:val="tx1"/>
            </w14:solidFill>
          </w14:textFill>
        </w:rPr>
      </w:pPr>
    </w:p>
    <w:p w14:paraId="1B6766E1">
      <w:pPr>
        <w:pStyle w:val="16"/>
        <w:spacing w:line="360" w:lineRule="auto"/>
        <w:rPr>
          <w:rFonts w:hint="eastAsia" w:ascii="仿宋" w:hAnsi="仿宋" w:eastAsia="仿宋" w:cs="仿宋"/>
          <w:color w:val="000000" w:themeColor="text1"/>
          <w:sz w:val="24"/>
          <w14:textFill>
            <w14:solidFill>
              <w14:schemeClr w14:val="tx1"/>
            </w14:solidFill>
          </w14:textFill>
        </w:rPr>
      </w:pPr>
    </w:p>
    <w:p w14:paraId="1B2CF434">
      <w:pPr>
        <w:spacing w:line="360" w:lineRule="auto"/>
        <w:rPr>
          <w:rFonts w:hint="eastAsia" w:ascii="仿宋" w:hAnsi="仿宋" w:eastAsia="仿宋" w:cs="仿宋"/>
          <w:color w:val="000000" w:themeColor="text1"/>
          <w:sz w:val="24"/>
          <w14:textFill>
            <w14:solidFill>
              <w14:schemeClr w14:val="tx1"/>
            </w14:solidFill>
          </w14:textFill>
        </w:rPr>
      </w:pPr>
    </w:p>
    <w:p w14:paraId="7C2DB633">
      <w:pPr>
        <w:pStyle w:val="25"/>
        <w:spacing w:line="360" w:lineRule="auto"/>
        <w:rPr>
          <w:rFonts w:hint="eastAsia" w:ascii="仿宋" w:hAnsi="仿宋" w:eastAsia="仿宋" w:cs="仿宋"/>
          <w:color w:val="000000" w:themeColor="text1"/>
          <w14:textFill>
            <w14:solidFill>
              <w14:schemeClr w14:val="tx1"/>
            </w14:solidFill>
          </w14:textFill>
        </w:rPr>
      </w:pPr>
    </w:p>
    <w:p w14:paraId="6668F9EA">
      <w:pPr>
        <w:spacing w:line="360" w:lineRule="auto"/>
        <w:outlineLvl w:val="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bookmarkStart w:id="471" w:name="_Toc6169"/>
      <w:bookmarkStart w:id="472" w:name="_Toc11646"/>
      <w:bookmarkStart w:id="473" w:name="_Toc24599"/>
      <w:bookmarkStart w:id="474" w:name="_Toc24657"/>
      <w:r>
        <w:rPr>
          <w:rFonts w:hint="eastAsia" w:ascii="仿宋" w:hAnsi="仿宋" w:eastAsia="仿宋" w:cs="仿宋"/>
          <w:b/>
          <w:bCs/>
          <w:color w:val="000000" w:themeColor="text1"/>
          <w:sz w:val="24"/>
          <w14:textFill>
            <w14:solidFill>
              <w14:schemeClr w14:val="tx1"/>
            </w14:solidFill>
          </w14:textFill>
        </w:rPr>
        <w:t>附件 法定代表人授权委托书</w:t>
      </w:r>
      <w:bookmarkEnd w:id="471"/>
      <w:bookmarkEnd w:id="472"/>
      <w:bookmarkEnd w:id="473"/>
      <w:bookmarkEnd w:id="474"/>
    </w:p>
    <w:p w14:paraId="264793A9">
      <w:pPr>
        <w:spacing w:line="360" w:lineRule="auto"/>
        <w:rPr>
          <w:rFonts w:hint="eastAsia" w:ascii="仿宋" w:hAnsi="仿宋" w:eastAsia="仿宋" w:cs="仿宋"/>
          <w:color w:val="000000" w:themeColor="text1"/>
          <w:sz w:val="24"/>
          <w14:textFill>
            <w14:solidFill>
              <w14:schemeClr w14:val="tx1"/>
            </w14:solidFill>
          </w14:textFill>
        </w:rPr>
      </w:pPr>
    </w:p>
    <w:p w14:paraId="053D7A42">
      <w:pPr>
        <w:spacing w:line="360" w:lineRule="auto"/>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本授权委托书声明：我</w:t>
      </w:r>
      <w:r>
        <w:rPr>
          <w:rFonts w:hint="eastAsia" w:ascii="仿宋" w:hAnsi="仿宋" w:eastAsia="仿宋" w:cs="仿宋"/>
          <w:color w:val="000000" w:themeColor="text1"/>
          <w:sz w:val="24"/>
          <w:u w:val="single"/>
          <w14:textFill>
            <w14:solidFill>
              <w14:schemeClr w14:val="tx1"/>
            </w14:solidFill>
          </w14:textFill>
        </w:rPr>
        <w:t>（法定代表人姓名）</w:t>
      </w:r>
      <w:r>
        <w:rPr>
          <w:rFonts w:hint="eastAsia" w:ascii="仿宋" w:hAnsi="仿宋" w:eastAsia="仿宋" w:cs="仿宋"/>
          <w:color w:val="000000" w:themeColor="text1"/>
          <w:sz w:val="24"/>
          <w14:textFill>
            <w14:solidFill>
              <w14:schemeClr w14:val="tx1"/>
            </w14:solidFill>
          </w14:textFill>
        </w:rPr>
        <w:t>系注册于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地址）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名称）</w:t>
      </w:r>
      <w:r>
        <w:rPr>
          <w:rFonts w:hint="eastAsia" w:ascii="仿宋" w:hAnsi="仿宋" w:eastAsia="仿宋" w:cs="仿宋"/>
          <w:color w:val="000000" w:themeColor="text1"/>
          <w:sz w:val="24"/>
          <w14:textFill>
            <w14:solidFill>
              <w14:schemeClr w14:val="tx1"/>
            </w14:solidFill>
          </w14:textFill>
        </w:rPr>
        <w:t>的法定代表人，现代表公司授权下面签字的</w:t>
      </w:r>
      <w:r>
        <w:rPr>
          <w:rFonts w:hint="eastAsia" w:ascii="仿宋" w:hAnsi="仿宋" w:eastAsia="仿宋" w:cs="仿宋"/>
          <w:color w:val="000000" w:themeColor="text1"/>
          <w:sz w:val="24"/>
          <w:u w:val="single"/>
          <w14:textFill>
            <w14:solidFill>
              <w14:schemeClr w14:val="tx1"/>
            </w14:solidFill>
          </w14:textFill>
        </w:rPr>
        <w:t>（被授权人的姓名、职务）</w:t>
      </w:r>
      <w:r>
        <w:rPr>
          <w:rFonts w:hint="eastAsia" w:ascii="仿宋" w:hAnsi="仿宋" w:eastAsia="仿宋" w:cs="仿宋"/>
          <w:color w:val="000000" w:themeColor="text1"/>
          <w:sz w:val="24"/>
          <w14:textFill>
            <w14:solidFill>
              <w14:schemeClr w14:val="tx1"/>
            </w14:solidFill>
          </w14:textFill>
        </w:rPr>
        <w:t>为我公司合法代理人，代表本公司参加</w:t>
      </w:r>
      <w:r>
        <w:rPr>
          <w:rFonts w:hint="eastAsia" w:ascii="仿宋" w:hAnsi="仿宋" w:eastAsia="仿宋" w:cs="仿宋"/>
          <w:color w:val="000000" w:themeColor="text1"/>
          <w:sz w:val="24"/>
          <w:u w:val="single"/>
          <w14:textFill>
            <w14:solidFill>
              <w14:schemeClr w14:val="tx1"/>
            </w14:solidFill>
          </w14:textFill>
        </w:rPr>
        <w:t xml:space="preserve"> （采购项目名称） （采购项目编号）  </w:t>
      </w:r>
      <w:r>
        <w:rPr>
          <w:rFonts w:hint="eastAsia" w:ascii="仿宋" w:hAnsi="仿宋" w:eastAsia="仿宋" w:cs="仿宋"/>
          <w:color w:val="000000" w:themeColor="text1"/>
          <w:sz w:val="24"/>
          <w14:textFill>
            <w14:solidFill>
              <w14:schemeClr w14:val="tx1"/>
            </w14:solidFill>
          </w14:textFill>
        </w:rPr>
        <w:t>的投标活动。代理人在本次投标中所签署的一切文件和处理的一切有关事物，我公司均予承认。</w:t>
      </w:r>
    </w:p>
    <w:p w14:paraId="11982ED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本授权书有效期自开标之日起</w:t>
      </w:r>
      <w:r>
        <w:rPr>
          <w:rFonts w:hint="eastAsia" w:ascii="仿宋" w:hAnsi="仿宋" w:eastAsia="仿宋" w:cs="仿宋"/>
          <w:color w:val="000000" w:themeColor="text1"/>
          <w:sz w:val="24"/>
          <w:u w:val="single"/>
          <w14:textFill>
            <w14:solidFill>
              <w14:schemeClr w14:val="tx1"/>
            </w14:solidFill>
          </w14:textFill>
        </w:rPr>
        <w:t>90天</w:t>
      </w:r>
      <w:r>
        <w:rPr>
          <w:rFonts w:hint="eastAsia" w:ascii="仿宋" w:hAnsi="仿宋" w:eastAsia="仿宋" w:cs="仿宋"/>
          <w:color w:val="000000" w:themeColor="text1"/>
          <w:sz w:val="24"/>
          <w14:textFill>
            <w14:solidFill>
              <w14:schemeClr w14:val="tx1"/>
            </w14:solidFill>
          </w14:textFill>
        </w:rPr>
        <w:t>；特此声明。</w:t>
      </w:r>
    </w:p>
    <w:p w14:paraId="484435B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（二代身份证需复印正面及反面）</w:t>
      </w:r>
    </w:p>
    <w:tbl>
      <w:tblPr>
        <w:tblStyle w:val="4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1"/>
        <w:gridCol w:w="4245"/>
      </w:tblGrid>
      <w:tr w14:paraId="7B20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3801" w:type="dxa"/>
            <w:noWrap w:val="0"/>
            <w:vAlign w:val="top"/>
          </w:tcPr>
          <w:p w14:paraId="3ECC9A7E">
            <w:pPr>
              <w:spacing w:line="360" w:lineRule="auto"/>
              <w:rPr>
                <w:rFonts w:hint="eastAsia" w:ascii="仿宋" w:hAnsi="仿宋" w:eastAsia="仿宋" w:cs="仿宋"/>
                <w:color w:val="000000" w:themeColor="text1"/>
                <w:sz w:val="24"/>
                <w14:textFill>
                  <w14:solidFill>
                    <w14:schemeClr w14:val="tx1"/>
                  </w14:solidFill>
                </w14:textFill>
              </w:rPr>
            </w:pPr>
          </w:p>
          <w:p w14:paraId="179DF14D">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法定代表人身份证复印件</w:t>
            </w:r>
          </w:p>
          <w:p w14:paraId="4A26D108">
            <w:pPr>
              <w:spacing w:line="360" w:lineRule="auto"/>
              <w:jc w:val="center"/>
              <w:rPr>
                <w:rFonts w:hint="eastAsia" w:ascii="仿宋" w:hAnsi="仿宋" w:eastAsia="仿宋" w:cs="仿宋"/>
                <w:color w:val="000000" w:themeColor="text1"/>
                <w:sz w:val="24"/>
                <w14:textFill>
                  <w14:solidFill>
                    <w14:schemeClr w14:val="tx1"/>
                  </w14:solidFill>
                </w14:textFill>
              </w:rPr>
            </w:pPr>
          </w:p>
          <w:p w14:paraId="5516953C">
            <w:pPr>
              <w:spacing w:line="360" w:lineRule="auto"/>
              <w:jc w:val="center"/>
              <w:rPr>
                <w:rFonts w:hint="eastAsia" w:ascii="仿宋" w:hAnsi="仿宋" w:eastAsia="仿宋" w:cs="仿宋"/>
                <w:color w:val="000000" w:themeColor="text1"/>
                <w:sz w:val="24"/>
                <w14:textFill>
                  <w14:solidFill>
                    <w14:schemeClr w14:val="tx1"/>
                  </w14:solidFill>
                </w14:textFill>
              </w:rPr>
            </w:pPr>
          </w:p>
          <w:p w14:paraId="4BB0DFE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245" w:type="dxa"/>
            <w:noWrap w:val="0"/>
            <w:vAlign w:val="top"/>
          </w:tcPr>
          <w:p w14:paraId="685C9A9D">
            <w:pPr>
              <w:spacing w:line="360" w:lineRule="auto"/>
              <w:rPr>
                <w:rFonts w:hint="eastAsia" w:ascii="仿宋" w:hAnsi="仿宋" w:eastAsia="仿宋" w:cs="仿宋"/>
                <w:color w:val="000000" w:themeColor="text1"/>
                <w:sz w:val="24"/>
                <w14:textFill>
                  <w14:solidFill>
                    <w14:schemeClr w14:val="tx1"/>
                  </w14:solidFill>
                </w14:textFill>
              </w:rPr>
            </w:pPr>
          </w:p>
          <w:p w14:paraId="5D922D9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授权代表身份证复印件</w:t>
            </w:r>
          </w:p>
          <w:p w14:paraId="6855728E">
            <w:pPr>
              <w:spacing w:line="360" w:lineRule="auto"/>
              <w:jc w:val="center"/>
              <w:rPr>
                <w:rFonts w:hint="eastAsia" w:ascii="仿宋" w:hAnsi="仿宋" w:eastAsia="仿宋" w:cs="仿宋"/>
                <w:color w:val="000000" w:themeColor="text1"/>
                <w:sz w:val="24"/>
                <w14:textFill>
                  <w14:solidFill>
                    <w14:schemeClr w14:val="tx1"/>
                  </w14:solidFill>
                </w14:textFill>
              </w:rPr>
            </w:pPr>
          </w:p>
          <w:p w14:paraId="67EEA918">
            <w:pPr>
              <w:spacing w:line="360" w:lineRule="auto"/>
              <w:jc w:val="center"/>
              <w:rPr>
                <w:rFonts w:hint="eastAsia" w:ascii="仿宋" w:hAnsi="仿宋" w:eastAsia="仿宋" w:cs="仿宋"/>
                <w:color w:val="000000" w:themeColor="text1"/>
                <w:sz w:val="24"/>
                <w14:textFill>
                  <w14:solidFill>
                    <w14:schemeClr w14:val="tx1"/>
                  </w14:solidFill>
                </w14:textFill>
              </w:rPr>
            </w:pPr>
          </w:p>
          <w:p w14:paraId="3C9B84B9">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153E6CF4">
      <w:pPr>
        <w:spacing w:line="360" w:lineRule="auto"/>
        <w:rPr>
          <w:rFonts w:hint="eastAsia" w:ascii="仿宋" w:hAnsi="仿宋" w:eastAsia="仿宋" w:cs="仿宋"/>
          <w:color w:val="000000" w:themeColor="text1"/>
          <w:sz w:val="24"/>
          <w14:textFill>
            <w14:solidFill>
              <w14:schemeClr w14:val="tx1"/>
            </w14:solidFill>
          </w14:textFill>
        </w:rPr>
      </w:pPr>
    </w:p>
    <w:p w14:paraId="69E26994">
      <w:pPr>
        <w:spacing w:line="360"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4A789FFD">
      <w:pPr>
        <w:spacing w:line="360" w:lineRule="auto"/>
        <w:jc w:val="right"/>
        <w:rPr>
          <w:rFonts w:hint="eastAsia" w:ascii="仿宋" w:hAnsi="仿宋" w:eastAsia="仿宋" w:cs="仿宋"/>
          <w:color w:val="000000" w:themeColor="text1"/>
          <w:sz w:val="24"/>
          <w14:textFill>
            <w14:solidFill>
              <w14:schemeClr w14:val="tx1"/>
            </w14:solidFill>
          </w14:textFill>
        </w:rPr>
      </w:pPr>
    </w:p>
    <w:p w14:paraId="0706FDAD">
      <w:pPr>
        <w:spacing w:line="360"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名称：</w:t>
      </w:r>
      <w:r>
        <w:rPr>
          <w:rFonts w:hint="eastAsia" w:ascii="仿宋" w:hAnsi="仿宋" w:eastAsia="仿宋" w:cs="仿宋"/>
          <w:color w:val="000000" w:themeColor="text1"/>
          <w:sz w:val="24"/>
          <w:u w:val="single"/>
          <w14:textFill>
            <w14:solidFill>
              <w14:schemeClr w14:val="tx1"/>
            </w14:solidFill>
          </w14:textFill>
        </w:rPr>
        <w:t xml:space="preserve">                    （公章）</w:t>
      </w:r>
    </w:p>
    <w:p w14:paraId="75CA0D4C">
      <w:pPr>
        <w:spacing w:line="360"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u w:val="single"/>
          <w14:textFill>
            <w14:solidFill>
              <w14:schemeClr w14:val="tx1"/>
            </w14:solidFill>
          </w14:textFill>
        </w:rPr>
        <w:t xml:space="preserve">                  （签字或盖章）</w:t>
      </w:r>
    </w:p>
    <w:p w14:paraId="7F9D85B7">
      <w:pPr>
        <w:spacing w:line="360"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授权代理人（被授权人）：</w:t>
      </w:r>
      <w:r>
        <w:rPr>
          <w:rFonts w:hint="eastAsia" w:ascii="仿宋" w:hAnsi="仿宋" w:eastAsia="仿宋" w:cs="仿宋"/>
          <w:color w:val="000000" w:themeColor="text1"/>
          <w:sz w:val="24"/>
          <w:u w:val="single"/>
          <w14:textFill>
            <w14:solidFill>
              <w14:schemeClr w14:val="tx1"/>
            </w14:solidFill>
          </w14:textFill>
        </w:rPr>
        <w:t xml:space="preserve">      （签字或盖章）</w:t>
      </w:r>
    </w:p>
    <w:p w14:paraId="231C310E">
      <w:pPr>
        <w:spacing w:line="360" w:lineRule="auto"/>
        <w:jc w:val="cente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年     月     日</w:t>
      </w:r>
    </w:p>
    <w:p w14:paraId="5AF18E0A">
      <w:pPr>
        <w:pStyle w:val="25"/>
        <w:rPr>
          <w:rFonts w:hint="eastAsia" w:ascii="仿宋" w:hAnsi="仿宋" w:eastAsia="仿宋" w:cs="仿宋"/>
          <w:color w:val="000000" w:themeColor="text1"/>
          <w:sz w:val="24"/>
          <w:u w:val="single"/>
          <w14:textFill>
            <w14:solidFill>
              <w14:schemeClr w14:val="tx1"/>
            </w14:solidFill>
          </w14:textFill>
        </w:rPr>
      </w:pPr>
    </w:p>
    <w:p w14:paraId="32BA8DC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（备注：法定代表人直接参与无需提供此授权书，只需提供与营业执照法人名称一致的身份证复印件并加盖公章；开标现场提供授权代表身份证原件进行核对）</w:t>
      </w:r>
    </w:p>
    <w:p w14:paraId="13E19AE4">
      <w:pPr>
        <w:pStyle w:val="16"/>
        <w:rPr>
          <w:rFonts w:hint="eastAsia" w:ascii="仿宋" w:hAnsi="仿宋" w:eastAsia="仿宋" w:cs="仿宋"/>
          <w:color w:val="000000" w:themeColor="text1"/>
          <w14:textFill>
            <w14:solidFill>
              <w14:schemeClr w14:val="tx1"/>
            </w14:solidFill>
          </w14:textFill>
        </w:rPr>
      </w:pPr>
    </w:p>
    <w:p w14:paraId="56F703E6">
      <w:pPr>
        <w:spacing w:line="360" w:lineRule="auto"/>
        <w:outlineLvl w:val="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bookmarkStart w:id="475" w:name="_Toc23577"/>
      <w:r>
        <w:rPr>
          <w:rFonts w:hint="eastAsia" w:ascii="仿宋" w:hAnsi="仿宋" w:eastAsia="仿宋" w:cs="仿宋"/>
          <w:b/>
          <w:bCs/>
          <w:color w:val="000000" w:themeColor="text1"/>
          <w:sz w:val="24"/>
          <w14:textFill>
            <w14:solidFill>
              <w14:schemeClr w14:val="tx1"/>
            </w14:solidFill>
          </w14:textFill>
        </w:rPr>
        <w:t xml:space="preserve">附件 </w:t>
      </w:r>
      <w:r>
        <w:rPr>
          <w:rFonts w:hint="eastAsia" w:ascii="仿宋" w:hAnsi="仿宋" w:eastAsia="仿宋" w:cs="仿宋"/>
          <w:b/>
          <w:bCs/>
          <w:color w:val="000000" w:themeColor="text1"/>
          <w:sz w:val="24"/>
          <w:lang w:val="en-US" w:eastAsia="zh-CN"/>
          <w14:textFill>
            <w14:solidFill>
              <w14:schemeClr w14:val="tx1"/>
            </w14:solidFill>
          </w14:textFill>
        </w:rPr>
        <w:t>单位负责人为同一人或者存在直接控股、管理关系的不同投标人，不得参加同一合同项下的政府采购活动</w:t>
      </w:r>
      <w:bookmarkEnd w:id="475"/>
    </w:p>
    <w:p w14:paraId="7F0CE4C2">
      <w:pPr>
        <w:bidi w:val="0"/>
        <w:ind w:left="0" w:leftChars="0" w:right="0" w:rightChars="0" w:firstLine="0" w:firstLineChars="0"/>
        <w:jc w:val="center"/>
        <w:rPr>
          <w:rFonts w:hint="eastAsia"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32"/>
          <w:highlight w:val="none"/>
          <w14:textFill>
            <w14:solidFill>
              <w14:schemeClr w14:val="tx1"/>
            </w14:solidFill>
          </w14:textFill>
        </w:rPr>
        <w:t>关联关系</w:t>
      </w:r>
    </w:p>
    <w:p w14:paraId="20042A5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单位负责人在其他单位任职情况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BB9020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控股关系说明</w:t>
      </w:r>
    </w:p>
    <w:p w14:paraId="18D51B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下属控股单位：</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A807B2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上属被控股单位：</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0FD83D9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管理关系说明</w:t>
      </w:r>
    </w:p>
    <w:p w14:paraId="775BB7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下属管理单位：</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6D2C91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管理职责（行政、人事等）：</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C1C33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上属被管理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E0604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管理职责（行政、人事等）：</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42B093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在本项目中，不存在与其它</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负责人为同一人，有控股、管理等关联关系</w:t>
      </w:r>
      <w:r>
        <w:rPr>
          <w:rFonts w:hint="eastAsia" w:ascii="仿宋" w:hAnsi="仿宋" w:eastAsia="仿宋" w:cs="仿宋"/>
          <w:color w:val="000000" w:themeColor="text1"/>
          <w:sz w:val="24"/>
          <w:szCs w:val="24"/>
          <w:highlight w:val="none"/>
          <w:lang w:eastAsia="zh-CN"/>
          <w14:textFill>
            <w14:solidFill>
              <w14:schemeClr w14:val="tx1"/>
            </w14:solidFill>
          </w14:textFill>
        </w:rPr>
        <w:t>情况。</w:t>
      </w:r>
    </w:p>
    <w:p w14:paraId="07B7AD4C">
      <w:pPr>
        <w:pStyle w:val="2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C787A11">
      <w:pPr>
        <w:pStyle w:val="2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我单位承诺以上说明真实有效，无虛假内容或隐瞒。</w:t>
      </w:r>
    </w:p>
    <w:p w14:paraId="1FA83FE4">
      <w:pPr>
        <w:keepNext w:val="0"/>
        <w:keepLines w:val="0"/>
        <w:pageBreakBefore w:val="0"/>
        <w:widowControl w:val="0"/>
        <w:kinsoku/>
        <w:wordWrap/>
        <w:overflowPunct/>
        <w:topLinePunct w:val="0"/>
        <w:autoSpaceDE/>
        <w:autoSpaceDN/>
        <w:bidi w:val="0"/>
        <w:adjustRightInd/>
        <w:snapToGrid/>
        <w:spacing w:line="480" w:lineRule="auto"/>
        <w:ind w:right="0" w:firstLine="2640" w:firstLineChars="1100"/>
        <w:jc w:val="right"/>
        <w:textAlignment w:val="auto"/>
        <w:rPr>
          <w:rFonts w:hint="eastAsia" w:ascii="仿宋" w:hAnsi="仿宋" w:eastAsia="仿宋" w:cs="仿宋"/>
          <w:b w:val="0"/>
          <w:bCs w:val="0"/>
          <w:color w:val="000000" w:themeColor="text1"/>
          <w:sz w:val="24"/>
          <w14:textFill>
            <w14:solidFill>
              <w14:schemeClr w14:val="tx1"/>
            </w14:solidFill>
          </w14:textFill>
        </w:rPr>
      </w:pPr>
    </w:p>
    <w:p w14:paraId="32212A1C">
      <w:pPr>
        <w:keepNext w:val="0"/>
        <w:keepLines w:val="0"/>
        <w:pageBreakBefore w:val="0"/>
        <w:widowControl w:val="0"/>
        <w:kinsoku/>
        <w:wordWrap/>
        <w:overflowPunct/>
        <w:topLinePunct w:val="0"/>
        <w:autoSpaceDE/>
        <w:autoSpaceDN/>
        <w:bidi w:val="0"/>
        <w:adjustRightInd/>
        <w:snapToGrid/>
        <w:spacing w:line="480" w:lineRule="auto"/>
        <w:ind w:right="0" w:firstLine="2640" w:firstLineChars="1100"/>
        <w:jc w:val="right"/>
        <w:textAlignment w:val="auto"/>
        <w:rPr>
          <w:rFonts w:hint="eastAsia" w:ascii="仿宋" w:hAnsi="仿宋" w:eastAsia="仿宋" w:cs="仿宋"/>
          <w:b w:val="0"/>
          <w:bCs w:val="0"/>
          <w:color w:val="000000" w:themeColor="text1"/>
          <w:sz w:val="24"/>
          <w14:textFill>
            <w14:solidFill>
              <w14:schemeClr w14:val="tx1"/>
            </w14:solidFill>
          </w14:textFill>
        </w:rPr>
      </w:pPr>
    </w:p>
    <w:p w14:paraId="531B7598">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u w:val="single"/>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名称：</w:t>
      </w:r>
      <w:r>
        <w:rPr>
          <w:rFonts w:hint="eastAsia" w:ascii="仿宋" w:hAnsi="仿宋" w:eastAsia="仿宋" w:cs="仿宋"/>
          <w:color w:val="000000" w:themeColor="text1"/>
          <w:szCs w:val="24"/>
          <w:u w:val="single"/>
          <w14:textFill>
            <w14:solidFill>
              <w14:schemeClr w14:val="tx1"/>
            </w14:solidFill>
          </w14:textFill>
        </w:rPr>
        <w:t xml:space="preserve">                           （盖章）</w:t>
      </w:r>
    </w:p>
    <w:p w14:paraId="6C6B68B1">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法定代表人或授权代理人：</w:t>
      </w:r>
      <w:r>
        <w:rPr>
          <w:rFonts w:hint="eastAsia" w:ascii="仿宋" w:hAnsi="仿宋" w:eastAsia="仿宋" w:cs="仿宋"/>
          <w:color w:val="000000" w:themeColor="text1"/>
          <w:szCs w:val="24"/>
          <w:u w:val="single"/>
          <w14:textFill>
            <w14:solidFill>
              <w14:schemeClr w14:val="tx1"/>
            </w14:solidFill>
          </w14:textFill>
        </w:rPr>
        <w:t xml:space="preserve">         （签字或盖章）</w:t>
      </w:r>
    </w:p>
    <w:p w14:paraId="3C4CFFCD">
      <w:pPr>
        <w:pStyle w:val="188"/>
        <w:widowControl/>
        <w:spacing w:line="360" w:lineRule="auto"/>
        <w:ind w:firstLine="420"/>
        <w:rPr>
          <w:rFonts w:hint="eastAsia" w:ascii="仿宋" w:hAnsi="仿宋" w:eastAsia="仿宋" w:cs="仿宋"/>
          <w:color w:val="000000" w:themeColor="text1"/>
          <w14:textFill>
            <w14:solidFill>
              <w14:schemeClr w14:val="tx1"/>
            </w14:solidFill>
          </w14:textFill>
        </w:rPr>
      </w:pPr>
    </w:p>
    <w:p w14:paraId="18E5AE33">
      <w:pPr>
        <w:spacing w:line="360" w:lineRule="auto"/>
        <w:rPr>
          <w:rFonts w:hint="eastAsia" w:ascii="仿宋" w:hAnsi="仿宋" w:eastAsia="仿宋" w:cs="仿宋"/>
          <w:color w:val="000000" w:themeColor="text1"/>
          <w:sz w:val="24"/>
          <w14:textFill>
            <w14:solidFill>
              <w14:schemeClr w14:val="tx1"/>
            </w14:solidFill>
          </w14:textFill>
        </w:rPr>
      </w:pPr>
    </w:p>
    <w:p w14:paraId="09C8AE24">
      <w:pPr>
        <w:pStyle w:val="25"/>
        <w:spacing w:line="360" w:lineRule="auto"/>
        <w:rPr>
          <w:rFonts w:hint="eastAsia" w:ascii="仿宋" w:hAnsi="仿宋" w:eastAsia="仿宋" w:cs="仿宋"/>
          <w:color w:val="000000" w:themeColor="text1"/>
          <w:sz w:val="24"/>
          <w14:textFill>
            <w14:solidFill>
              <w14:schemeClr w14:val="tx1"/>
            </w14:solidFill>
          </w14:textFill>
        </w:rPr>
      </w:pPr>
    </w:p>
    <w:p w14:paraId="36D0242A">
      <w:pPr>
        <w:pStyle w:val="25"/>
        <w:spacing w:line="360" w:lineRule="auto"/>
        <w:rPr>
          <w:rFonts w:hint="eastAsia" w:ascii="仿宋" w:hAnsi="仿宋" w:eastAsia="仿宋" w:cs="仿宋"/>
          <w:color w:val="000000" w:themeColor="text1"/>
          <w:sz w:val="24"/>
          <w14:textFill>
            <w14:solidFill>
              <w14:schemeClr w14:val="tx1"/>
            </w14:solidFill>
          </w14:textFill>
        </w:rPr>
      </w:pPr>
    </w:p>
    <w:p w14:paraId="64D571A2">
      <w:pPr>
        <w:pStyle w:val="25"/>
        <w:spacing w:line="360" w:lineRule="auto"/>
        <w:rPr>
          <w:rFonts w:hint="eastAsia" w:ascii="仿宋" w:hAnsi="仿宋" w:eastAsia="仿宋" w:cs="仿宋"/>
          <w:color w:val="000000" w:themeColor="text1"/>
          <w:sz w:val="24"/>
          <w14:textFill>
            <w14:solidFill>
              <w14:schemeClr w14:val="tx1"/>
            </w14:solidFill>
          </w14:textFill>
        </w:rPr>
      </w:pPr>
    </w:p>
    <w:p w14:paraId="567C954A">
      <w:pPr>
        <w:pStyle w:val="25"/>
        <w:spacing w:line="360" w:lineRule="auto"/>
        <w:rPr>
          <w:rFonts w:hint="eastAsia" w:ascii="仿宋" w:hAnsi="仿宋" w:eastAsia="仿宋" w:cs="仿宋"/>
          <w:color w:val="000000" w:themeColor="text1"/>
          <w:sz w:val="24"/>
          <w14:textFill>
            <w14:solidFill>
              <w14:schemeClr w14:val="tx1"/>
            </w14:solidFill>
          </w14:textFill>
        </w:rPr>
      </w:pPr>
    </w:p>
    <w:p w14:paraId="64E271D5">
      <w:pPr>
        <w:pStyle w:val="25"/>
        <w:spacing w:line="360" w:lineRule="auto"/>
        <w:rPr>
          <w:rFonts w:hint="eastAsia" w:ascii="仿宋" w:hAnsi="仿宋" w:eastAsia="仿宋" w:cs="仿宋"/>
          <w:color w:val="000000" w:themeColor="text1"/>
          <w:sz w:val="24"/>
          <w14:textFill>
            <w14:solidFill>
              <w14:schemeClr w14:val="tx1"/>
            </w14:solidFill>
          </w14:textFill>
        </w:rPr>
      </w:pPr>
    </w:p>
    <w:p w14:paraId="588A7CDF">
      <w:p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14:paraId="32A62384">
      <w:p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附件 </w:t>
      </w:r>
      <w:r>
        <w:rPr>
          <w:rFonts w:hint="eastAsia" w:ascii="仿宋" w:hAnsi="仿宋" w:eastAsia="仿宋" w:cs="仿宋"/>
          <w:b/>
          <w:bCs/>
          <w:color w:val="000000" w:themeColor="text1"/>
          <w:sz w:val="24"/>
          <w:lang w:val="en-US" w:eastAsia="zh-CN"/>
          <w14:textFill>
            <w14:solidFill>
              <w14:schemeClr w14:val="tx1"/>
            </w14:solidFill>
          </w14:textFill>
        </w:rPr>
        <w:t>非联合体声明</w:t>
      </w:r>
    </w:p>
    <w:p w14:paraId="687ABAAD">
      <w:pPr>
        <w:rPr>
          <w:rFonts w:hint="eastAsia" w:ascii="仿宋" w:hAnsi="仿宋" w:eastAsia="仿宋" w:cs="仿宋"/>
          <w:b/>
          <w:bCs/>
          <w:color w:val="000000" w:themeColor="text1"/>
          <w:sz w:val="24"/>
          <w14:textFill>
            <w14:solidFill>
              <w14:schemeClr w14:val="tx1"/>
            </w14:solidFill>
          </w14:textFill>
        </w:rPr>
      </w:pPr>
    </w:p>
    <w:p w14:paraId="43F4C2CD">
      <w:pPr>
        <w:jc w:val="center"/>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非联合体声明</w:t>
      </w:r>
    </w:p>
    <w:p w14:paraId="152CA6D0">
      <w:pPr>
        <w:jc w:val="center"/>
        <w:rPr>
          <w:rFonts w:hint="eastAsia" w:ascii="仿宋" w:hAnsi="仿宋" w:eastAsia="仿宋" w:cs="仿宋"/>
          <w:b/>
          <w:bCs/>
          <w:color w:val="000000" w:themeColor="text1"/>
          <w:sz w:val="24"/>
          <w:lang w:eastAsia="zh-CN"/>
          <w14:textFill>
            <w14:solidFill>
              <w14:schemeClr w14:val="tx1"/>
            </w14:solidFill>
          </w14:textFill>
        </w:rPr>
      </w:pPr>
    </w:p>
    <w:p w14:paraId="78A68A26">
      <w:pPr>
        <w:jc w:val="both"/>
        <w:rPr>
          <w:rFonts w:hint="eastAsia" w:ascii="仿宋" w:hAnsi="仿宋" w:eastAsia="仿宋" w:cs="仿宋"/>
          <w:b w:val="0"/>
          <w:bCs w:val="0"/>
          <w:color w:val="000000" w:themeColor="text1"/>
          <w:sz w:val="24"/>
          <w:lang w:eastAsia="zh-CN"/>
          <w14:textFill>
            <w14:solidFill>
              <w14:schemeClr w14:val="tx1"/>
            </w14:solidFill>
          </w14:textFill>
        </w:rPr>
      </w:pPr>
      <w:r>
        <w:rPr>
          <w:rFonts w:hint="eastAsia" w:ascii="仿宋" w:hAnsi="仿宋" w:eastAsia="仿宋" w:cs="仿宋"/>
          <w:b w:val="0"/>
          <w:bCs w:val="0"/>
          <w:color w:val="000000" w:themeColor="text1"/>
          <w:sz w:val="24"/>
          <w:lang w:eastAsia="zh-CN"/>
          <w14:textFill>
            <w14:solidFill>
              <w14:schemeClr w14:val="tx1"/>
            </w14:solidFill>
          </w14:textFill>
        </w:rPr>
        <w:t>我公司在此声明：</w:t>
      </w:r>
    </w:p>
    <w:p w14:paraId="7E4A1B4C">
      <w:pPr>
        <w:jc w:val="both"/>
        <w:rPr>
          <w:rFonts w:hint="eastAsia" w:ascii="仿宋" w:hAnsi="仿宋" w:eastAsia="仿宋" w:cs="仿宋"/>
          <w:b w:val="0"/>
          <w:bCs w:val="0"/>
          <w:color w:val="000000" w:themeColor="text1"/>
          <w:sz w:val="24"/>
          <w:lang w:eastAsia="zh-CN"/>
          <w14:textFill>
            <w14:solidFill>
              <w14:schemeClr w14:val="tx1"/>
            </w14:solidFill>
          </w14:textFill>
        </w:rPr>
      </w:pPr>
    </w:p>
    <w:p w14:paraId="383484F5">
      <w:pPr>
        <w:ind w:firstLine="480" w:firstLineChars="200"/>
        <w:jc w:val="both"/>
        <w:rPr>
          <w:rFonts w:hint="eastAsia" w:ascii="仿宋" w:hAnsi="仿宋" w:eastAsia="仿宋" w:cs="仿宋"/>
          <w:b w:val="0"/>
          <w:bCs w:val="0"/>
          <w:color w:val="000000" w:themeColor="text1"/>
          <w:sz w:val="24"/>
          <w:lang w:eastAsia="zh-CN"/>
          <w14:textFill>
            <w14:solidFill>
              <w14:schemeClr w14:val="tx1"/>
            </w14:solidFill>
          </w14:textFill>
        </w:rPr>
      </w:pPr>
      <w:r>
        <w:rPr>
          <w:rFonts w:hint="eastAsia" w:ascii="仿宋" w:hAnsi="仿宋" w:eastAsia="仿宋" w:cs="仿宋"/>
          <w:b w:val="0"/>
          <w:bCs w:val="0"/>
          <w:color w:val="000000" w:themeColor="text1"/>
          <w:sz w:val="24"/>
          <w:lang w:eastAsia="zh-CN"/>
          <w14:textFill>
            <w14:solidFill>
              <w14:schemeClr w14:val="tx1"/>
            </w14:solidFill>
          </w14:textFill>
        </w:rPr>
        <w:t>本次投标我单位为非联合体参与本项目。</w:t>
      </w:r>
    </w:p>
    <w:p w14:paraId="08531678">
      <w:pPr>
        <w:ind w:firstLine="482" w:firstLineChars="200"/>
        <w:jc w:val="both"/>
        <w:rPr>
          <w:rFonts w:hint="eastAsia" w:ascii="仿宋" w:hAnsi="仿宋" w:eastAsia="仿宋" w:cs="仿宋"/>
          <w:b/>
          <w:bCs/>
          <w:color w:val="000000" w:themeColor="text1"/>
          <w:sz w:val="24"/>
          <w:lang w:eastAsia="zh-CN"/>
          <w14:textFill>
            <w14:solidFill>
              <w14:schemeClr w14:val="tx1"/>
            </w14:solidFill>
          </w14:textFill>
        </w:rPr>
      </w:pPr>
    </w:p>
    <w:p w14:paraId="51BF7C3B">
      <w:pPr>
        <w:ind w:firstLine="482" w:firstLineChars="200"/>
        <w:jc w:val="both"/>
        <w:rPr>
          <w:rFonts w:hint="eastAsia" w:ascii="仿宋" w:hAnsi="仿宋" w:eastAsia="仿宋" w:cs="仿宋"/>
          <w:b/>
          <w:bCs/>
          <w:color w:val="000000" w:themeColor="text1"/>
          <w:sz w:val="24"/>
          <w:lang w:eastAsia="zh-CN"/>
          <w14:textFill>
            <w14:solidFill>
              <w14:schemeClr w14:val="tx1"/>
            </w14:solidFill>
          </w14:textFill>
        </w:rPr>
      </w:pPr>
    </w:p>
    <w:p w14:paraId="2EF9B930">
      <w:pPr>
        <w:ind w:firstLine="482" w:firstLineChars="200"/>
        <w:jc w:val="both"/>
        <w:rPr>
          <w:rFonts w:hint="eastAsia" w:ascii="仿宋" w:hAnsi="仿宋" w:eastAsia="仿宋" w:cs="仿宋"/>
          <w:b/>
          <w:bCs/>
          <w:color w:val="000000" w:themeColor="text1"/>
          <w:sz w:val="24"/>
          <w:lang w:eastAsia="zh-CN"/>
          <w14:textFill>
            <w14:solidFill>
              <w14:schemeClr w14:val="tx1"/>
            </w14:solidFill>
          </w14:textFill>
        </w:rPr>
      </w:pPr>
    </w:p>
    <w:p w14:paraId="485EC812">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u w:val="single"/>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名称：</w:t>
      </w:r>
      <w:r>
        <w:rPr>
          <w:rFonts w:hint="eastAsia" w:ascii="仿宋" w:hAnsi="仿宋" w:eastAsia="仿宋" w:cs="仿宋"/>
          <w:color w:val="000000" w:themeColor="text1"/>
          <w:szCs w:val="24"/>
          <w:u w:val="single"/>
          <w14:textFill>
            <w14:solidFill>
              <w14:schemeClr w14:val="tx1"/>
            </w14:solidFill>
          </w14:textFill>
        </w:rPr>
        <w:t xml:space="preserve">                           （盖章）</w:t>
      </w:r>
    </w:p>
    <w:p w14:paraId="73BB26AB">
      <w:pPr>
        <w:pStyle w:val="35"/>
        <w:spacing w:before="120" w:beforeLines="50" w:beforeAutospacing="0" w:after="240" w:afterLines="100" w:afterAutospacing="0" w:line="360" w:lineRule="auto"/>
        <w:jc w:val="right"/>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法定代表人或授权代理人：</w:t>
      </w:r>
      <w:r>
        <w:rPr>
          <w:rFonts w:hint="eastAsia" w:ascii="仿宋" w:hAnsi="仿宋" w:eastAsia="仿宋" w:cs="仿宋"/>
          <w:color w:val="000000" w:themeColor="text1"/>
          <w:szCs w:val="24"/>
          <w:u w:val="single"/>
          <w14:textFill>
            <w14:solidFill>
              <w14:schemeClr w14:val="tx1"/>
            </w14:solidFill>
          </w14:textFill>
        </w:rPr>
        <w:t xml:space="preserve">         （签字或盖章）</w:t>
      </w:r>
    </w:p>
    <w:p w14:paraId="7017A20A">
      <w:pPr>
        <w:ind w:firstLine="482" w:firstLineChars="200"/>
        <w:jc w:val="both"/>
        <w:rPr>
          <w:rFonts w:hint="eastAsia" w:ascii="仿宋" w:hAnsi="仿宋" w:eastAsia="仿宋" w:cs="仿宋"/>
          <w:b/>
          <w:bCs/>
          <w:color w:val="000000" w:themeColor="text1"/>
          <w:sz w:val="24"/>
          <w:lang w:eastAsia="zh-CN"/>
          <w14:textFill>
            <w14:solidFill>
              <w14:schemeClr w14:val="tx1"/>
            </w14:solidFill>
          </w14:textFill>
        </w:rPr>
      </w:pPr>
    </w:p>
    <w:p w14:paraId="3204DCDE">
      <w:pPr>
        <w:ind w:firstLine="482" w:firstLineChars="200"/>
        <w:jc w:val="both"/>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14:paraId="5924353A">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附件  落实政府采购政策资料</w:t>
      </w:r>
    </w:p>
    <w:p w14:paraId="614467DD">
      <w:pPr>
        <w:pStyle w:val="25"/>
        <w:ind w:firstLine="480" w:firstLineChars="200"/>
        <w:rPr>
          <w:rFonts w:hint="eastAsia" w:ascii="仿宋" w:hAnsi="仿宋" w:eastAsia="仿宋" w:cs="仿宋"/>
          <w:color w:val="000000" w:themeColor="text1"/>
          <w:sz w:val="24"/>
          <w14:textFill>
            <w14:solidFill>
              <w14:schemeClr w14:val="tx1"/>
            </w14:solidFill>
          </w14:textFill>
        </w:rPr>
      </w:pPr>
    </w:p>
    <w:p w14:paraId="42A0ABE3">
      <w:pPr>
        <w:pStyle w:val="25"/>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中小企业声明函（货物）</w:t>
      </w:r>
    </w:p>
    <w:p w14:paraId="2012B65F">
      <w:pPr>
        <w:pStyle w:val="25"/>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007B0AF5">
      <w:pPr>
        <w:pStyle w:val="25"/>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4"/>
          <w:u w:val="single"/>
          <w14:textFill>
            <w14:solidFill>
              <w14:schemeClr w14:val="tx1"/>
            </w14:solidFill>
          </w14:textFill>
        </w:rPr>
        <w:t>（单位名称）</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2FE27806">
      <w:pPr>
        <w:pStyle w:val="25"/>
        <w:numPr>
          <w:ilvl w:val="0"/>
          <w:numId w:val="4"/>
        </w:numPr>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w:t>
      </w:r>
      <w:r>
        <w:rPr>
          <w:rFonts w:hint="eastAsia" w:ascii="仿宋" w:hAnsi="仿宋" w:eastAsia="仿宋" w:cs="仿宋"/>
          <w:color w:val="000000" w:themeColor="text1"/>
          <w:sz w:val="24"/>
          <w:u w:val="single"/>
          <w14:textFill>
            <w14:solidFill>
              <w14:schemeClr w14:val="tx1"/>
            </w14:solidFill>
          </w14:textFill>
        </w:rPr>
        <w:t>（招标文件中明确的所属行业）</w:t>
      </w:r>
      <w:r>
        <w:rPr>
          <w:rFonts w:hint="eastAsia" w:ascii="仿宋" w:hAnsi="仿宋" w:eastAsia="仿宋" w:cs="仿宋"/>
          <w:color w:val="000000" w:themeColor="text1"/>
          <w:sz w:val="24"/>
          <w14:textFill>
            <w14:solidFill>
              <w14:schemeClr w14:val="tx1"/>
            </w14:solidFill>
          </w14:textFill>
        </w:rPr>
        <w:t>行业；制造商为</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人，营业收入为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万元，资产总额为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万元1，属于</w:t>
      </w:r>
      <w:r>
        <w:rPr>
          <w:rFonts w:hint="eastAsia" w:ascii="仿宋" w:hAnsi="仿宋" w:eastAsia="仿宋" w:cs="仿宋"/>
          <w:color w:val="000000" w:themeColor="text1"/>
          <w:sz w:val="24"/>
          <w:u w:val="single"/>
          <w14:textFill>
            <w14:solidFill>
              <w14:schemeClr w14:val="tx1"/>
            </w14:solidFill>
          </w14:textFill>
        </w:rPr>
        <w:t>（中型企业、小型企业、微型企业）</w:t>
      </w:r>
      <w:r>
        <w:rPr>
          <w:rFonts w:hint="eastAsia" w:ascii="仿宋" w:hAnsi="仿宋" w:eastAsia="仿宋" w:cs="仿宋"/>
          <w:color w:val="000000" w:themeColor="text1"/>
          <w:sz w:val="24"/>
          <w14:textFill>
            <w14:solidFill>
              <w14:schemeClr w14:val="tx1"/>
            </w14:solidFill>
          </w14:textFill>
        </w:rPr>
        <w:t>；</w:t>
      </w:r>
    </w:p>
    <w:p w14:paraId="46012690">
      <w:pPr>
        <w:pStyle w:val="25"/>
        <w:numPr>
          <w:ilvl w:val="0"/>
          <w:numId w:val="4"/>
        </w:numPr>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（标的名称） </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u w:val="single"/>
          <w14:textFill>
            <w14:solidFill>
              <w14:schemeClr w14:val="tx1"/>
            </w14:solidFill>
          </w14:textFill>
        </w:rPr>
        <w:t>（招标文件中明确的所属行业）</w:t>
      </w:r>
      <w:r>
        <w:rPr>
          <w:rFonts w:hint="eastAsia" w:ascii="仿宋" w:hAnsi="仿宋" w:eastAsia="仿宋" w:cs="仿宋"/>
          <w:color w:val="000000" w:themeColor="text1"/>
          <w:sz w:val="24"/>
          <w14:textFill>
            <w14:solidFill>
              <w14:schemeClr w14:val="tx1"/>
            </w14:solidFill>
          </w14:textFill>
        </w:rPr>
        <w:t>行业；制造商为</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人，营业收入为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万元，资产总额为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14:paraId="1A813491">
      <w:pPr>
        <w:pStyle w:val="25"/>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39899658">
      <w:pPr>
        <w:pStyle w:val="25"/>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以上企业，不属于大企业的分支机构，不存在控股股东为大企业的情形，也不存在与大企业的负责人为同一人的情形。 </w:t>
      </w:r>
    </w:p>
    <w:p w14:paraId="1A945411">
      <w:pPr>
        <w:pStyle w:val="25"/>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本企业对上述声明内容的真实性负责。如有虚假，将依法承担相应责任。 </w:t>
      </w:r>
    </w:p>
    <w:p w14:paraId="2252499B">
      <w:pPr>
        <w:pStyle w:val="25"/>
        <w:spacing w:line="360" w:lineRule="auto"/>
        <w:rPr>
          <w:rFonts w:hint="eastAsia" w:ascii="仿宋" w:hAnsi="仿宋" w:eastAsia="仿宋" w:cs="仿宋"/>
          <w:color w:val="000000" w:themeColor="text1"/>
          <w:sz w:val="24"/>
          <w14:textFill>
            <w14:solidFill>
              <w14:schemeClr w14:val="tx1"/>
            </w14:solidFill>
          </w14:textFill>
        </w:rPr>
      </w:pPr>
    </w:p>
    <w:p w14:paraId="1AF5D54A">
      <w:pPr>
        <w:pStyle w:val="25"/>
        <w:spacing w:line="360" w:lineRule="auto"/>
        <w:ind w:firstLine="720" w:firstLineChars="300"/>
        <w:rPr>
          <w:rFonts w:hint="eastAsia" w:ascii="仿宋" w:hAnsi="仿宋" w:eastAsia="仿宋" w:cs="仿宋"/>
          <w:color w:val="000000" w:themeColor="text1"/>
          <w:sz w:val="24"/>
          <w14:textFill>
            <w14:solidFill>
              <w14:schemeClr w14:val="tx1"/>
            </w14:solidFill>
          </w14:textFill>
        </w:rPr>
      </w:pPr>
    </w:p>
    <w:p w14:paraId="305BCD11">
      <w:pPr>
        <w:pStyle w:val="25"/>
        <w:spacing w:line="360" w:lineRule="auto"/>
        <w:ind w:firstLine="720" w:firstLineChars="3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企业名称（盖章）：</w:t>
      </w:r>
    </w:p>
    <w:p w14:paraId="3AC26B87">
      <w:pPr>
        <w:pStyle w:val="25"/>
        <w:spacing w:line="360" w:lineRule="auto"/>
        <w:ind w:firstLine="720" w:firstLineChars="3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4617E436">
      <w:pPr>
        <w:pStyle w:val="25"/>
        <w:spacing w:line="360" w:lineRule="auto"/>
        <w:rPr>
          <w:rFonts w:hint="eastAsia" w:ascii="仿宋" w:hAnsi="仿宋" w:eastAsia="仿宋" w:cs="仿宋"/>
          <w:color w:val="000000" w:themeColor="text1"/>
          <w:sz w:val="20"/>
          <w14:textFill>
            <w14:solidFill>
              <w14:schemeClr w14:val="tx1"/>
            </w14:solidFill>
          </w14:textFill>
        </w:rPr>
      </w:pPr>
    </w:p>
    <w:p w14:paraId="5C2B0D7C">
      <w:pPr>
        <w:pStyle w:val="25"/>
        <w:spacing w:line="360" w:lineRule="auto"/>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从业人员、营业收入、资产总额填报上一年度数据，无上一年度数据的新成立企业可不填报</w:t>
      </w:r>
    </w:p>
    <w:p w14:paraId="592C9139">
      <w:pPr>
        <w:rPr>
          <w:rFonts w:hint="eastAsia" w:ascii="仿宋" w:hAnsi="仿宋" w:eastAsia="仿宋" w:cs="仿宋"/>
          <w:b/>
          <w:bCs/>
          <w:color w:val="000000" w:themeColor="text1"/>
          <w:sz w:val="24"/>
          <w:szCs w:val="22"/>
          <w14:textFill>
            <w14:solidFill>
              <w14:schemeClr w14:val="tx1"/>
            </w14:solidFill>
          </w14:textFill>
        </w:rPr>
      </w:pPr>
      <w:r>
        <w:rPr>
          <w:rFonts w:hint="eastAsia" w:ascii="仿宋" w:hAnsi="仿宋" w:eastAsia="仿宋" w:cs="仿宋"/>
          <w:b/>
          <w:bCs/>
          <w:color w:val="000000" w:themeColor="text1"/>
          <w:sz w:val="24"/>
          <w:szCs w:val="22"/>
          <w14:textFill>
            <w14:solidFill>
              <w14:schemeClr w14:val="tx1"/>
            </w14:solidFill>
          </w14:textFill>
        </w:rPr>
        <w:br w:type="page"/>
      </w:r>
    </w:p>
    <w:p w14:paraId="5CAE28E6">
      <w:pPr>
        <w:jc w:val="center"/>
        <w:rPr>
          <w:rFonts w:hint="eastAsia" w:ascii="仿宋" w:hAnsi="仿宋" w:eastAsia="仿宋" w:cs="仿宋"/>
          <w:b/>
          <w:bCs/>
          <w:color w:val="000000" w:themeColor="text1"/>
          <w:sz w:val="32"/>
          <w:szCs w:val="32"/>
          <w14:textFill>
            <w14:solidFill>
              <w14:schemeClr w14:val="tx1"/>
            </w14:solidFill>
          </w14:textFill>
        </w:rPr>
      </w:pPr>
      <w:bookmarkStart w:id="476" w:name="_Hlk17733230"/>
      <w:r>
        <w:rPr>
          <w:rFonts w:hint="eastAsia" w:ascii="仿宋" w:hAnsi="仿宋" w:eastAsia="仿宋" w:cs="仿宋"/>
          <w:b/>
          <w:bCs/>
          <w:color w:val="000000" w:themeColor="text1"/>
          <w:sz w:val="32"/>
          <w:szCs w:val="32"/>
          <w14:textFill>
            <w14:solidFill>
              <w14:schemeClr w14:val="tx1"/>
            </w14:solidFill>
          </w14:textFill>
        </w:rPr>
        <w:t>《</w:t>
      </w:r>
      <w:bookmarkStart w:id="477" w:name="_Hlk17707343"/>
      <w:r>
        <w:rPr>
          <w:rFonts w:hint="eastAsia" w:ascii="仿宋" w:hAnsi="仿宋" w:eastAsia="仿宋" w:cs="仿宋"/>
          <w:b/>
          <w:bCs/>
          <w:color w:val="000000" w:themeColor="text1"/>
          <w:sz w:val="32"/>
          <w:szCs w:val="32"/>
          <w14:textFill>
            <w14:solidFill>
              <w14:schemeClr w14:val="tx1"/>
            </w14:solidFill>
          </w14:textFill>
        </w:rPr>
        <w:t>监狱企业声明函</w:t>
      </w:r>
      <w:bookmarkEnd w:id="477"/>
      <w:r>
        <w:rPr>
          <w:rFonts w:hint="eastAsia" w:ascii="仿宋" w:hAnsi="仿宋" w:eastAsia="仿宋" w:cs="仿宋"/>
          <w:b/>
          <w:bCs/>
          <w:color w:val="000000" w:themeColor="text1"/>
          <w:sz w:val="32"/>
          <w:szCs w:val="32"/>
          <w14:textFill>
            <w14:solidFill>
              <w14:schemeClr w14:val="tx1"/>
            </w14:solidFill>
          </w14:textFill>
        </w:rPr>
        <w:t>》</w:t>
      </w:r>
    </w:p>
    <w:p w14:paraId="25DFB8FF">
      <w:pPr>
        <w:spacing w:line="360" w:lineRule="auto"/>
        <w:ind w:firstLine="475" w:firstLineChars="198"/>
        <w:rPr>
          <w:rFonts w:hint="eastAsia" w:ascii="仿宋" w:hAnsi="仿宋" w:eastAsia="仿宋" w:cs="仿宋"/>
          <w:bCs/>
          <w:color w:val="000000" w:themeColor="text1"/>
          <w:sz w:val="24"/>
          <w14:textFill>
            <w14:solidFill>
              <w14:schemeClr w14:val="tx1"/>
            </w14:solidFill>
          </w14:textFill>
        </w:rPr>
      </w:pPr>
    </w:p>
    <w:p w14:paraId="71DF246F">
      <w:pPr>
        <w:spacing w:line="360" w:lineRule="auto"/>
        <w:ind w:firstLine="475" w:firstLineChars="198"/>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本公司郑重声明，根据《财政部司法部关于政府采购支持监狱企业发展有关问题的通知》（财库</w:t>
      </w:r>
      <w:r>
        <w:rPr>
          <w:rFonts w:hint="eastAsia" w:ascii="仿宋" w:hAnsi="仿宋" w:eastAsia="仿宋" w:cs="仿宋"/>
          <w:color w:val="000000" w:themeColor="text1"/>
          <w:sz w:val="24"/>
          <w14:textFill>
            <w14:solidFill>
              <w14:schemeClr w14:val="tx1"/>
            </w14:solidFill>
          </w14:textFill>
        </w:rPr>
        <w:t>〔2014〕</w:t>
      </w:r>
      <w:r>
        <w:rPr>
          <w:rFonts w:hint="eastAsia" w:ascii="仿宋" w:hAnsi="仿宋" w:eastAsia="仿宋" w:cs="仿宋"/>
          <w:bCs/>
          <w:color w:val="000000" w:themeColor="text1"/>
          <w:sz w:val="24"/>
          <w14:textFill>
            <w14:solidFill>
              <w14:schemeClr w14:val="tx1"/>
            </w14:solidFill>
          </w14:textFill>
        </w:rPr>
        <w:t>68号）的规定，本公司为</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（请填写：监狱）企业。</w:t>
      </w:r>
    </w:p>
    <w:p w14:paraId="3C4D37D4">
      <w:pPr>
        <w:spacing w:line="360" w:lineRule="auto"/>
        <w:ind w:firstLine="235" w:firstLineChars="98"/>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本单位为符合条件的监狱企业，且本单位参加______单位的______项目采购活动提供本单位制造的货物（由本单位承担工程/提供服务）。</w:t>
      </w:r>
    </w:p>
    <w:p w14:paraId="29D47D5F">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本公司对上述声明的真实性负责，若有虚假，将依法承担相应责任。</w:t>
      </w:r>
    </w:p>
    <w:p w14:paraId="07924C57">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p>
    <w:p w14:paraId="532D8AC5">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p>
    <w:p w14:paraId="25951303">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投标人名称</w:t>
      </w:r>
      <w:r>
        <w:rPr>
          <w:rFonts w:hint="eastAsia" w:ascii="仿宋" w:hAnsi="仿宋" w:eastAsia="仿宋" w:cs="仿宋"/>
          <w:bCs/>
          <w:color w:val="000000" w:themeColor="text1"/>
          <w:sz w:val="24"/>
          <w:u w:val="single"/>
          <w14:textFill>
            <w14:solidFill>
              <w14:schemeClr w14:val="tx1"/>
            </w14:solidFill>
          </w14:textFill>
        </w:rPr>
        <w:t>：                （盖章）</w:t>
      </w:r>
    </w:p>
    <w:p w14:paraId="6A7CC05F">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p>
    <w:p w14:paraId="4E0C8FFE">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法定代表人或其法人授权委托人</w:t>
      </w:r>
      <w:r>
        <w:rPr>
          <w:rFonts w:hint="eastAsia" w:ascii="仿宋" w:hAnsi="仿宋" w:eastAsia="仿宋" w:cs="仿宋"/>
          <w:bCs/>
          <w:color w:val="000000" w:themeColor="text1"/>
          <w:sz w:val="24"/>
          <w:u w:val="single"/>
          <w14:textFill>
            <w14:solidFill>
              <w14:schemeClr w14:val="tx1"/>
            </w14:solidFill>
          </w14:textFill>
        </w:rPr>
        <w:t>：       （签字或盖章）</w:t>
      </w:r>
    </w:p>
    <w:p w14:paraId="76003FE8">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p>
    <w:p w14:paraId="4188DA0B">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日期：   年   月   日</w:t>
      </w:r>
    </w:p>
    <w:p w14:paraId="71406928">
      <w:pPr>
        <w:spacing w:line="360" w:lineRule="auto"/>
        <w:rPr>
          <w:rFonts w:hint="eastAsia" w:ascii="仿宋" w:hAnsi="仿宋" w:eastAsia="仿宋" w:cs="仿宋"/>
          <w:b/>
          <w:color w:val="000000" w:themeColor="text1"/>
          <w:sz w:val="24"/>
          <w14:textFill>
            <w14:solidFill>
              <w14:schemeClr w14:val="tx1"/>
            </w14:solidFill>
          </w14:textFill>
        </w:rPr>
      </w:pPr>
    </w:p>
    <w:bookmarkEnd w:id="476"/>
    <w:p w14:paraId="7E85383A">
      <w:pPr>
        <w:jc w:val="left"/>
        <w:rPr>
          <w:rFonts w:hint="eastAsia" w:ascii="仿宋" w:hAnsi="仿宋" w:eastAsia="仿宋" w:cs="仿宋"/>
          <w:b/>
          <w:bCs/>
          <w:color w:val="000000" w:themeColor="text1"/>
          <w:sz w:val="32"/>
          <w:szCs w:val="32"/>
          <w14:textFill>
            <w14:solidFill>
              <w14:schemeClr w14:val="tx1"/>
            </w14:solidFill>
          </w14:textFill>
        </w:rPr>
      </w:pPr>
    </w:p>
    <w:p w14:paraId="75DC458F">
      <w:pPr>
        <w:jc w:val="left"/>
        <w:rPr>
          <w:rFonts w:hint="eastAsia" w:ascii="仿宋" w:hAnsi="仿宋" w:eastAsia="仿宋" w:cs="仿宋"/>
          <w:b/>
          <w:bCs/>
          <w:color w:val="000000" w:themeColor="text1"/>
          <w:sz w:val="32"/>
          <w:szCs w:val="32"/>
          <w14:textFill>
            <w14:solidFill>
              <w14:schemeClr w14:val="tx1"/>
            </w14:solidFill>
          </w14:textFill>
        </w:rPr>
      </w:pPr>
    </w:p>
    <w:p w14:paraId="2A6ED00C">
      <w:pPr>
        <w:jc w:val="left"/>
        <w:rPr>
          <w:rFonts w:hint="eastAsia" w:ascii="仿宋" w:hAnsi="仿宋" w:eastAsia="仿宋" w:cs="仿宋"/>
          <w:b/>
          <w:bCs/>
          <w:color w:val="000000" w:themeColor="text1"/>
          <w:sz w:val="32"/>
          <w:szCs w:val="32"/>
          <w14:textFill>
            <w14:solidFill>
              <w14:schemeClr w14:val="tx1"/>
            </w14:solidFill>
          </w14:textFill>
        </w:rPr>
      </w:pPr>
    </w:p>
    <w:p w14:paraId="1B184D02">
      <w:pPr>
        <w:jc w:val="left"/>
        <w:rPr>
          <w:rFonts w:hint="eastAsia" w:ascii="仿宋" w:hAnsi="仿宋" w:eastAsia="仿宋" w:cs="仿宋"/>
          <w:b/>
          <w:bCs/>
          <w:color w:val="000000" w:themeColor="text1"/>
          <w:sz w:val="32"/>
          <w:szCs w:val="32"/>
          <w14:textFill>
            <w14:solidFill>
              <w14:schemeClr w14:val="tx1"/>
            </w14:solidFill>
          </w14:textFill>
        </w:rPr>
      </w:pPr>
    </w:p>
    <w:p w14:paraId="03987E1C">
      <w:pPr>
        <w:jc w:val="left"/>
        <w:rPr>
          <w:rFonts w:hint="eastAsia" w:ascii="仿宋" w:hAnsi="仿宋" w:eastAsia="仿宋" w:cs="仿宋"/>
          <w:b/>
          <w:bCs/>
          <w:color w:val="000000" w:themeColor="text1"/>
          <w:sz w:val="32"/>
          <w:szCs w:val="32"/>
          <w14:textFill>
            <w14:solidFill>
              <w14:schemeClr w14:val="tx1"/>
            </w14:solidFill>
          </w14:textFill>
        </w:rPr>
      </w:pPr>
    </w:p>
    <w:p w14:paraId="3601BDA7">
      <w:pPr>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14:paraId="1F07069C">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《残疾人福利性单位声明函》</w:t>
      </w:r>
    </w:p>
    <w:p w14:paraId="6298E6BA">
      <w:pPr>
        <w:pStyle w:val="16"/>
        <w:rPr>
          <w:rFonts w:hint="eastAsia" w:ascii="仿宋" w:hAnsi="仿宋" w:eastAsia="仿宋" w:cs="仿宋"/>
          <w:b/>
          <w:bCs/>
          <w:color w:val="000000" w:themeColor="text1"/>
          <w:sz w:val="32"/>
          <w:szCs w:val="32"/>
          <w14:textFill>
            <w14:solidFill>
              <w14:schemeClr w14:val="tx1"/>
            </w14:solidFill>
          </w14:textFill>
        </w:rPr>
      </w:pPr>
    </w:p>
    <w:p w14:paraId="07AC4DED">
      <w:pPr>
        <w:rPr>
          <w:rFonts w:hint="eastAsia" w:ascii="仿宋" w:hAnsi="仿宋" w:eastAsia="仿宋" w:cs="仿宋"/>
          <w:b/>
          <w:bCs/>
          <w:color w:val="000000" w:themeColor="text1"/>
          <w:sz w:val="32"/>
          <w:szCs w:val="32"/>
          <w14:textFill>
            <w14:solidFill>
              <w14:schemeClr w14:val="tx1"/>
            </w14:solidFill>
          </w14:textFill>
        </w:rPr>
      </w:pPr>
    </w:p>
    <w:p w14:paraId="15909107">
      <w:pPr>
        <w:pStyle w:val="16"/>
        <w:rPr>
          <w:rFonts w:hint="eastAsia" w:ascii="仿宋" w:hAnsi="仿宋" w:eastAsia="仿宋" w:cs="仿宋"/>
          <w:color w:val="000000" w:themeColor="text1"/>
          <w14:textFill>
            <w14:solidFill>
              <w14:schemeClr w14:val="tx1"/>
            </w14:solidFill>
          </w14:textFill>
        </w:rPr>
      </w:pPr>
    </w:p>
    <w:p w14:paraId="46B9F989">
      <w:pPr>
        <w:spacing w:line="48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本单位郑重声明，根据《财政部、民政部、中国残疾人联合会关于促进残疾人就业政府采购政策的通知》（财库〔2017〕141号）的规定，</w:t>
      </w:r>
      <w:bookmarkStart w:id="478" w:name="_Hlk17707165"/>
      <w:r>
        <w:rPr>
          <w:rFonts w:hint="eastAsia" w:ascii="仿宋" w:hAnsi="仿宋" w:eastAsia="仿宋" w:cs="仿宋"/>
          <w:bCs/>
          <w:color w:val="000000" w:themeColor="text1"/>
          <w:sz w:val="24"/>
          <w14:textFill>
            <w14:solidFill>
              <w14:schemeClr w14:val="tx1"/>
            </w14:solidFill>
          </w14:textFill>
        </w:rPr>
        <w:t>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bookmarkEnd w:id="478"/>
    <w:p w14:paraId="6C4C9C8B">
      <w:pPr>
        <w:spacing w:line="480" w:lineRule="auto"/>
        <w:ind w:firstLine="475" w:firstLineChars="198"/>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本单位对上述声明的真实性负责。如有虚假，将依法承担相应责任。</w:t>
      </w:r>
    </w:p>
    <w:p w14:paraId="0BAF8428">
      <w:pPr>
        <w:spacing w:line="588" w:lineRule="exact"/>
        <w:rPr>
          <w:rFonts w:hint="eastAsia" w:ascii="仿宋" w:hAnsi="仿宋" w:eastAsia="仿宋" w:cs="仿宋"/>
          <w:b/>
          <w:bCs/>
          <w:color w:val="000000" w:themeColor="text1"/>
          <w:spacing w:val="6"/>
          <w:sz w:val="30"/>
          <w:szCs w:val="30"/>
          <w14:textFill>
            <w14:solidFill>
              <w14:schemeClr w14:val="tx1"/>
            </w14:solidFill>
          </w14:textFill>
        </w:rPr>
      </w:pPr>
    </w:p>
    <w:p w14:paraId="33226FA5">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投标人名称</w:t>
      </w:r>
      <w:r>
        <w:rPr>
          <w:rFonts w:hint="eastAsia" w:ascii="仿宋" w:hAnsi="仿宋" w:eastAsia="仿宋" w:cs="仿宋"/>
          <w:bCs/>
          <w:color w:val="000000" w:themeColor="text1"/>
          <w:sz w:val="24"/>
          <w:u w:val="single"/>
          <w14:textFill>
            <w14:solidFill>
              <w14:schemeClr w14:val="tx1"/>
            </w14:solidFill>
          </w14:textFill>
        </w:rPr>
        <w:t>：                （盖章）</w:t>
      </w:r>
    </w:p>
    <w:p w14:paraId="21BC4CF2">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p>
    <w:p w14:paraId="20452EDE">
      <w:pPr>
        <w:spacing w:line="360" w:lineRule="auto"/>
        <w:ind w:firstLine="235" w:firstLineChars="98"/>
        <w:jc w:val="righ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法定代表人或其法人授权委托人</w:t>
      </w:r>
      <w:r>
        <w:rPr>
          <w:rFonts w:hint="eastAsia" w:ascii="仿宋" w:hAnsi="仿宋" w:eastAsia="仿宋" w:cs="仿宋"/>
          <w:bCs/>
          <w:color w:val="000000" w:themeColor="text1"/>
          <w:sz w:val="24"/>
          <w:u w:val="single"/>
          <w14:textFill>
            <w14:solidFill>
              <w14:schemeClr w14:val="tx1"/>
            </w14:solidFill>
          </w14:textFill>
        </w:rPr>
        <w:t>：       （签字或盖章）</w:t>
      </w:r>
    </w:p>
    <w:p w14:paraId="6FF4E4D3">
      <w:pPr>
        <w:spacing w:line="360" w:lineRule="auto"/>
        <w:ind w:firstLine="235" w:firstLineChars="98"/>
        <w:jc w:val="right"/>
        <w:rPr>
          <w:rFonts w:hint="eastAsia" w:ascii="仿宋" w:hAnsi="仿宋" w:eastAsia="仿宋" w:cs="仿宋"/>
          <w:bCs/>
          <w:color w:val="000000" w:themeColor="text1"/>
          <w:kern w:val="0"/>
          <w:sz w:val="24"/>
          <w14:textFill>
            <w14:solidFill>
              <w14:schemeClr w14:val="tx1"/>
            </w14:solidFill>
          </w14:textFill>
        </w:rPr>
      </w:pPr>
    </w:p>
    <w:p w14:paraId="63624FED">
      <w:pPr>
        <w:pStyle w:val="25"/>
        <w:rPr>
          <w:rFonts w:hint="eastAsia" w:ascii="仿宋" w:hAnsi="仿宋" w:eastAsia="仿宋" w:cs="仿宋"/>
          <w:color w:val="000000" w:themeColor="text1"/>
          <w14:textFill>
            <w14:solidFill>
              <w14:schemeClr w14:val="tx1"/>
            </w14:solidFill>
          </w14:textFill>
        </w:rPr>
      </w:pPr>
    </w:p>
    <w:p w14:paraId="0B4BBB2E">
      <w:pPr>
        <w:pStyle w:val="25"/>
        <w:spacing w:line="360" w:lineRule="auto"/>
        <w:ind w:firstLine="4320" w:firstLineChars="18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日期：   年   月   日</w:t>
      </w:r>
    </w:p>
    <w:p w14:paraId="4D1D850E">
      <w:pPr>
        <w:pStyle w:val="25"/>
        <w:spacing w:line="360" w:lineRule="auto"/>
        <w:rPr>
          <w:rFonts w:hint="eastAsia" w:ascii="仿宋" w:hAnsi="仿宋" w:eastAsia="仿宋" w:cs="仿宋"/>
          <w:color w:val="000000" w:themeColor="text1"/>
          <w:sz w:val="24"/>
          <w14:textFill>
            <w14:solidFill>
              <w14:schemeClr w14:val="tx1"/>
            </w14:solidFill>
          </w14:textFill>
        </w:rPr>
      </w:pPr>
    </w:p>
    <w:p w14:paraId="2D6FE0E4">
      <w:pPr>
        <w:pStyle w:val="25"/>
        <w:spacing w:line="360" w:lineRule="auto"/>
        <w:rPr>
          <w:rFonts w:hint="eastAsia" w:ascii="仿宋" w:hAnsi="仿宋" w:eastAsia="仿宋" w:cs="仿宋"/>
          <w:color w:val="000000" w:themeColor="text1"/>
          <w:sz w:val="24"/>
          <w14:textFill>
            <w14:solidFill>
              <w14:schemeClr w14:val="tx1"/>
            </w14:solidFill>
          </w14:textFill>
        </w:rPr>
      </w:pPr>
    </w:p>
    <w:p w14:paraId="5038C254">
      <w:pPr>
        <w:pStyle w:val="25"/>
        <w:spacing w:line="360" w:lineRule="auto"/>
        <w:rPr>
          <w:rFonts w:hint="eastAsia" w:ascii="仿宋" w:hAnsi="仿宋" w:eastAsia="仿宋" w:cs="仿宋"/>
          <w:color w:val="000000" w:themeColor="text1"/>
          <w:sz w:val="24"/>
          <w14:textFill>
            <w14:solidFill>
              <w14:schemeClr w14:val="tx1"/>
            </w14:solidFill>
          </w14:textFill>
        </w:rPr>
      </w:pPr>
    </w:p>
    <w:p w14:paraId="39732470">
      <w:pPr>
        <w:pStyle w:val="25"/>
        <w:spacing w:line="360" w:lineRule="auto"/>
        <w:rPr>
          <w:rFonts w:hint="eastAsia" w:ascii="仿宋" w:hAnsi="仿宋" w:eastAsia="仿宋" w:cs="仿宋"/>
          <w:color w:val="000000" w:themeColor="text1"/>
          <w:sz w:val="24"/>
          <w14:textFill>
            <w14:solidFill>
              <w14:schemeClr w14:val="tx1"/>
            </w14:solidFill>
          </w14:textFill>
        </w:rPr>
      </w:pPr>
    </w:p>
    <w:p w14:paraId="2F7E3BD7">
      <w:pPr>
        <w:pStyle w:val="25"/>
        <w:spacing w:line="360" w:lineRule="auto"/>
        <w:rPr>
          <w:rFonts w:hint="eastAsia" w:ascii="仿宋" w:hAnsi="仿宋" w:eastAsia="仿宋" w:cs="仿宋"/>
          <w:color w:val="000000" w:themeColor="text1"/>
          <w:sz w:val="24"/>
          <w14:textFill>
            <w14:solidFill>
              <w14:schemeClr w14:val="tx1"/>
            </w14:solidFill>
          </w14:textFill>
        </w:rPr>
      </w:pPr>
    </w:p>
    <w:p w14:paraId="52AA5894">
      <w:pPr>
        <w:pStyle w:val="25"/>
        <w:spacing w:line="360" w:lineRule="auto"/>
        <w:rPr>
          <w:rFonts w:hint="eastAsia" w:ascii="仿宋" w:hAnsi="仿宋" w:eastAsia="仿宋" w:cs="仿宋"/>
          <w:color w:val="000000" w:themeColor="text1"/>
          <w:sz w:val="24"/>
          <w14:textFill>
            <w14:solidFill>
              <w14:schemeClr w14:val="tx1"/>
            </w14:solidFill>
          </w14:textFill>
        </w:rPr>
      </w:pPr>
    </w:p>
    <w:p w14:paraId="43055DD5">
      <w:pPr>
        <w:pStyle w:val="25"/>
        <w:spacing w:line="360" w:lineRule="auto"/>
        <w:rPr>
          <w:rFonts w:hint="eastAsia" w:ascii="仿宋" w:hAnsi="仿宋" w:eastAsia="仿宋" w:cs="仿宋"/>
          <w:color w:val="000000" w:themeColor="text1"/>
          <w:sz w:val="24"/>
          <w14:textFill>
            <w14:solidFill>
              <w14:schemeClr w14:val="tx1"/>
            </w14:solidFill>
          </w14:textFill>
        </w:rPr>
      </w:pPr>
    </w:p>
    <w:p w14:paraId="458E1D7C">
      <w:pPr>
        <w:pStyle w:val="25"/>
        <w:spacing w:line="360" w:lineRule="auto"/>
        <w:rPr>
          <w:rFonts w:hint="eastAsia" w:ascii="仿宋" w:hAnsi="仿宋" w:eastAsia="仿宋" w:cs="仿宋"/>
          <w:color w:val="000000" w:themeColor="text1"/>
          <w:sz w:val="24"/>
          <w14:textFill>
            <w14:solidFill>
              <w14:schemeClr w14:val="tx1"/>
            </w14:solidFill>
          </w14:textFill>
        </w:rPr>
      </w:pPr>
    </w:p>
    <w:p w14:paraId="73AD0CC7">
      <w:pPr>
        <w:pStyle w:val="25"/>
        <w:spacing w:line="360" w:lineRule="auto"/>
        <w:rPr>
          <w:rFonts w:hint="eastAsia" w:ascii="仿宋" w:hAnsi="仿宋" w:eastAsia="仿宋" w:cs="仿宋"/>
          <w:color w:val="000000" w:themeColor="text1"/>
          <w14:textFill>
            <w14:solidFill>
              <w14:schemeClr w14:val="tx1"/>
            </w14:solidFill>
          </w14:textFill>
        </w:rPr>
      </w:pPr>
    </w:p>
    <w:p w14:paraId="6D0C4708">
      <w:pPr>
        <w:rPr>
          <w:rFonts w:hint="eastAsia" w:ascii="仿宋" w:hAnsi="仿宋" w:eastAsia="仿宋" w:cs="仿宋"/>
          <w:color w:val="000000" w:themeColor="text1"/>
          <w14:textFill>
            <w14:solidFill>
              <w14:schemeClr w14:val="tx1"/>
            </w14:solidFill>
          </w14:textFill>
        </w:rPr>
      </w:pPr>
      <w:bookmarkStart w:id="479" w:name="_Toc6475"/>
      <w:bookmarkStart w:id="480" w:name="_Toc21226"/>
      <w:bookmarkStart w:id="481" w:name="_Toc7653"/>
      <w:bookmarkStart w:id="482" w:name="_Toc28885"/>
      <w:bookmarkStart w:id="483" w:name="_Toc32662"/>
      <w:bookmarkStart w:id="484" w:name="_Toc19209"/>
      <w:bookmarkStart w:id="485" w:name="_Toc31647"/>
      <w:bookmarkStart w:id="486" w:name="_Toc18372"/>
      <w:bookmarkStart w:id="487" w:name="_Toc12386"/>
      <w:bookmarkStart w:id="488" w:name="_Toc13657"/>
      <w:bookmarkStart w:id="489" w:name="_Toc7304"/>
      <w:bookmarkStart w:id="490" w:name="_Toc8610"/>
      <w:bookmarkStart w:id="491" w:name="_Toc30333"/>
      <w:bookmarkStart w:id="492" w:name="_Toc17277"/>
      <w:r>
        <w:rPr>
          <w:rFonts w:hint="eastAsia" w:ascii="仿宋" w:hAnsi="仿宋" w:eastAsia="仿宋" w:cs="仿宋"/>
          <w:color w:val="000000" w:themeColor="text1"/>
          <w14:textFill>
            <w14:solidFill>
              <w14:schemeClr w14:val="tx1"/>
            </w14:solidFill>
          </w14:textFill>
        </w:rPr>
        <w:br w:type="page"/>
      </w:r>
    </w:p>
    <w:p w14:paraId="172B86CB">
      <w:pPr>
        <w:pStyle w:val="4"/>
        <w:adjustRightInd w:val="0"/>
        <w:spacing w:line="360" w:lineRule="auto"/>
        <w:textAlignment w:val="baseline"/>
        <w:outlineLvl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附件  </w:t>
      </w:r>
      <w:r>
        <w:rPr>
          <w:rFonts w:hint="eastAsia" w:ascii="仿宋" w:hAnsi="仿宋" w:eastAsia="仿宋" w:cs="仿宋"/>
          <w:color w:val="000000" w:themeColor="text1"/>
          <w:lang w:val="en-US" w:eastAsia="zh-CN"/>
          <w14:textFill>
            <w14:solidFill>
              <w14:schemeClr w14:val="tx1"/>
            </w14:solidFill>
          </w14:textFill>
        </w:rPr>
        <w:t>实施</w:t>
      </w:r>
      <w:r>
        <w:rPr>
          <w:rFonts w:hint="eastAsia" w:ascii="仿宋" w:hAnsi="仿宋" w:eastAsia="仿宋" w:cs="仿宋"/>
          <w:color w:val="000000" w:themeColor="text1"/>
          <w14:textFill>
            <w14:solidFill>
              <w14:schemeClr w14:val="tx1"/>
            </w14:solidFill>
          </w14:textFill>
        </w:rPr>
        <w:t>方案</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10913F6">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根据采购内容及评分标准编制（格式自拟）</w:t>
      </w:r>
    </w:p>
    <w:p w14:paraId="47380C62">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C21428E">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21AD97F1">
      <w:pPr>
        <w:spacing w:line="360" w:lineRule="auto"/>
        <w:rPr>
          <w:rFonts w:hint="eastAsia" w:ascii="仿宋" w:hAnsi="仿宋" w:eastAsia="仿宋" w:cs="仿宋"/>
          <w:color w:val="000000" w:themeColor="text1"/>
          <w14:textFill>
            <w14:solidFill>
              <w14:schemeClr w14:val="tx1"/>
            </w14:solidFill>
          </w14:textFill>
        </w:rPr>
      </w:pPr>
    </w:p>
    <w:p w14:paraId="1D143A39">
      <w:pPr>
        <w:spacing w:line="360" w:lineRule="auto"/>
        <w:rPr>
          <w:rFonts w:hint="eastAsia" w:ascii="仿宋" w:hAnsi="仿宋" w:eastAsia="仿宋" w:cs="仿宋"/>
          <w:color w:val="000000" w:themeColor="text1"/>
          <w14:textFill>
            <w14:solidFill>
              <w14:schemeClr w14:val="tx1"/>
            </w14:solidFill>
          </w14:textFill>
        </w:rPr>
      </w:pPr>
    </w:p>
    <w:p w14:paraId="10AEBD68">
      <w:pPr>
        <w:spacing w:line="360" w:lineRule="auto"/>
        <w:rPr>
          <w:rFonts w:hint="eastAsia" w:ascii="仿宋" w:hAnsi="仿宋" w:eastAsia="仿宋" w:cs="仿宋"/>
          <w:color w:val="000000" w:themeColor="text1"/>
          <w14:textFill>
            <w14:solidFill>
              <w14:schemeClr w14:val="tx1"/>
            </w14:solidFill>
          </w14:textFill>
        </w:rPr>
      </w:pPr>
    </w:p>
    <w:p w14:paraId="36B55FAD">
      <w:pPr>
        <w:spacing w:line="360" w:lineRule="auto"/>
        <w:rPr>
          <w:rFonts w:hint="eastAsia" w:ascii="仿宋" w:hAnsi="仿宋" w:eastAsia="仿宋" w:cs="仿宋"/>
          <w:color w:val="000000" w:themeColor="text1"/>
          <w14:textFill>
            <w14:solidFill>
              <w14:schemeClr w14:val="tx1"/>
            </w14:solidFill>
          </w14:textFill>
        </w:rPr>
      </w:pPr>
    </w:p>
    <w:p w14:paraId="0AC0F6EA">
      <w:pPr>
        <w:spacing w:line="360" w:lineRule="auto"/>
        <w:rPr>
          <w:rFonts w:hint="eastAsia" w:ascii="仿宋" w:hAnsi="仿宋" w:eastAsia="仿宋" w:cs="仿宋"/>
          <w:color w:val="000000" w:themeColor="text1"/>
          <w14:textFill>
            <w14:solidFill>
              <w14:schemeClr w14:val="tx1"/>
            </w14:solidFill>
          </w14:textFill>
        </w:rPr>
      </w:pPr>
    </w:p>
    <w:p w14:paraId="1C30FAF6">
      <w:pPr>
        <w:spacing w:line="360" w:lineRule="auto"/>
        <w:rPr>
          <w:rFonts w:hint="eastAsia" w:ascii="仿宋" w:hAnsi="仿宋" w:eastAsia="仿宋" w:cs="仿宋"/>
          <w:color w:val="000000" w:themeColor="text1"/>
          <w14:textFill>
            <w14:solidFill>
              <w14:schemeClr w14:val="tx1"/>
            </w14:solidFill>
          </w14:textFill>
        </w:rPr>
      </w:pPr>
    </w:p>
    <w:p w14:paraId="41679E27">
      <w:pPr>
        <w:spacing w:line="360" w:lineRule="auto"/>
        <w:rPr>
          <w:rFonts w:hint="eastAsia" w:ascii="仿宋" w:hAnsi="仿宋" w:eastAsia="仿宋" w:cs="仿宋"/>
          <w:color w:val="000000" w:themeColor="text1"/>
          <w14:textFill>
            <w14:solidFill>
              <w14:schemeClr w14:val="tx1"/>
            </w14:solidFill>
          </w14:textFill>
        </w:rPr>
      </w:pPr>
    </w:p>
    <w:p w14:paraId="2290AD12">
      <w:pPr>
        <w:spacing w:line="360" w:lineRule="auto"/>
        <w:rPr>
          <w:rFonts w:hint="eastAsia" w:ascii="仿宋" w:hAnsi="仿宋" w:eastAsia="仿宋" w:cs="仿宋"/>
          <w:color w:val="000000" w:themeColor="text1"/>
          <w14:textFill>
            <w14:solidFill>
              <w14:schemeClr w14:val="tx1"/>
            </w14:solidFill>
          </w14:textFill>
        </w:rPr>
      </w:pPr>
    </w:p>
    <w:p w14:paraId="47FCFF3F">
      <w:pPr>
        <w:spacing w:line="360" w:lineRule="auto"/>
        <w:ind w:right="-161" w:firstLine="2400" w:firstLineChars="10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法定代表人或被授权代表签字或盖章：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E92B4CB">
      <w:pPr>
        <w:spacing w:line="360" w:lineRule="auto"/>
        <w:ind w:right="-161" w:firstLine="2640" w:firstLineChars="1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（公章）</w:t>
      </w:r>
    </w:p>
    <w:p w14:paraId="3792924D">
      <w:pPr>
        <w:pStyle w:val="25"/>
        <w:spacing w:line="360" w:lineRule="auto"/>
        <w:rPr>
          <w:rFonts w:hint="eastAsia" w:ascii="仿宋" w:hAnsi="仿宋" w:eastAsia="仿宋" w:cs="仿宋"/>
          <w:color w:val="000000" w:themeColor="text1"/>
          <w14:textFill>
            <w14:solidFill>
              <w14:schemeClr w14:val="tx1"/>
            </w14:solidFill>
          </w14:textFill>
        </w:rPr>
      </w:pPr>
    </w:p>
    <w:p w14:paraId="725FADC2">
      <w:pPr>
        <w:pStyle w:val="25"/>
        <w:spacing w:line="360" w:lineRule="auto"/>
        <w:rPr>
          <w:rFonts w:hint="eastAsia" w:ascii="仿宋" w:hAnsi="仿宋" w:eastAsia="仿宋" w:cs="仿宋"/>
          <w:color w:val="000000" w:themeColor="text1"/>
          <w14:textFill>
            <w14:solidFill>
              <w14:schemeClr w14:val="tx1"/>
            </w14:solidFill>
          </w14:textFill>
        </w:rPr>
      </w:pPr>
    </w:p>
    <w:p w14:paraId="1C46E305">
      <w:pPr>
        <w:pStyle w:val="25"/>
        <w:spacing w:line="360" w:lineRule="auto"/>
        <w:rPr>
          <w:rFonts w:hint="eastAsia" w:ascii="仿宋" w:hAnsi="仿宋" w:eastAsia="仿宋" w:cs="仿宋"/>
          <w:color w:val="000000" w:themeColor="text1"/>
          <w14:textFill>
            <w14:solidFill>
              <w14:schemeClr w14:val="tx1"/>
            </w14:solidFill>
          </w14:textFill>
        </w:rPr>
      </w:pPr>
    </w:p>
    <w:p w14:paraId="47C1B1EE">
      <w:pPr>
        <w:pStyle w:val="25"/>
        <w:spacing w:line="360" w:lineRule="auto"/>
        <w:rPr>
          <w:rFonts w:hint="eastAsia" w:ascii="仿宋" w:hAnsi="仿宋" w:eastAsia="仿宋" w:cs="仿宋"/>
          <w:color w:val="000000" w:themeColor="text1"/>
          <w14:textFill>
            <w14:solidFill>
              <w14:schemeClr w14:val="tx1"/>
            </w14:solidFill>
          </w14:textFill>
        </w:rPr>
      </w:pPr>
    </w:p>
    <w:p w14:paraId="413928B6">
      <w:pPr>
        <w:pStyle w:val="25"/>
        <w:spacing w:line="360" w:lineRule="auto"/>
        <w:rPr>
          <w:rFonts w:hint="eastAsia" w:ascii="仿宋" w:hAnsi="仿宋" w:eastAsia="仿宋" w:cs="仿宋"/>
          <w:color w:val="000000" w:themeColor="text1"/>
          <w14:textFill>
            <w14:solidFill>
              <w14:schemeClr w14:val="tx1"/>
            </w14:solidFill>
          </w14:textFill>
        </w:rPr>
      </w:pPr>
    </w:p>
    <w:p w14:paraId="04EF6CEF">
      <w:pPr>
        <w:pStyle w:val="25"/>
        <w:spacing w:line="360" w:lineRule="auto"/>
        <w:rPr>
          <w:rFonts w:hint="eastAsia" w:ascii="仿宋" w:hAnsi="仿宋" w:eastAsia="仿宋" w:cs="仿宋"/>
          <w:color w:val="000000" w:themeColor="text1"/>
          <w14:textFill>
            <w14:solidFill>
              <w14:schemeClr w14:val="tx1"/>
            </w14:solidFill>
          </w14:textFill>
        </w:rPr>
      </w:pPr>
    </w:p>
    <w:p w14:paraId="06FD0582">
      <w:pPr>
        <w:pStyle w:val="25"/>
        <w:spacing w:line="360" w:lineRule="auto"/>
        <w:rPr>
          <w:rFonts w:hint="eastAsia" w:ascii="仿宋" w:hAnsi="仿宋" w:eastAsia="仿宋" w:cs="仿宋"/>
          <w:color w:val="000000" w:themeColor="text1"/>
          <w14:textFill>
            <w14:solidFill>
              <w14:schemeClr w14:val="tx1"/>
            </w14:solidFill>
          </w14:textFill>
        </w:rPr>
      </w:pPr>
    </w:p>
    <w:p w14:paraId="60A49D99">
      <w:pPr>
        <w:pStyle w:val="25"/>
        <w:spacing w:line="360" w:lineRule="auto"/>
        <w:rPr>
          <w:rFonts w:hint="eastAsia" w:ascii="仿宋" w:hAnsi="仿宋" w:eastAsia="仿宋" w:cs="仿宋"/>
          <w:color w:val="000000" w:themeColor="text1"/>
          <w14:textFill>
            <w14:solidFill>
              <w14:schemeClr w14:val="tx1"/>
            </w14:solidFill>
          </w14:textFill>
        </w:rPr>
      </w:pPr>
    </w:p>
    <w:p w14:paraId="2455C193">
      <w:pPr>
        <w:pStyle w:val="25"/>
        <w:spacing w:line="360" w:lineRule="auto"/>
        <w:rPr>
          <w:rFonts w:hint="eastAsia" w:ascii="仿宋" w:hAnsi="仿宋" w:eastAsia="仿宋" w:cs="仿宋"/>
          <w:color w:val="000000" w:themeColor="text1"/>
          <w14:textFill>
            <w14:solidFill>
              <w14:schemeClr w14:val="tx1"/>
            </w14:solidFill>
          </w14:textFill>
        </w:rPr>
      </w:pPr>
    </w:p>
    <w:p w14:paraId="23DB3B79">
      <w:pPr>
        <w:pStyle w:val="25"/>
        <w:spacing w:line="360" w:lineRule="auto"/>
        <w:rPr>
          <w:rFonts w:hint="eastAsia" w:ascii="仿宋" w:hAnsi="仿宋" w:eastAsia="仿宋" w:cs="仿宋"/>
          <w:color w:val="000000" w:themeColor="text1"/>
          <w14:textFill>
            <w14:solidFill>
              <w14:schemeClr w14:val="tx1"/>
            </w14:solidFill>
          </w14:textFill>
        </w:rPr>
      </w:pPr>
    </w:p>
    <w:p w14:paraId="4C2B8F68">
      <w:pPr>
        <w:pStyle w:val="25"/>
        <w:spacing w:line="360" w:lineRule="auto"/>
        <w:rPr>
          <w:rFonts w:hint="eastAsia" w:ascii="仿宋" w:hAnsi="仿宋" w:eastAsia="仿宋" w:cs="仿宋"/>
          <w:color w:val="000000" w:themeColor="text1"/>
          <w14:textFill>
            <w14:solidFill>
              <w14:schemeClr w14:val="tx1"/>
            </w14:solidFill>
          </w14:textFill>
        </w:rPr>
      </w:pPr>
    </w:p>
    <w:p w14:paraId="74646FB1">
      <w:pPr>
        <w:pStyle w:val="25"/>
        <w:spacing w:line="360" w:lineRule="auto"/>
        <w:rPr>
          <w:rFonts w:hint="eastAsia" w:ascii="仿宋" w:hAnsi="仿宋" w:eastAsia="仿宋" w:cs="仿宋"/>
          <w:color w:val="000000" w:themeColor="text1"/>
          <w14:textFill>
            <w14:solidFill>
              <w14:schemeClr w14:val="tx1"/>
            </w14:solidFill>
          </w14:textFill>
        </w:rPr>
      </w:pPr>
    </w:p>
    <w:p w14:paraId="3945B225">
      <w:pPr>
        <w:pStyle w:val="25"/>
        <w:spacing w:line="360" w:lineRule="auto"/>
        <w:rPr>
          <w:rFonts w:hint="eastAsia" w:ascii="仿宋" w:hAnsi="仿宋" w:eastAsia="仿宋" w:cs="仿宋"/>
          <w:color w:val="000000" w:themeColor="text1"/>
          <w14:textFill>
            <w14:solidFill>
              <w14:schemeClr w14:val="tx1"/>
            </w14:solidFill>
          </w14:textFill>
        </w:rPr>
      </w:pPr>
    </w:p>
    <w:p w14:paraId="1722D9A3">
      <w:pPr>
        <w:pStyle w:val="25"/>
        <w:spacing w:line="360" w:lineRule="auto"/>
        <w:rPr>
          <w:rFonts w:hint="eastAsia" w:ascii="仿宋" w:hAnsi="仿宋" w:eastAsia="仿宋" w:cs="仿宋"/>
          <w:color w:val="000000" w:themeColor="text1"/>
          <w14:textFill>
            <w14:solidFill>
              <w14:schemeClr w14:val="tx1"/>
            </w14:solidFill>
          </w14:textFill>
        </w:rPr>
      </w:pPr>
    </w:p>
    <w:p w14:paraId="20D8D8EE">
      <w:pPr>
        <w:pStyle w:val="25"/>
        <w:spacing w:line="360" w:lineRule="auto"/>
        <w:rPr>
          <w:rFonts w:hint="eastAsia" w:ascii="仿宋" w:hAnsi="仿宋" w:eastAsia="仿宋" w:cs="仿宋"/>
          <w:color w:val="000000" w:themeColor="text1"/>
          <w14:textFill>
            <w14:solidFill>
              <w14:schemeClr w14:val="tx1"/>
            </w14:solidFill>
          </w14:textFill>
        </w:rPr>
      </w:pPr>
    </w:p>
    <w:p w14:paraId="3AAFE9B3">
      <w:pPr>
        <w:pStyle w:val="25"/>
        <w:spacing w:line="360" w:lineRule="auto"/>
        <w:rPr>
          <w:rFonts w:hint="eastAsia" w:ascii="仿宋" w:hAnsi="仿宋" w:eastAsia="仿宋" w:cs="仿宋"/>
          <w:color w:val="000000" w:themeColor="text1"/>
          <w14:textFill>
            <w14:solidFill>
              <w14:schemeClr w14:val="tx1"/>
            </w14:solidFill>
          </w14:textFill>
        </w:rPr>
      </w:pPr>
    </w:p>
    <w:p w14:paraId="5FA86457">
      <w:pPr>
        <w:pStyle w:val="25"/>
        <w:spacing w:line="360" w:lineRule="auto"/>
        <w:rPr>
          <w:rFonts w:hint="eastAsia" w:ascii="仿宋" w:hAnsi="仿宋" w:eastAsia="仿宋" w:cs="仿宋"/>
          <w:color w:val="000000" w:themeColor="text1"/>
          <w14:textFill>
            <w14:solidFill>
              <w14:schemeClr w14:val="tx1"/>
            </w14:solidFill>
          </w14:textFill>
        </w:rPr>
      </w:pPr>
    </w:p>
    <w:p w14:paraId="1C326F28">
      <w:pPr>
        <w:spacing w:line="360" w:lineRule="auto"/>
        <w:ind w:firstLine="573"/>
        <w:rPr>
          <w:rFonts w:hint="eastAsia" w:ascii="仿宋" w:hAnsi="仿宋" w:eastAsia="仿宋" w:cs="仿宋"/>
          <w:color w:val="000000" w:themeColor="text1"/>
          <w:sz w:val="28"/>
          <w:szCs w:val="28"/>
          <w14:textFill>
            <w14:solidFill>
              <w14:schemeClr w14:val="tx1"/>
            </w14:solidFill>
          </w14:textFill>
        </w:rPr>
      </w:pPr>
      <w:bookmarkStart w:id="493" w:name="_Toc497711600"/>
      <w:bookmarkStart w:id="494" w:name="_Toc233435995"/>
      <w:bookmarkStart w:id="495" w:name="_Toc497546933"/>
      <w:bookmarkStart w:id="496" w:name="_Toc497712148"/>
      <w:bookmarkStart w:id="497" w:name="_Toc492955474"/>
      <w:bookmarkStart w:id="498" w:name="_Toc497551835"/>
    </w:p>
    <w:p w14:paraId="559F243B">
      <w:pPr>
        <w:pStyle w:val="12"/>
        <w:ind w:left="0" w:leftChars="0" w:firstLine="0" w:firstLineChars="0"/>
        <w:rPr>
          <w:rFonts w:hint="eastAsia" w:ascii="仿宋" w:hAnsi="仿宋" w:eastAsia="仿宋" w:cs="仿宋"/>
          <w:color w:val="000000" w:themeColor="text1"/>
          <w:sz w:val="28"/>
          <w:szCs w:val="28"/>
          <w14:textFill>
            <w14:solidFill>
              <w14:schemeClr w14:val="tx1"/>
            </w14:solidFill>
          </w14:textFill>
        </w:rPr>
      </w:pPr>
    </w:p>
    <w:bookmarkEnd w:id="457"/>
    <w:bookmarkEnd w:id="458"/>
    <w:bookmarkEnd w:id="493"/>
    <w:bookmarkEnd w:id="494"/>
    <w:bookmarkEnd w:id="495"/>
    <w:bookmarkEnd w:id="496"/>
    <w:bookmarkEnd w:id="497"/>
    <w:bookmarkEnd w:id="498"/>
    <w:p w14:paraId="50C95BEC">
      <w:pPr>
        <w:pStyle w:val="2"/>
        <w:spacing w:line="360" w:lineRule="auto"/>
        <w:jc w:val="center"/>
        <w:rPr>
          <w:rFonts w:hint="eastAsia" w:ascii="仿宋" w:hAnsi="仿宋" w:eastAsia="仿宋" w:cs="仿宋"/>
          <w:color w:val="000000" w:themeColor="text1"/>
          <w14:textFill>
            <w14:solidFill>
              <w14:schemeClr w14:val="tx1"/>
            </w14:solidFill>
          </w14:textFill>
        </w:rPr>
      </w:pPr>
      <w:bookmarkStart w:id="499" w:name="_Toc23502"/>
      <w:bookmarkStart w:id="500" w:name="_Toc14389"/>
      <w:bookmarkStart w:id="501" w:name="_Toc11788"/>
      <w:bookmarkStart w:id="502" w:name="_Toc22419"/>
      <w:bookmarkStart w:id="503" w:name="_Toc3185"/>
      <w:bookmarkStart w:id="504" w:name="_Toc8946"/>
      <w:bookmarkStart w:id="505" w:name="_Toc13963"/>
      <w:r>
        <w:rPr>
          <w:rFonts w:hint="eastAsia" w:ascii="仿宋" w:hAnsi="仿宋" w:eastAsia="仿宋" w:cs="仿宋"/>
          <w:color w:val="000000" w:themeColor="text1"/>
          <w14:textFill>
            <w14:solidFill>
              <w14:schemeClr w14:val="tx1"/>
            </w14:solidFill>
          </w14:textFill>
        </w:rPr>
        <w:t>第六部分  评标方法</w:t>
      </w:r>
      <w:bookmarkEnd w:id="499"/>
      <w:bookmarkEnd w:id="500"/>
      <w:bookmarkEnd w:id="501"/>
      <w:bookmarkEnd w:id="502"/>
      <w:bookmarkEnd w:id="503"/>
      <w:bookmarkEnd w:id="504"/>
      <w:bookmarkEnd w:id="505"/>
    </w:p>
    <w:p w14:paraId="5ABECFA4">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一、原则</w:t>
      </w:r>
    </w:p>
    <w:p w14:paraId="2E79C95E">
      <w:pPr>
        <w:snapToGrid w:val="0"/>
        <w:spacing w:line="360" w:lineRule="auto"/>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坚持公开、公平、公正和竞争的原则。反对不正当竞争，</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不得相互串通进行报价，如有违反者按《中华人民共和国政府采购法》有关规定处理。</w:t>
      </w:r>
      <w:r>
        <w:rPr>
          <w:rFonts w:hint="eastAsia" w:ascii="仿宋" w:hAnsi="仿宋" w:eastAsia="仿宋" w:cs="仿宋"/>
          <w:b/>
          <w:color w:val="000000" w:themeColor="text1"/>
          <w:sz w:val="24"/>
          <w:highlight w:val="none"/>
          <w:u w:val="single"/>
          <w14:textFill>
            <w14:solidFill>
              <w14:schemeClr w14:val="tx1"/>
            </w14:solidFill>
          </w14:textFill>
        </w:rPr>
        <w:t>对多家</w:t>
      </w:r>
      <w:r>
        <w:rPr>
          <w:rFonts w:hint="eastAsia" w:ascii="仿宋" w:hAnsi="仿宋" w:eastAsia="仿宋" w:cs="仿宋"/>
          <w:b/>
          <w:color w:val="000000" w:themeColor="text1"/>
          <w:sz w:val="24"/>
          <w:highlight w:val="none"/>
          <w:u w:val="single"/>
          <w:lang w:eastAsia="zh-CN"/>
          <w14:textFill>
            <w14:solidFill>
              <w14:schemeClr w14:val="tx1"/>
            </w14:solidFill>
          </w14:textFill>
        </w:rPr>
        <w:t>投标人</w:t>
      </w:r>
      <w:r>
        <w:rPr>
          <w:rFonts w:hint="eastAsia" w:ascii="仿宋" w:hAnsi="仿宋" w:eastAsia="仿宋" w:cs="仿宋"/>
          <w:b/>
          <w:color w:val="000000" w:themeColor="text1"/>
          <w:sz w:val="24"/>
          <w:highlight w:val="none"/>
          <w:u w:val="single"/>
          <w14:textFill>
            <w14:solidFill>
              <w14:schemeClr w14:val="tx1"/>
            </w14:solidFill>
          </w14:textFill>
        </w:rPr>
        <w:t>所投核心产品为同一品牌的，将作为一个</w:t>
      </w:r>
      <w:r>
        <w:rPr>
          <w:rFonts w:hint="eastAsia" w:ascii="仿宋" w:hAnsi="仿宋" w:eastAsia="仿宋" w:cs="仿宋"/>
          <w:b/>
          <w:color w:val="000000" w:themeColor="text1"/>
          <w:sz w:val="24"/>
          <w:highlight w:val="none"/>
          <w:u w:val="single"/>
          <w:lang w:eastAsia="zh-CN"/>
          <w14:textFill>
            <w14:solidFill>
              <w14:schemeClr w14:val="tx1"/>
            </w14:solidFill>
          </w14:textFill>
        </w:rPr>
        <w:t>投标人</w:t>
      </w:r>
      <w:r>
        <w:rPr>
          <w:rFonts w:hint="eastAsia" w:ascii="仿宋" w:hAnsi="仿宋" w:eastAsia="仿宋" w:cs="仿宋"/>
          <w:b/>
          <w:color w:val="000000" w:themeColor="text1"/>
          <w:sz w:val="24"/>
          <w:highlight w:val="none"/>
          <w:u w:val="single"/>
          <w14:textFill>
            <w14:solidFill>
              <w14:schemeClr w14:val="tx1"/>
            </w14:solidFill>
          </w14:textFill>
        </w:rPr>
        <w:t>计算。</w:t>
      </w:r>
    </w:p>
    <w:p w14:paraId="08AE44AB">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二、评审办法</w:t>
      </w:r>
    </w:p>
    <w:p w14:paraId="4E6317E1">
      <w:pPr>
        <w:snapToGrid w:val="0"/>
        <w:spacing w:line="360" w:lineRule="auto"/>
        <w:ind w:firstLine="460" w:firstLineChars="19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本项目采用公开招标方式采购，评审采用综合评分法，对投标报价、技术水平、售后服务以及招标文件相应要求内容进行评审，见评审办法细则。</w:t>
      </w:r>
    </w:p>
    <w:p w14:paraId="77896F9A">
      <w:pPr>
        <w:numPr>
          <w:ilvl w:val="0"/>
          <w:numId w:val="5"/>
        </w:num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评审办法细则</w:t>
      </w:r>
      <w:r>
        <w:rPr>
          <w:rFonts w:hint="eastAsia" w:ascii="仿宋" w:hAnsi="仿宋" w:eastAsia="仿宋" w:cs="仿宋"/>
          <w:b/>
          <w:color w:val="000000" w:themeColor="text1"/>
          <w:sz w:val="24"/>
          <w14:textFill>
            <w14:solidFill>
              <w14:schemeClr w14:val="tx1"/>
            </w14:solidFill>
          </w14:textFill>
        </w:rPr>
        <w:t>。</w:t>
      </w:r>
    </w:p>
    <w:p w14:paraId="21496C4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44"/>
        <w:gridCol w:w="738"/>
        <w:gridCol w:w="6537"/>
      </w:tblGrid>
      <w:tr w14:paraId="0090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30" w:type="pct"/>
            <w:shd w:val="clear" w:color="auto" w:fill="auto"/>
            <w:noWrap w:val="0"/>
            <w:vAlign w:val="center"/>
          </w:tcPr>
          <w:p w14:paraId="3F5C445B">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评审因素</w:t>
            </w:r>
          </w:p>
        </w:tc>
        <w:tc>
          <w:tcPr>
            <w:tcW w:w="433" w:type="pct"/>
            <w:shd w:val="clear" w:color="auto" w:fill="auto"/>
            <w:noWrap w:val="0"/>
            <w:vAlign w:val="center"/>
          </w:tcPr>
          <w:p w14:paraId="63D001A8">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分值</w:t>
            </w:r>
          </w:p>
        </w:tc>
        <w:tc>
          <w:tcPr>
            <w:tcW w:w="3836" w:type="pct"/>
            <w:shd w:val="clear" w:color="auto" w:fill="auto"/>
            <w:noWrap w:val="0"/>
            <w:vAlign w:val="center"/>
          </w:tcPr>
          <w:p w14:paraId="11023CFC">
            <w:pPr>
              <w:keepNext w:val="0"/>
              <w:keepLines w:val="0"/>
              <w:pageBreakBefore w:val="0"/>
              <w:kinsoku/>
              <w:wordWrap/>
              <w:overflowPunct/>
              <w:topLinePunct w:val="0"/>
              <w:bidi w:val="0"/>
              <w:snapToGrid/>
              <w:spacing w:line="360" w:lineRule="auto"/>
              <w:ind w:left="120" w:leftChars="57" w:firstLine="2530" w:firstLineChars="105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评审细则</w:t>
            </w:r>
          </w:p>
        </w:tc>
      </w:tr>
      <w:tr w14:paraId="5358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7A10BB2D">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w:t>
            </w:r>
          </w:p>
        </w:tc>
        <w:tc>
          <w:tcPr>
            <w:tcW w:w="433" w:type="pct"/>
            <w:shd w:val="clear" w:color="auto" w:fill="auto"/>
            <w:noWrap w:val="0"/>
            <w:vAlign w:val="center"/>
          </w:tcPr>
          <w:p w14:paraId="219D7301">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w:t>
            </w:r>
          </w:p>
        </w:tc>
        <w:tc>
          <w:tcPr>
            <w:tcW w:w="3836" w:type="pct"/>
            <w:shd w:val="clear" w:color="auto" w:fill="auto"/>
            <w:noWrap w:val="0"/>
            <w:vAlign w:val="center"/>
          </w:tcPr>
          <w:p w14:paraId="27E3B9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经资格审查、符合性审查合格的投标投标文件，其投标报价为有效投标报价。满足招标文件要求且</w:t>
            </w:r>
            <w:r>
              <w:rPr>
                <w:rFonts w:hint="eastAsia" w:ascii="仿宋" w:hAnsi="仿宋" w:eastAsia="仿宋" w:cs="仿宋"/>
                <w:color w:val="000000" w:themeColor="text1"/>
                <w:sz w:val="24"/>
                <w:highlight w:val="none"/>
                <w:lang w:val="en-US" w:eastAsia="zh-CN"/>
                <w14:textFill>
                  <w14:solidFill>
                    <w14:schemeClr w14:val="tx1"/>
                  </w14:solidFill>
                </w14:textFill>
              </w:rPr>
              <w:t>报价</w:t>
            </w:r>
            <w:r>
              <w:rPr>
                <w:rFonts w:hint="eastAsia" w:ascii="仿宋" w:hAnsi="仿宋" w:eastAsia="仿宋" w:cs="仿宋"/>
                <w:color w:val="000000" w:themeColor="text1"/>
                <w:sz w:val="24"/>
                <w:highlight w:val="none"/>
                <w:lang w:val="zh-CN"/>
                <w14:textFill>
                  <w14:solidFill>
                    <w14:schemeClr w14:val="tx1"/>
                  </w14:solidFill>
                </w14:textFill>
              </w:rPr>
              <w:t>最低的投标报价为评标基准价，其价格分为满分。其他</w:t>
            </w:r>
            <w:r>
              <w:rPr>
                <w:rFonts w:hint="eastAsia" w:ascii="仿宋" w:hAnsi="仿宋" w:eastAsia="仿宋" w:cs="仿宋"/>
                <w:color w:val="000000" w:themeColor="text1"/>
                <w:sz w:val="24"/>
                <w:szCs w:val="24"/>
                <w:highlight w:val="none"/>
                <w14:textFill>
                  <w14:solidFill>
                    <w14:schemeClr w14:val="tx1"/>
                  </w14:solidFill>
                </w14:textFill>
              </w:rPr>
              <w:t>投标人</w:t>
            </w:r>
            <w:r>
              <w:rPr>
                <w:rFonts w:hint="eastAsia" w:ascii="仿宋" w:hAnsi="仿宋" w:eastAsia="仿宋" w:cs="仿宋"/>
                <w:color w:val="000000" w:themeColor="text1"/>
                <w:sz w:val="24"/>
                <w:highlight w:val="none"/>
                <w:lang w:val="zh-CN"/>
                <w14:textFill>
                  <w14:solidFill>
                    <w14:schemeClr w14:val="tx1"/>
                  </w14:solidFill>
                </w14:textFill>
              </w:rPr>
              <w:t>的价格分统一按照下列公式计算：</w:t>
            </w:r>
          </w:p>
          <w:p w14:paraId="7C2FA9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w:t>
            </w:r>
            <w:r>
              <w:rPr>
                <w:rFonts w:hint="eastAsia" w:ascii="仿宋" w:hAnsi="仿宋" w:eastAsia="仿宋" w:cs="仿宋"/>
                <w:color w:val="000000" w:themeColor="text1"/>
                <w:sz w:val="24"/>
                <w:highlight w:val="none"/>
                <w:lang w:val="zh-CN"/>
                <w14:textFill>
                  <w14:solidFill>
                    <w14:schemeClr w14:val="tx1"/>
                  </w14:solidFill>
                </w14:textFill>
              </w:rPr>
              <w:t>报价得分=（评标基准价/投标报价）×</w:t>
            </w:r>
            <w:r>
              <w:rPr>
                <w:rFonts w:hint="eastAsia" w:ascii="仿宋" w:hAnsi="仿宋" w:eastAsia="仿宋" w:cs="仿宋"/>
                <w:color w:val="000000" w:themeColor="text1"/>
                <w:sz w:val="24"/>
                <w:highlight w:val="none"/>
                <w:lang w:val="en-US" w:eastAsia="zh-CN"/>
                <w14:textFill>
                  <w14:solidFill>
                    <w14:schemeClr w14:val="tx1"/>
                  </w14:solidFill>
                </w14:textFill>
              </w:rPr>
              <w:t>30</w:t>
            </w:r>
          </w:p>
          <w:p w14:paraId="26D6B0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本项目为专门面向中小企业采购项目，</w:t>
            </w:r>
            <w:r>
              <w:rPr>
                <w:rFonts w:hint="eastAsia" w:ascii="仿宋" w:hAnsi="仿宋" w:eastAsia="仿宋" w:cs="仿宋"/>
                <w:color w:val="000000" w:themeColor="text1"/>
                <w:sz w:val="24"/>
                <w:highlight w:val="none"/>
                <w:lang w:val="en-US" w:eastAsia="zh-CN"/>
                <w14:textFill>
                  <w14:solidFill>
                    <w14:schemeClr w14:val="tx1"/>
                  </w14:solidFill>
                </w14:textFill>
              </w:rPr>
              <w:t>不再执行</w:t>
            </w:r>
            <w:r>
              <w:rPr>
                <w:rFonts w:hint="eastAsia" w:ascii="仿宋" w:hAnsi="仿宋" w:eastAsia="仿宋" w:cs="仿宋"/>
                <w:color w:val="000000" w:themeColor="text1"/>
                <w:sz w:val="24"/>
                <w:highlight w:val="none"/>
                <w:lang w:val="zh-CN"/>
                <w14:textFill>
                  <w14:solidFill>
                    <w14:schemeClr w14:val="tx1"/>
                  </w14:solidFill>
                </w14:textFill>
              </w:rPr>
              <w:t>价格</w:t>
            </w:r>
            <w:r>
              <w:rPr>
                <w:rFonts w:hint="eastAsia" w:ascii="仿宋" w:hAnsi="仿宋" w:eastAsia="仿宋" w:cs="仿宋"/>
                <w:color w:val="000000" w:themeColor="text1"/>
                <w:sz w:val="24"/>
                <w:highlight w:val="none"/>
                <w:lang w:val="en-US" w:eastAsia="zh-CN"/>
                <w14:textFill>
                  <w14:solidFill>
                    <w14:schemeClr w14:val="tx1"/>
                  </w14:solidFill>
                </w14:textFill>
              </w:rPr>
              <w:t>扣除政策</w:t>
            </w:r>
            <w:r>
              <w:rPr>
                <w:rFonts w:hint="eastAsia" w:ascii="仿宋" w:hAnsi="仿宋" w:eastAsia="仿宋" w:cs="仿宋"/>
                <w:color w:val="000000" w:themeColor="text1"/>
                <w:sz w:val="24"/>
                <w:highlight w:val="none"/>
                <w:lang w:val="zh-CN"/>
                <w14:textFill>
                  <w14:solidFill>
                    <w14:schemeClr w14:val="tx1"/>
                  </w14:solidFill>
                </w14:textFill>
              </w:rPr>
              <w:t>。</w:t>
            </w:r>
          </w:p>
        </w:tc>
      </w:tr>
      <w:tr w14:paraId="6709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21A4A871">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项目方案</w:t>
            </w:r>
          </w:p>
        </w:tc>
        <w:tc>
          <w:tcPr>
            <w:tcW w:w="433" w:type="pct"/>
            <w:shd w:val="clear" w:color="auto" w:fill="auto"/>
            <w:noWrap w:val="0"/>
            <w:vAlign w:val="center"/>
          </w:tcPr>
          <w:p w14:paraId="3F2DFAF5">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tc>
        <w:tc>
          <w:tcPr>
            <w:tcW w:w="3836" w:type="pct"/>
            <w:shd w:val="clear" w:color="auto" w:fill="auto"/>
            <w:noWrap w:val="0"/>
            <w:vAlign w:val="center"/>
          </w:tcPr>
          <w:p w14:paraId="1F5D9E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投标人提供针对本项目的</w:t>
            </w:r>
            <w:r>
              <w:rPr>
                <w:rFonts w:hint="eastAsia" w:ascii="仿宋" w:hAnsi="仿宋" w:eastAsia="仿宋" w:cs="仿宋"/>
                <w:color w:val="000000" w:themeColor="text1"/>
                <w:sz w:val="24"/>
                <w:szCs w:val="24"/>
                <w:highlight w:val="none"/>
                <w:lang w:eastAsia="zh-CN"/>
                <w14:textFill>
                  <w14:solidFill>
                    <w14:schemeClr w14:val="tx1"/>
                  </w14:solidFill>
                </w14:textFill>
              </w:rPr>
              <w:t>提供可行</w:t>
            </w:r>
            <w:r>
              <w:rPr>
                <w:rFonts w:hint="eastAsia" w:ascii="仿宋" w:hAnsi="仿宋" w:eastAsia="仿宋" w:cs="仿宋"/>
                <w:color w:val="000000" w:themeColor="text1"/>
                <w:sz w:val="24"/>
                <w:szCs w:val="24"/>
                <w:highlight w:val="none"/>
                <w:lang w:val="en-US" w:eastAsia="zh-CN"/>
                <w14:textFill>
                  <w14:solidFill>
                    <w14:schemeClr w14:val="tx1"/>
                  </w14:solidFill>
                </w14:textFill>
              </w:rPr>
              <w:t>供货及配送</w:t>
            </w:r>
            <w:r>
              <w:rPr>
                <w:rFonts w:hint="eastAsia" w:ascii="仿宋" w:hAnsi="仿宋" w:eastAsia="仿宋" w:cs="仿宋"/>
                <w:color w:val="000000" w:themeColor="text1"/>
                <w:sz w:val="24"/>
                <w:szCs w:val="24"/>
                <w:highlight w:val="none"/>
                <w14:textFill>
                  <w14:solidFill>
                    <w14:schemeClr w14:val="tx1"/>
                  </w14:solidFill>
                </w14:textFill>
              </w:rPr>
              <w:t>方案。</w:t>
            </w:r>
            <w:r>
              <w:rPr>
                <w:rFonts w:hint="eastAsia" w:ascii="仿宋" w:hAnsi="仿宋" w:eastAsia="仿宋" w:cs="仿宋"/>
                <w:color w:val="000000" w:themeColor="text1"/>
                <w:sz w:val="24"/>
                <w:szCs w:val="24"/>
                <w:highlight w:val="none"/>
                <w:lang w:val="zh-CN" w:eastAsia="zh-CN"/>
                <w14:textFill>
                  <w14:solidFill>
                    <w14:schemeClr w14:val="tx1"/>
                  </w14:solidFill>
                </w14:textFill>
              </w:rPr>
              <w:t>方案内容完整、全面满足采购人需求得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分，方案内容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较</w:t>
            </w:r>
            <w:r>
              <w:rPr>
                <w:rFonts w:hint="eastAsia" w:ascii="仿宋" w:hAnsi="仿宋" w:eastAsia="仿宋" w:cs="仿宋"/>
                <w:color w:val="000000" w:themeColor="text1"/>
                <w:sz w:val="24"/>
                <w:szCs w:val="24"/>
                <w:highlight w:val="none"/>
                <w:lang w:val="zh-CN" w:eastAsia="zh-CN"/>
                <w14:textFill>
                  <w14:solidFill>
                    <w14:schemeClr w14:val="tx1"/>
                  </w14:solidFill>
                </w14:textFill>
              </w:rPr>
              <w:t>完整、</w:t>
            </w:r>
            <w:r>
              <w:rPr>
                <w:rFonts w:hint="eastAsia" w:ascii="仿宋" w:hAnsi="仿宋" w:eastAsia="仿宋" w:cs="仿宋"/>
                <w:color w:val="000000" w:themeColor="text1"/>
                <w:sz w:val="24"/>
                <w:szCs w:val="24"/>
                <w:highlight w:val="none"/>
                <w:lang w:val="en-US" w:eastAsia="zh-CN"/>
                <w14:textFill>
                  <w14:solidFill>
                    <w14:schemeClr w14:val="tx1"/>
                  </w14:solidFill>
                </w14:textFill>
              </w:rPr>
              <w:t>较能</w:t>
            </w:r>
            <w:r>
              <w:rPr>
                <w:rFonts w:hint="eastAsia" w:ascii="仿宋" w:hAnsi="仿宋" w:eastAsia="仿宋" w:cs="仿宋"/>
                <w:color w:val="000000" w:themeColor="text1"/>
                <w:sz w:val="24"/>
                <w:szCs w:val="24"/>
                <w:highlight w:val="none"/>
                <w:lang w:val="zh-CN" w:eastAsia="zh-CN"/>
                <w14:textFill>
                  <w14:solidFill>
                    <w14:schemeClr w14:val="tx1"/>
                  </w14:solidFill>
                </w14:textFill>
              </w:rPr>
              <w:t>满足采购人需求得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方案残缺，与本项目实际实施出入较大得1分。</w:t>
            </w:r>
            <w:r>
              <w:rPr>
                <w:rFonts w:hint="eastAsia" w:ascii="仿宋" w:hAnsi="仿宋" w:eastAsia="仿宋" w:cs="仿宋"/>
                <w:color w:val="000000" w:themeColor="text1"/>
                <w:sz w:val="24"/>
                <w:szCs w:val="24"/>
                <w:highlight w:val="none"/>
                <w:lang w:val="zh-CN" w:eastAsia="zh-CN"/>
                <w14:textFill>
                  <w14:solidFill>
                    <w14:schemeClr w14:val="tx1"/>
                  </w14:solidFill>
                </w14:textFill>
              </w:rPr>
              <w:t>未提供不得分。</w:t>
            </w:r>
          </w:p>
        </w:tc>
      </w:tr>
      <w:tr w14:paraId="7531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061F4430">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技术参数</w:t>
            </w:r>
          </w:p>
        </w:tc>
        <w:tc>
          <w:tcPr>
            <w:tcW w:w="433" w:type="pct"/>
            <w:shd w:val="clear" w:color="auto" w:fill="auto"/>
            <w:noWrap w:val="0"/>
            <w:vAlign w:val="center"/>
          </w:tcPr>
          <w:p w14:paraId="6E768DE2">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40分</w:t>
            </w:r>
          </w:p>
        </w:tc>
        <w:tc>
          <w:tcPr>
            <w:tcW w:w="3836" w:type="pct"/>
            <w:shd w:val="clear" w:color="auto" w:fill="auto"/>
            <w:noWrap w:val="0"/>
            <w:vAlign w:val="center"/>
          </w:tcPr>
          <w:p w14:paraId="547B55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响应内容能按要求逐条响应技术要求中的硬件形态、产品性能、功能，技术参数清楚、明确，资料齐全，完全满足招标文件要求，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r>
              <w:rPr>
                <w:rFonts w:hint="default" w:ascii="仿宋" w:hAnsi="仿宋" w:eastAsia="仿宋" w:cs="仿宋"/>
                <w:color w:val="000000" w:themeColor="text1"/>
                <w:sz w:val="24"/>
                <w:szCs w:val="24"/>
                <w:highlight w:val="none"/>
                <w:lang w:val="en-US" w:eastAsia="zh-CN"/>
                <w14:textFill>
                  <w14:solidFill>
                    <w14:schemeClr w14:val="tx1"/>
                  </w14:solidFill>
                </w14:textFill>
              </w:rPr>
              <w:t>负偏离计</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default" w:ascii="仿宋" w:hAnsi="仿宋" w:eastAsia="仿宋" w:cs="仿宋"/>
                <w:color w:val="000000" w:themeColor="text1"/>
                <w:sz w:val="24"/>
                <w:szCs w:val="24"/>
                <w:highlight w:val="none"/>
                <w:lang w:val="en-US" w:eastAsia="zh-CN"/>
                <w14:textFill>
                  <w14:solidFill>
                    <w14:schemeClr w14:val="tx1"/>
                  </w14:solidFill>
                </w14:textFill>
              </w:rPr>
              <w:t>分；“▲”号参数为重要技术指标，每负偏离一项扣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default" w:ascii="仿宋" w:hAnsi="仿宋" w:eastAsia="仿宋" w:cs="仿宋"/>
                <w:color w:val="000000" w:themeColor="text1"/>
                <w:sz w:val="24"/>
                <w:szCs w:val="24"/>
                <w:highlight w:val="none"/>
                <w:lang w:val="en-US" w:eastAsia="zh-CN"/>
                <w14:textFill>
                  <w14:solidFill>
                    <w14:schemeClr w14:val="tx1"/>
                  </w14:solidFill>
                </w14:textFill>
              </w:rPr>
              <w:t>分，非“▲”技术参数每负偏离一项扣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分。 </w:t>
            </w:r>
          </w:p>
          <w:p w14:paraId="71B082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备注：</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default" w:ascii="仿宋" w:hAnsi="仿宋" w:eastAsia="仿宋" w:cs="仿宋"/>
                <w:color w:val="000000" w:themeColor="text1"/>
                <w:sz w:val="24"/>
                <w:szCs w:val="24"/>
                <w:highlight w:val="none"/>
                <w:lang w:val="en-US" w:eastAsia="zh-CN"/>
                <w14:textFill>
                  <w14:solidFill>
                    <w14:schemeClr w14:val="tx1"/>
                  </w14:solidFill>
                </w14:textFill>
              </w:rPr>
              <w:t>所有产品完全复制招标文件技术指标要求的，给予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default" w:ascii="仿宋" w:hAnsi="仿宋" w:eastAsia="仿宋" w:cs="仿宋"/>
                <w:color w:val="000000" w:themeColor="text1"/>
                <w:sz w:val="24"/>
                <w:szCs w:val="24"/>
                <w:highlight w:val="none"/>
                <w:lang w:val="en-US" w:eastAsia="zh-CN"/>
                <w14:textFill>
                  <w14:solidFill>
                    <w14:schemeClr w14:val="tx1"/>
                  </w14:solidFill>
                </w14:textFill>
              </w:rPr>
              <w:t>分扣分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（投标人需将所投产品技术参数明确表述，如描述不明确按照负偏离处理）；</w:t>
            </w:r>
          </w:p>
          <w:p w14:paraId="03B022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2、未明确要求提供佐证材料的参数，以技术参数偏离表响应情况为准。</w:t>
            </w:r>
          </w:p>
        </w:tc>
      </w:tr>
      <w:tr w14:paraId="29B6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59E01579">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货源渠道</w:t>
            </w:r>
          </w:p>
        </w:tc>
        <w:tc>
          <w:tcPr>
            <w:tcW w:w="433" w:type="pct"/>
            <w:shd w:val="clear" w:color="auto" w:fill="auto"/>
            <w:noWrap w:val="0"/>
            <w:vAlign w:val="center"/>
          </w:tcPr>
          <w:p w14:paraId="3302ECC5">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5分</w:t>
            </w:r>
          </w:p>
        </w:tc>
        <w:tc>
          <w:tcPr>
            <w:tcW w:w="3836" w:type="pct"/>
            <w:shd w:val="clear" w:color="auto" w:fill="auto"/>
            <w:noWrap w:val="0"/>
            <w:vAlign w:val="center"/>
          </w:tcPr>
          <w:p w14:paraId="4827F2D0">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投标人提供</w:t>
            </w:r>
            <w:r>
              <w:rPr>
                <w:rFonts w:hint="eastAsia" w:ascii="仿宋" w:hAnsi="仿宋" w:eastAsia="仿宋" w:cs="仿宋"/>
                <w:color w:val="000000" w:themeColor="text1"/>
                <w:sz w:val="24"/>
                <w:szCs w:val="24"/>
                <w:highlight w:val="none"/>
                <w14:textFill>
                  <w14:solidFill>
                    <w14:schemeClr w14:val="tx1"/>
                  </w14:solidFill>
                </w14:textFill>
              </w:rPr>
              <w:t>所投产品货源渠道</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4C1126E">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产品及配品配件货源渠道正常，有质量保证得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分；产品及配品配件货源渠道正常，有基本的质量保证得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分；产品及配品配件货源渠道不明，质量无法保证得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zh-CN" w:eastAsia="zh-CN"/>
                <w14:textFill>
                  <w14:solidFill>
                    <w14:schemeClr w14:val="tx1"/>
                  </w14:solidFill>
                </w14:textFill>
              </w:rPr>
              <w:t>未提供不得分。</w:t>
            </w:r>
          </w:p>
        </w:tc>
      </w:tr>
      <w:tr w14:paraId="047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5C087C0E">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质量保证</w:t>
            </w:r>
          </w:p>
        </w:tc>
        <w:tc>
          <w:tcPr>
            <w:tcW w:w="433" w:type="pct"/>
            <w:shd w:val="clear" w:color="auto" w:fill="auto"/>
            <w:noWrap w:val="0"/>
            <w:vAlign w:val="center"/>
          </w:tcPr>
          <w:p w14:paraId="4A0D23BE">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4分</w:t>
            </w:r>
          </w:p>
        </w:tc>
        <w:tc>
          <w:tcPr>
            <w:tcW w:w="3836" w:type="pct"/>
            <w:shd w:val="clear" w:color="auto" w:fill="auto"/>
            <w:noWrap w:val="0"/>
            <w:vAlign w:val="center"/>
          </w:tcPr>
          <w:p w14:paraId="68F97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针对本项目提供详细完善的质量保证措施。</w:t>
            </w:r>
          </w:p>
          <w:p w14:paraId="55D03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保证措施详细完善、针对性强得4分，保证措施基本完善、针对性一般得3分，保证措施不完善、针对性弱得1分，未提供不得分。</w:t>
            </w:r>
          </w:p>
        </w:tc>
      </w:tr>
      <w:tr w14:paraId="50F8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3764E733">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人员保障</w:t>
            </w:r>
          </w:p>
        </w:tc>
        <w:tc>
          <w:tcPr>
            <w:tcW w:w="433" w:type="pct"/>
            <w:shd w:val="clear" w:color="auto" w:fill="auto"/>
            <w:noWrap w:val="0"/>
            <w:vAlign w:val="center"/>
          </w:tcPr>
          <w:p w14:paraId="6857841C">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4分</w:t>
            </w:r>
          </w:p>
          <w:p w14:paraId="0E911966">
            <w:pPr>
              <w:pStyle w:val="16"/>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3836" w:type="pct"/>
            <w:shd w:val="clear" w:color="auto" w:fill="auto"/>
            <w:noWrap w:val="0"/>
            <w:vAlign w:val="center"/>
          </w:tcPr>
          <w:p w14:paraId="13A55A69">
            <w:pPr>
              <w:keepNext w:val="0"/>
              <w:keepLines w:val="0"/>
              <w:pageBreakBefore w:val="0"/>
              <w:kinsoku/>
              <w:wordWrap/>
              <w:overflowPunct/>
              <w:topLinePunct w:val="0"/>
              <w:bidi w:val="0"/>
              <w:snapToGrid/>
              <w:spacing w:line="360" w:lineRule="auto"/>
              <w:ind w:firstLine="480" w:firstLineChars="200"/>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提供针对本项目拟定的管理机构、工作职能组织运行图、岗位职责制度等。</w:t>
            </w:r>
          </w:p>
          <w:p w14:paraId="4C8A4C97">
            <w:pPr>
              <w:keepNext w:val="0"/>
              <w:keepLines w:val="0"/>
              <w:pageBreakBefore w:val="0"/>
              <w:kinsoku/>
              <w:wordWrap/>
              <w:overflowPunct/>
              <w:topLinePunct w:val="0"/>
              <w:bidi w:val="0"/>
              <w:snapToGrid/>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具有完整的组织机构，人员保障措施分工合理、职责明确，各项管理制度健全，根据对项目顺利实施的保障性进行综合评定赋分，分工合理、职责明确，各项管理制度健全得4分；分工合理、职责明确，各项管理制度健全基本满足采购人实施要求得3分；分工较合理、职责不明确、制度不健全得1分，</w:t>
            </w:r>
            <w:r>
              <w:rPr>
                <w:rFonts w:hint="eastAsia" w:ascii="仿宋" w:hAnsi="仿宋" w:eastAsia="仿宋" w:cs="仿宋"/>
                <w:color w:val="000000" w:themeColor="text1"/>
                <w:sz w:val="24"/>
                <w:highlight w:val="none"/>
                <w14:textFill>
                  <w14:solidFill>
                    <w14:schemeClr w14:val="tx1"/>
                  </w14:solidFill>
                </w14:textFill>
              </w:rPr>
              <w:t>未提供不得分</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p>
        </w:tc>
      </w:tr>
      <w:tr w14:paraId="0D9B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407D49DD">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应急预案</w:t>
            </w:r>
          </w:p>
        </w:tc>
        <w:tc>
          <w:tcPr>
            <w:tcW w:w="433" w:type="pct"/>
            <w:shd w:val="clear" w:color="auto" w:fill="auto"/>
            <w:noWrap w:val="0"/>
            <w:vAlign w:val="center"/>
          </w:tcPr>
          <w:p w14:paraId="0EA6BBDF">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tc>
        <w:tc>
          <w:tcPr>
            <w:tcW w:w="3836" w:type="pct"/>
            <w:shd w:val="clear" w:color="auto" w:fill="auto"/>
            <w:noWrap w:val="0"/>
            <w:vAlign w:val="center"/>
          </w:tcPr>
          <w:p w14:paraId="7FCB7D39">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针对本项目制定应急预案。</w:t>
            </w:r>
          </w:p>
          <w:p w14:paraId="28DB4144">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方案中突发状况分析合理、解决方案</w:t>
            </w:r>
            <w:r>
              <w:rPr>
                <w:rFonts w:hint="eastAsia" w:ascii="仿宋" w:hAnsi="仿宋" w:eastAsia="仿宋" w:cs="仿宋"/>
                <w:color w:val="000000" w:themeColor="text1"/>
                <w:sz w:val="24"/>
                <w:highlight w:val="none"/>
                <w14:textFill>
                  <w14:solidFill>
                    <w14:schemeClr w14:val="tx1"/>
                  </w14:solidFill>
                </w14:textFill>
              </w:rPr>
              <w:t>详尽</w:t>
            </w:r>
            <w:r>
              <w:rPr>
                <w:rFonts w:hint="eastAsia" w:ascii="仿宋" w:hAnsi="仿宋" w:eastAsia="仿宋" w:cs="仿宋"/>
                <w:color w:val="000000" w:themeColor="text1"/>
                <w:sz w:val="24"/>
                <w:highlight w:val="none"/>
                <w:lang w:val="en-US" w:eastAsia="zh-CN"/>
                <w14:textFill>
                  <w14:solidFill>
                    <w14:schemeClr w14:val="tx1"/>
                  </w14:solidFill>
                </w14:textFill>
              </w:rPr>
              <w:t>合理可行性高</w:t>
            </w:r>
            <w:r>
              <w:rPr>
                <w:rFonts w:hint="eastAsia" w:ascii="仿宋" w:hAnsi="仿宋" w:eastAsia="仿宋" w:cs="仿宋"/>
                <w:color w:val="000000" w:themeColor="text1"/>
                <w:sz w:val="24"/>
                <w:highlight w:val="none"/>
                <w:lang w:eastAsia="zh-CN"/>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4分，方案基本解决方案可行性一般得3分，合理性与解决方案不完善得1分，</w:t>
            </w:r>
            <w:r>
              <w:rPr>
                <w:rFonts w:hint="eastAsia" w:ascii="仿宋" w:hAnsi="仿宋" w:eastAsia="仿宋" w:cs="仿宋"/>
                <w:color w:val="000000" w:themeColor="text1"/>
                <w:sz w:val="24"/>
                <w:highlight w:val="none"/>
                <w14:textFill>
                  <w14:solidFill>
                    <w14:schemeClr w14:val="tx1"/>
                  </w14:solidFill>
                </w14:textFill>
              </w:rPr>
              <w:t>未提供不得分。</w:t>
            </w:r>
          </w:p>
        </w:tc>
      </w:tr>
      <w:tr w14:paraId="54BB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63310BE3">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w:t>
            </w:r>
          </w:p>
        </w:tc>
        <w:tc>
          <w:tcPr>
            <w:tcW w:w="433" w:type="pct"/>
            <w:shd w:val="clear" w:color="auto" w:fill="auto"/>
            <w:noWrap w:val="0"/>
            <w:vAlign w:val="center"/>
          </w:tcPr>
          <w:p w14:paraId="58F4AEA3">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4分</w:t>
            </w:r>
          </w:p>
        </w:tc>
        <w:tc>
          <w:tcPr>
            <w:tcW w:w="3836" w:type="pct"/>
            <w:shd w:val="clear" w:color="auto" w:fill="auto"/>
            <w:noWrap w:val="0"/>
            <w:vAlign w:val="center"/>
          </w:tcPr>
          <w:p w14:paraId="287D458E">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根据接到采购人通知后响应措施、</w:t>
            </w:r>
            <w:r>
              <w:rPr>
                <w:rFonts w:hint="default" w:ascii="仿宋" w:hAnsi="仿宋" w:eastAsia="仿宋" w:cs="仿宋"/>
                <w:color w:val="000000" w:themeColor="text1"/>
                <w:kern w:val="2"/>
                <w:sz w:val="24"/>
                <w:highlight w:val="none"/>
                <w:lang w:val="en-US" w:eastAsia="zh-CN" w:bidi="ar-SA"/>
                <w14:textFill>
                  <w14:solidFill>
                    <w14:schemeClr w14:val="tx1"/>
                  </w14:solidFill>
                </w14:textFill>
              </w:rPr>
              <w:t>售后服务方案</w:t>
            </w: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w:t>
            </w:r>
          </w:p>
          <w:p w14:paraId="16A13171">
            <w:pPr>
              <w:pStyle w:val="39"/>
              <w:keepNext w:val="0"/>
              <w:keepLines w:val="0"/>
              <w:pageBreakBefore w:val="0"/>
              <w:kinsoku/>
              <w:wordWrap/>
              <w:overflowPunct/>
              <w:topLinePunct w:val="0"/>
              <w:bidi w:val="0"/>
              <w:snapToGrid/>
              <w:spacing w:line="360" w:lineRule="auto"/>
              <w:ind w:left="0" w:leftChars="0" w:firstLine="480" w:firstLineChars="200"/>
              <w:jc w:val="both"/>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响应措施、售后服务承诺及方案详细，完全满足采购需求得4分；售后服务承诺及方案基本完整，基本满足采购需求得3分；售后服务承诺及方案内容残缺与采购需求出入较大得1分；未提供不得分。</w:t>
            </w:r>
          </w:p>
        </w:tc>
      </w:tr>
      <w:tr w14:paraId="289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2E152101">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节能环保政策</w:t>
            </w:r>
          </w:p>
        </w:tc>
        <w:tc>
          <w:tcPr>
            <w:tcW w:w="433" w:type="pct"/>
            <w:shd w:val="clear" w:color="auto" w:fill="auto"/>
            <w:noWrap w:val="0"/>
            <w:vAlign w:val="center"/>
          </w:tcPr>
          <w:p w14:paraId="6A75613C">
            <w:pPr>
              <w:keepNext w:val="0"/>
              <w:keepLines w:val="0"/>
              <w:pageBreakBefore w:val="0"/>
              <w:kinsoku/>
              <w:wordWrap/>
              <w:overflowPunct/>
              <w:topLinePunct w:val="0"/>
              <w:bidi w:val="0"/>
              <w:snapToGrid/>
              <w:spacing w:line="360" w:lineRule="auto"/>
              <w:ind w:left="0" w:leftChars="0" w:right="0" w:rightChars="0" w:firstLine="0" w:firstLineChars="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3836" w:type="pct"/>
            <w:shd w:val="clear" w:color="auto" w:fill="auto"/>
            <w:noWrap w:val="0"/>
            <w:vAlign w:val="center"/>
          </w:tcPr>
          <w:p w14:paraId="02CA0F94">
            <w:pPr>
              <w:pStyle w:val="39"/>
              <w:keepNext w:val="0"/>
              <w:keepLines w:val="0"/>
              <w:pageBreakBefore w:val="0"/>
              <w:kinsoku/>
              <w:wordWrap/>
              <w:overflowPunct/>
              <w:topLinePunct w:val="0"/>
              <w:bidi w:val="0"/>
              <w:snapToGrid/>
              <w:spacing w:line="360" w:lineRule="auto"/>
              <w:ind w:left="0" w:leftChars="0" w:firstLine="480" w:firstLineChars="200"/>
              <w:jc w:val="both"/>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投标产品中每有一项为节能产品经国家认证的计0.5分，每有一项为环境标志产品经国家认证的计0.5分，投标人投标产品中每有一项产品同时为节能产品和环境标志产品计1分，最多计2分。（以经国家确定的认证机构出具的、处于有效期内的节能产品、环境标志产品认证证书为准。）</w:t>
            </w:r>
          </w:p>
        </w:tc>
      </w:tr>
      <w:tr w14:paraId="646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0" w:type="pct"/>
            <w:shd w:val="clear" w:color="auto" w:fill="auto"/>
            <w:noWrap w:val="0"/>
            <w:vAlign w:val="center"/>
          </w:tcPr>
          <w:p w14:paraId="796D476C">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业绩</w:t>
            </w:r>
          </w:p>
        </w:tc>
        <w:tc>
          <w:tcPr>
            <w:tcW w:w="433" w:type="pct"/>
            <w:shd w:val="clear" w:color="auto" w:fill="auto"/>
            <w:noWrap w:val="0"/>
            <w:vAlign w:val="center"/>
          </w:tcPr>
          <w:p w14:paraId="22885FAE">
            <w:pPr>
              <w:keepNext w:val="0"/>
              <w:keepLines w:val="0"/>
              <w:pageBreakBefore w:val="0"/>
              <w:kinsoku/>
              <w:wordWrap/>
              <w:overflowPunct/>
              <w:topLinePunct w:val="0"/>
              <w:bidi w:val="0"/>
              <w:snapToGrid/>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p>
        </w:tc>
        <w:tc>
          <w:tcPr>
            <w:tcW w:w="3836" w:type="pct"/>
            <w:shd w:val="clear" w:color="auto" w:fill="auto"/>
            <w:noWrap w:val="0"/>
            <w:vAlign w:val="center"/>
          </w:tcPr>
          <w:p w14:paraId="361E0A0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月至今同类项目业绩合同（</w:t>
            </w:r>
            <w:r>
              <w:rPr>
                <w:rFonts w:hint="eastAsia" w:ascii="仿宋" w:hAnsi="仿宋" w:eastAsia="仿宋" w:cs="仿宋"/>
                <w:color w:val="000000" w:themeColor="text1"/>
                <w:sz w:val="24"/>
                <w:highlight w:val="none"/>
                <w:lang w:val="en-US" w:eastAsia="zh-CN"/>
                <w14:textFill>
                  <w14:solidFill>
                    <w14:schemeClr w14:val="tx1"/>
                  </w14:solidFill>
                </w14:textFill>
              </w:rPr>
              <w:t>业绩时间</w:t>
            </w:r>
            <w:r>
              <w:rPr>
                <w:rFonts w:hint="eastAsia" w:ascii="仿宋" w:hAnsi="仿宋" w:eastAsia="仿宋" w:cs="仿宋"/>
                <w:color w:val="000000" w:themeColor="text1"/>
                <w:sz w:val="24"/>
                <w:highlight w:val="none"/>
                <w14:textFill>
                  <w14:solidFill>
                    <w14:schemeClr w14:val="tx1"/>
                  </w14:solidFill>
                </w14:textFill>
              </w:rPr>
              <w:t>以合同签订时间为准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加盖投标人公</w:t>
            </w:r>
            <w:bookmarkStart w:id="525" w:name="_GoBack"/>
            <w:bookmarkEnd w:id="525"/>
            <w:r>
              <w:rPr>
                <w:rFonts w:hint="eastAsia" w:ascii="仿宋" w:hAnsi="仿宋" w:eastAsia="仿宋" w:cs="仿宋"/>
                <w:color w:val="000000" w:themeColor="text1"/>
                <w:sz w:val="24"/>
                <w:highlight w:val="none"/>
                <w:lang w:val="en-US" w:eastAsia="zh-CN"/>
                <w14:textFill>
                  <w14:solidFill>
                    <w14:schemeClr w14:val="tx1"/>
                  </w14:solidFill>
                </w14:textFill>
              </w:rPr>
              <w:t>章</w:t>
            </w:r>
            <w:r>
              <w:rPr>
                <w:rFonts w:hint="eastAsia" w:ascii="仿宋" w:hAnsi="仿宋" w:eastAsia="仿宋" w:cs="仿宋"/>
                <w:color w:val="000000" w:themeColor="text1"/>
                <w:sz w:val="24"/>
                <w:highlight w:val="none"/>
                <w14:textFill>
                  <w14:solidFill>
                    <w14:schemeClr w14:val="tx1"/>
                  </w14:solidFill>
                </w14:textFill>
              </w:rPr>
              <w:t>），每提供1份计</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分，满分</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p>
        </w:tc>
      </w:tr>
      <w:tr w14:paraId="0712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auto"/>
            <w:noWrap w:val="0"/>
            <w:vAlign w:val="center"/>
          </w:tcPr>
          <w:p w14:paraId="32347E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1）各评委独立打分。</w:t>
            </w:r>
          </w:p>
          <w:p w14:paraId="73FE66E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2）评委打分超过得分界限或未按本表规定赋分时，该评委的打分无效，不计入汇总分。</w:t>
            </w:r>
          </w:p>
          <w:p w14:paraId="328DA4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3）若出现综合得分相同的，按报价由低到高顺序排列名次；得分且报价相同的，按技术指标得分顺序排列名次。</w:t>
            </w:r>
          </w:p>
          <w:p w14:paraId="0577EF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4）最终结果数字保留二位小数，第三位“四舍五入”。</w:t>
            </w:r>
          </w:p>
        </w:tc>
      </w:tr>
    </w:tbl>
    <w:p w14:paraId="50E86DAA">
      <w:pPr>
        <w:pStyle w:val="2"/>
        <w:numPr>
          <w:ilvl w:val="0"/>
          <w:numId w:val="6"/>
        </w:numPr>
        <w:spacing w:line="360" w:lineRule="auto"/>
        <w:jc w:val="center"/>
        <w:rPr>
          <w:rFonts w:hint="eastAsia" w:ascii="仿宋" w:hAnsi="仿宋" w:eastAsia="仿宋" w:cs="仿宋"/>
          <w:color w:val="000000" w:themeColor="text1"/>
          <w14:textFill>
            <w14:solidFill>
              <w14:schemeClr w14:val="tx1"/>
            </w14:solidFill>
          </w14:textFill>
        </w:rPr>
      </w:pPr>
      <w:bookmarkStart w:id="506" w:name="_Toc25031"/>
      <w:bookmarkStart w:id="507" w:name="_Toc6201"/>
      <w:bookmarkStart w:id="508" w:name="_Toc26802"/>
      <w:bookmarkStart w:id="509" w:name="_Toc17139"/>
      <w:bookmarkStart w:id="510" w:name="_Toc27438"/>
      <w:bookmarkStart w:id="511" w:name="_Toc5390"/>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highlight w:val="yellow"/>
          <w14:textFill>
            <w14:solidFill>
              <w14:schemeClr w14:val="tx1"/>
            </w14:solidFill>
          </w14:textFill>
        </w:rPr>
        <w:t xml:space="preserve"> </w:t>
      </w:r>
      <w:bookmarkStart w:id="512" w:name="_Toc13819"/>
      <w:r>
        <w:rPr>
          <w:rFonts w:hint="eastAsia" w:ascii="仿宋" w:hAnsi="仿宋" w:eastAsia="仿宋" w:cs="仿宋"/>
          <w:color w:val="000000" w:themeColor="text1"/>
          <w:highlight w:val="yellow"/>
          <w14:textFill>
            <w14:solidFill>
              <w14:schemeClr w14:val="tx1"/>
            </w14:solidFill>
          </w14:textFill>
        </w:rPr>
        <w:t>采购内容及要求</w:t>
      </w:r>
      <w:bookmarkEnd w:id="506"/>
      <w:bookmarkEnd w:id="507"/>
      <w:bookmarkEnd w:id="508"/>
      <w:bookmarkEnd w:id="509"/>
      <w:bookmarkEnd w:id="510"/>
      <w:bookmarkEnd w:id="511"/>
      <w:bookmarkEnd w:id="512"/>
    </w:p>
    <w:p w14:paraId="4F1B90F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一、项目概况</w:t>
      </w:r>
    </w:p>
    <w:p w14:paraId="56EA6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themeColor="text1"/>
          <w:kern w:val="0"/>
          <w:sz w:val="24"/>
          <w:szCs w:val="24"/>
          <w:lang w:val="zh-CN" w:eastAsia="zh-CN"/>
          <w14:textFill>
            <w14:solidFill>
              <w14:schemeClr w14:val="tx1"/>
            </w14:solidFill>
          </w14:textFill>
        </w:rPr>
        <w:t>采购内容:薄层色谱扫描仪、抑菌圈测量分析仪、培养箱、干燥箱、纯水机、氮气发生器等2</w:t>
      </w:r>
      <w:r>
        <w:rPr>
          <w:rFonts w:hint="eastAsia" w:ascii="仿宋" w:hAnsi="仿宋" w:eastAsia="仿宋" w:cs="仿宋"/>
          <w:color w:val="000000" w:themeColor="text1"/>
          <w:kern w:val="0"/>
          <w:sz w:val="24"/>
          <w:szCs w:val="24"/>
          <w:lang w:val="en-US" w:eastAsia="zh-CN"/>
          <w14:textFill>
            <w14:solidFill>
              <w14:schemeClr w14:val="tx1"/>
            </w14:solidFill>
          </w14:textFill>
        </w:rPr>
        <w:t>7</w:t>
      </w:r>
      <w:r>
        <w:rPr>
          <w:rFonts w:hint="eastAsia" w:ascii="仿宋" w:hAnsi="仿宋" w:eastAsia="仿宋" w:cs="仿宋"/>
          <w:color w:val="000000" w:themeColor="text1"/>
          <w:kern w:val="0"/>
          <w:sz w:val="24"/>
          <w:szCs w:val="24"/>
          <w:lang w:val="zh-CN" w:eastAsia="zh-CN"/>
          <w14:textFill>
            <w14:solidFill>
              <w14:schemeClr w14:val="tx1"/>
            </w14:solidFill>
          </w14:textFill>
        </w:rPr>
        <w:t>类33台仪器设备；</w:t>
      </w:r>
    </w:p>
    <w:p w14:paraId="4E989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themeColor="text1"/>
          <w:kern w:val="0"/>
          <w:sz w:val="24"/>
          <w:szCs w:val="24"/>
          <w:lang w:val="zh-CN" w:eastAsia="zh-CN"/>
          <w14:textFill>
            <w14:solidFill>
              <w14:schemeClr w14:val="tx1"/>
            </w14:solidFill>
          </w14:textFill>
        </w:rPr>
        <w:t>主要功能或目标:通过采购恒温振荡仪、生化培养箱、霉菌培养箱、电热恒温鼓风干燥箱、多功能微生物自动分析仪（抑菌圈测量分析仪）、钢管自动放置器、PH计（微生物实验室适用）、微粒检测仪、便携式浊度仪、浮游空气尘菌采样器、超纯水机、自动高压灭菌器、电子天平（万分之一天平）、酸度计、自动铺板机、低温冷却循环机、氮气发生器、固相萃取仪、均质器、空气发生器、减压真空干燥箱、切片机（含包埋机）、对照品保存箱、韦氏比重秤、PCR仪配套设备（电源、成像系统、电泳槽）薄层色谱扫描仪、阿贝折光仪(配低温恒温槽)、细胞破壁超微粉碎机等33台仪器设备，满足药品检验检测需求；</w:t>
      </w:r>
    </w:p>
    <w:p w14:paraId="1D1AD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themeColor="text1"/>
          <w:kern w:val="0"/>
          <w:sz w:val="24"/>
          <w:szCs w:val="24"/>
          <w:lang w:val="zh-CN" w:eastAsia="zh-CN"/>
          <w14:textFill>
            <w14:solidFill>
              <w14:schemeClr w14:val="tx1"/>
            </w14:solidFill>
          </w14:textFill>
        </w:rPr>
        <w:t>需满足的要求:满足</w:t>
      </w:r>
      <w:r>
        <w:rPr>
          <w:rFonts w:hint="eastAsia" w:ascii="仿宋" w:hAnsi="仿宋" w:eastAsia="仿宋" w:cs="仿宋"/>
          <w:color w:val="000000" w:themeColor="text1"/>
          <w:kern w:val="0"/>
          <w:sz w:val="24"/>
          <w:szCs w:val="24"/>
          <w:lang w:val="en-US" w:eastAsia="zh-CN"/>
          <w14:textFill>
            <w14:solidFill>
              <w14:schemeClr w14:val="tx1"/>
            </w14:solidFill>
          </w14:textFill>
        </w:rPr>
        <w:t>现行版</w:t>
      </w:r>
      <w:r>
        <w:rPr>
          <w:rFonts w:hint="eastAsia" w:ascii="仿宋" w:hAnsi="仿宋" w:eastAsia="仿宋" w:cs="仿宋"/>
          <w:color w:val="000000" w:themeColor="text1"/>
          <w:kern w:val="0"/>
          <w:sz w:val="24"/>
          <w:szCs w:val="24"/>
          <w:lang w:val="zh-CN" w:eastAsia="zh-CN"/>
          <w14:textFill>
            <w14:solidFill>
              <w14:schemeClr w14:val="tx1"/>
            </w14:solidFill>
          </w14:textFill>
        </w:rPr>
        <w:t>《中国药典》及药品检验检测行业要求。</w:t>
      </w:r>
    </w:p>
    <w:p w14:paraId="09D7B9D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二、产品要求</w:t>
      </w:r>
    </w:p>
    <w:tbl>
      <w:tblPr>
        <w:tblStyle w:val="40"/>
        <w:tblW w:w="4998" w:type="pct"/>
        <w:jc w:val="center"/>
        <w:tblLayout w:type="autofit"/>
        <w:tblCellMar>
          <w:top w:w="0" w:type="dxa"/>
          <w:left w:w="0" w:type="dxa"/>
          <w:bottom w:w="0" w:type="dxa"/>
          <w:right w:w="0" w:type="dxa"/>
        </w:tblCellMar>
      </w:tblPr>
      <w:tblGrid>
        <w:gridCol w:w="800"/>
        <w:gridCol w:w="935"/>
        <w:gridCol w:w="5313"/>
        <w:gridCol w:w="632"/>
        <w:gridCol w:w="653"/>
      </w:tblGrid>
      <w:tr w14:paraId="5609C93D">
        <w:tblPrEx>
          <w:tblCellMar>
            <w:top w:w="0" w:type="dxa"/>
            <w:left w:w="0" w:type="dxa"/>
            <w:bottom w:w="0" w:type="dxa"/>
            <w:right w:w="0" w:type="dxa"/>
          </w:tblCellMar>
        </w:tblPrEx>
        <w:trPr>
          <w:trHeight w:val="618"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B8833">
            <w:pPr>
              <w:widowControl/>
              <w:spacing w:line="240" w:lineRule="auto"/>
              <w:jc w:val="center"/>
              <w:textAlignment w:val="cente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序号</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584C1">
            <w:pPr>
              <w:widowControl/>
              <w:spacing w:line="240" w:lineRule="auto"/>
              <w:jc w:val="center"/>
              <w:textAlignment w:val="cente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名称</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21E8D">
            <w:pPr>
              <w:widowControl/>
              <w:spacing w:line="240" w:lineRule="auto"/>
              <w:jc w:val="center"/>
              <w:textAlignment w:val="cente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功能参数</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5E0C2">
            <w:pPr>
              <w:widowControl/>
              <w:spacing w:line="240" w:lineRule="auto"/>
              <w:jc w:val="center"/>
              <w:textAlignment w:val="cente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单位</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72E06">
            <w:pPr>
              <w:widowControl/>
              <w:spacing w:line="240" w:lineRule="auto"/>
              <w:jc w:val="center"/>
              <w:textAlignment w:val="cente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数量</w:t>
            </w:r>
          </w:p>
        </w:tc>
      </w:tr>
      <w:tr w14:paraId="467CE0E8">
        <w:tblPrEx>
          <w:tblCellMar>
            <w:top w:w="0" w:type="dxa"/>
            <w:left w:w="0" w:type="dxa"/>
            <w:bottom w:w="0" w:type="dxa"/>
            <w:right w:w="0" w:type="dxa"/>
          </w:tblCellMar>
        </w:tblPrEx>
        <w:trPr>
          <w:trHeight w:val="1467"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2A09F">
            <w:pPr>
              <w:widowControl/>
              <w:spacing w:line="240" w:lineRule="auto"/>
              <w:jc w:val="center"/>
              <w:textAlignment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EE4B2">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恒温震荡仪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B946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1.1、振荡频率：40—300rpm</w:t>
            </w:r>
          </w:p>
          <w:p w14:paraId="365C26B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1.2、振幅：</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20mm</w:t>
            </w:r>
          </w:p>
          <w:p w14:paraId="37F906F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1.3、控制器：液晶控制器</w:t>
            </w:r>
          </w:p>
          <w:p w14:paraId="0E4FB39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1.4、控温范围：RT+5～50℃</w:t>
            </w:r>
          </w:p>
          <w:p w14:paraId="16BF7CC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1.5、温度分辨率：</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2C747A9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1.6、托盘尺寸(mm)：≥350×350</w:t>
            </w:r>
          </w:p>
          <w:p w14:paraId="208B036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1.7、定时范围：0-5999min</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3666">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034F0">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r>
      <w:tr w14:paraId="698DB016">
        <w:tblPrEx>
          <w:tblCellMar>
            <w:top w:w="0" w:type="dxa"/>
            <w:left w:w="0" w:type="dxa"/>
            <w:bottom w:w="0" w:type="dxa"/>
            <w:right w:w="0" w:type="dxa"/>
          </w:tblCellMar>
        </w:tblPrEx>
        <w:trPr>
          <w:trHeight w:val="210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CF3CF">
            <w:pPr>
              <w:widowControl/>
              <w:spacing w:line="240" w:lineRule="auto"/>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6F4F2">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生化培养箱</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1660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2.1、控温范围：0-60℃</w:t>
            </w:r>
          </w:p>
          <w:p w14:paraId="7C880CB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2.2、温度分辨率：</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314D20A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2.3、温度波动度：高温±0.5℃ 低温±1.0℃</w:t>
            </w:r>
          </w:p>
          <w:p w14:paraId="22D4772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▲2.4、温度均匀度：±1.5℃（25℃）</w:t>
            </w:r>
          </w:p>
          <w:p w14:paraId="7E883E1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2.5、容积：≥240L，隔板3块</w:t>
            </w:r>
          </w:p>
          <w:p w14:paraId="421D903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2.6、显示方式：液晶显示控制</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5A131">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9A57C">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r>
      <w:tr w14:paraId="2F432428">
        <w:tblPrEx>
          <w:tblCellMar>
            <w:top w:w="0" w:type="dxa"/>
            <w:left w:w="0" w:type="dxa"/>
            <w:bottom w:w="0" w:type="dxa"/>
            <w:right w:w="0" w:type="dxa"/>
          </w:tblCellMar>
        </w:tblPrEx>
        <w:trPr>
          <w:trHeight w:val="193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EB48">
            <w:pPr>
              <w:widowControl/>
              <w:spacing w:line="240" w:lineRule="auto"/>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F5030">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霉菌培养箱</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D630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3.1、控温范围：15～45℃，具备加湿功能。</w:t>
            </w:r>
          </w:p>
          <w:p w14:paraId="6B33EDC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3.2、温度分辨率：</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37EEF81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▲3.3、温度波动度：高温±0.5℃ 低温±1.0℃</w:t>
            </w:r>
          </w:p>
          <w:p w14:paraId="318E83D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▲3.4、温度均匀度：±1.5℃（25℃）</w:t>
            </w:r>
          </w:p>
          <w:p w14:paraId="2F1644C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3.5、控湿范围：60～85%RH</w:t>
            </w:r>
          </w:p>
          <w:p w14:paraId="03C61AF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3.6、湿度偏差：</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8%RH</w:t>
            </w:r>
          </w:p>
          <w:p w14:paraId="539EF1B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3.7、容积：≥240L</w:t>
            </w:r>
          </w:p>
          <w:p w14:paraId="17C9C4D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3.8、显示方式：液晶显示控制</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B58A4">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B67B2">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5F171A79">
        <w:tblPrEx>
          <w:tblCellMar>
            <w:top w:w="0" w:type="dxa"/>
            <w:left w:w="0" w:type="dxa"/>
            <w:bottom w:w="0" w:type="dxa"/>
            <w:right w:w="0" w:type="dxa"/>
          </w:tblCellMar>
        </w:tblPrEx>
        <w:trPr>
          <w:trHeight w:val="135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A448F">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94C7">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电热鼓风干燥箱</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A631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4.1、控温范围：10-300℃</w:t>
            </w:r>
          </w:p>
          <w:p w14:paraId="5EB2E8C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4.2、恒温波动度：±1.0℃</w:t>
            </w:r>
          </w:p>
          <w:p w14:paraId="44F1050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4.3、温度均匀度：±3%（100℃）</w:t>
            </w:r>
          </w:p>
          <w:p w14:paraId="26C7A9A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4.4、温度分辨率：</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1778803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4.5、容积：≥200L</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EB2A">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0C0BC">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541A1AF6">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6EB7">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B6FD4">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多功能微生物自动分析仪（抑菌圈测量分析仪）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D00A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5.1、工作及测量模式：平面式单次六碟测量</w:t>
            </w:r>
          </w:p>
          <w:p w14:paraId="47947F4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5.2、最大测量数量 ：六个Φ95培养皿</w:t>
            </w:r>
          </w:p>
          <w:p w14:paraId="2A8BC1F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5.3、测量分辨率：≤0.001mm</w:t>
            </w:r>
          </w:p>
          <w:p w14:paraId="38E401AB">
            <w:pPr>
              <w:spacing w:line="240" w:lineRule="auto"/>
              <w:ind w:firstLine="240" w:firstLineChars="10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5.4、单次六碟测量时间：≤8s</w:t>
            </w:r>
          </w:p>
          <w:p w14:paraId="44604C1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▲5.5、测量池旋转精度（以标准模板计）：360°±0.05mm</w:t>
            </w:r>
          </w:p>
          <w:p w14:paraId="5EAF72D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5.6、示值准确度（以标准模板计）：±0.08mm</w:t>
            </w:r>
          </w:p>
          <w:p w14:paraId="695933D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5.7、重复测量精度：≤0.02mm</w:t>
            </w:r>
          </w:p>
          <w:p w14:paraId="096E9BC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5.8、效价重复测量精度：±0.15%</w:t>
            </w:r>
          </w:p>
          <w:p w14:paraId="04A16E9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5.9、测量池灭菌方式：紫外灭菌 </w:t>
            </w:r>
          </w:p>
          <w:p w14:paraId="275B552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▲5.10、仪器配有自校模板，并配有对应的计量检测证书</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16BF49D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▲5.11、仪器及软件符合现行版中国药典要求</w:t>
            </w:r>
          </w:p>
          <w:p w14:paraId="005D07F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5.12、数据传输：具备lims连接接口，可插拔存储卡</w:t>
            </w:r>
          </w:p>
          <w:p w14:paraId="3BD9CD1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▲5.13、仪器校正模式：自动校正，符合相关标准规范要求</w:t>
            </w:r>
          </w:p>
          <w:p w14:paraId="28BD5FD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5.14、报告方式：纸质打印和电子文档</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8554">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B4650">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4012150E">
        <w:tblPrEx>
          <w:tblCellMar>
            <w:top w:w="0" w:type="dxa"/>
            <w:left w:w="0" w:type="dxa"/>
            <w:bottom w:w="0" w:type="dxa"/>
            <w:right w:w="0" w:type="dxa"/>
          </w:tblCellMar>
        </w:tblPrEx>
        <w:trPr>
          <w:trHeight w:val="175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E6ABF">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42D7F">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钢管自动放置器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925B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6.1、放置要求：同时放置</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4个</w:t>
            </w:r>
          </w:p>
          <w:p w14:paraId="0659BBE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6.2、放置方式：全自动放置</w:t>
            </w:r>
          </w:p>
          <w:p w14:paraId="025BF6C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6.3、转动方向：顺时针和逆时针</w:t>
            </w:r>
          </w:p>
          <w:p w14:paraId="0F6D2BE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6.4、转速：</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6转/min</w:t>
            </w:r>
          </w:p>
          <w:p w14:paraId="0A7BB9A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6.5、具有防卡报警功能</w:t>
            </w:r>
          </w:p>
          <w:p w14:paraId="17F64F6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6.6、可封闭，降低落尘、染菌机率</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86476">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49B22">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508F4A85">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61BDD">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DBE6">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pH计</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7B78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7.1、显示方式：液晶触摸屏</w:t>
            </w:r>
          </w:p>
          <w:p w14:paraId="26C2A1A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7.2、分辨率：支持0.001pH、0.01pH和0.1pH，mV支持0.01mV、0.1 mV和1mV</w:t>
            </w:r>
          </w:p>
          <w:p w14:paraId="743A09C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7.3、温度单位：℃ 和 °F可选。</w:t>
            </w:r>
          </w:p>
          <w:p w14:paraId="3E45E98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7.4、支持自动关机、断电保护和恢复出厂设置等功能</w:t>
            </w:r>
          </w:p>
          <w:p w14:paraId="30DEB8F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7.5、智能操作系统，具有方法管理、电极管理、数据管理和用户管理等功能</w:t>
            </w:r>
          </w:p>
          <w:p w14:paraId="0F126E6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7.6、支持仪器自检和密码管理等</w:t>
            </w:r>
          </w:p>
          <w:p w14:paraId="5F4CAB4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7.7、智能判别终点，支持自动读数、定时读数、定时间隔读数、手动读数、自动温度补偿</w:t>
            </w:r>
          </w:p>
          <w:p w14:paraId="0B4DBFC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7.8、支持pH电极1-6点标定、ORP电极1点标定，支持pH电极诊断功能</w:t>
            </w:r>
          </w:p>
          <w:p w14:paraId="29CA949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7.9、支持标定提醒和强制标定功能，支持pH标液核查和强制核查功能</w:t>
            </w:r>
          </w:p>
          <w:p w14:paraId="7C48F1B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7.10、支持pH标定和测量报警限值设置，支持ORP测量报警限值设置</w:t>
            </w:r>
          </w:p>
          <w:p w14:paraId="5845773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7.11、可自动识别GB、DIN、NIST、USA、MERK、JIS等6组缓冲溶液，支持自定义标准溶液及标液组</w:t>
            </w:r>
          </w:p>
          <w:p w14:paraId="48E13E6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7.12、支持连接自动进样器，实现样品的自动测量和批量检测</w:t>
            </w:r>
          </w:p>
          <w:p w14:paraId="0FCFE42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7.13、支持数据存储(各1000套)、查阅、删除、统计、分析、传输和打印</w:t>
            </w:r>
          </w:p>
          <w:p w14:paraId="25AEEE0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▲7.14、测量参数：电位值、pH值、ORP值和温度值</w:t>
            </w:r>
          </w:p>
          <w:p w14:paraId="2882B22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▲7.15、 mV最小分辨率：</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0.01 mV，示值误差：±0.03%或±0.1 mV</w:t>
            </w:r>
          </w:p>
          <w:p w14:paraId="1CC405B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▲7.16、pH最小分辨率：</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0.001 pH</w:t>
            </w:r>
          </w:p>
          <w:p w14:paraId="75ED3D7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7.17、配置：主机2台（含自带电极、热敏打印机）、同品牌仪器配套电极2根（一根适用于固体或半固体测量，一根适用于液态测量）</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C32A0">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D9B9">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r>
      <w:tr w14:paraId="5C45C133">
        <w:tblPrEx>
          <w:tblCellMar>
            <w:top w:w="0" w:type="dxa"/>
            <w:left w:w="0" w:type="dxa"/>
            <w:bottom w:w="0" w:type="dxa"/>
            <w:right w:w="0" w:type="dxa"/>
          </w:tblCellMar>
        </w:tblPrEx>
        <w:trPr>
          <w:trHeight w:val="201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B8494">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20CAF">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微粒检测仪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9122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▲8.1、符合现行版《中国药典》微粒检测要求；</w:t>
            </w:r>
          </w:p>
          <w:p w14:paraId="2945FE1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8.2、检测范围：1～400μm；</w:t>
            </w:r>
          </w:p>
          <w:p w14:paraId="399F408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▲8.3、检测通道：≥6通道，符合现行版药典要求</w:t>
            </w:r>
          </w:p>
          <w:p w14:paraId="3BD40E8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8.4、测试范围：0～999999粒</w:t>
            </w:r>
          </w:p>
          <w:p w14:paraId="7D3E883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8.5、取样体积：0.5ml、1ml、2ml、5ml、10ml、20ml、100ml、1000ml</w:t>
            </w:r>
          </w:p>
          <w:p w14:paraId="6B30ACB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8.6、取样速度：涵盖5～90ml/min,可自行设定</w:t>
            </w:r>
          </w:p>
          <w:p w14:paraId="4D4F41D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▲8.7、准确度：规定值±10％</w:t>
            </w:r>
          </w:p>
          <w:p w14:paraId="34057CE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8.8、通道分辨率：≥80％</w:t>
            </w:r>
          </w:p>
          <w:p w14:paraId="5FA5F73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8.9、测试浓度：0～10000粒/ml（5％重合误差）</w:t>
            </w:r>
          </w:p>
          <w:p w14:paraId="541947B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8.10、相对标准偏差：RSD≤2％（标准粒子≥1000粒/ml）</w:t>
            </w:r>
          </w:p>
          <w:p w14:paraId="6D2363E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8.11、搅拌方式：磁力搅拌</w:t>
            </w:r>
          </w:p>
          <w:p w14:paraId="2A31B26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8.12、搅拌速度：0～2000转/min，连续可调</w:t>
            </w:r>
          </w:p>
          <w:p w14:paraId="59974B6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8.13、取放样方式：取样头自动升降，位置可调</w:t>
            </w:r>
          </w:p>
          <w:p w14:paraId="70713AB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8.14、显示操作：液晶显示屏</w:t>
            </w:r>
          </w:p>
          <w:p w14:paraId="7368C93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8.15、数据输出：内嵌微型打印机</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A0083">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08E1A">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76E59B3">
        <w:tblPrEx>
          <w:tblCellMar>
            <w:top w:w="0" w:type="dxa"/>
            <w:left w:w="0" w:type="dxa"/>
            <w:bottom w:w="0" w:type="dxa"/>
            <w:right w:w="0" w:type="dxa"/>
          </w:tblCellMar>
        </w:tblPrEx>
        <w:trPr>
          <w:trHeight w:val="153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E73E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B5D1D">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便携式浊度仪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9537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9.1、最小示值：≤0.1 NTU</w:t>
            </w:r>
          </w:p>
          <w:p w14:paraId="3ECE9D4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9.2、测量范围：双量程，0-20NTU  0-200 NTU</w:t>
            </w:r>
          </w:p>
          <w:p w14:paraId="1F0E750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9.3、示值误差：±8％</w:t>
            </w:r>
          </w:p>
          <w:p w14:paraId="45CB5CA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9.4、重复性：≤1％</w:t>
            </w:r>
          </w:p>
          <w:p w14:paraId="7E3F44B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9.5、零点漂移：±1％F.S</w:t>
            </w:r>
          </w:p>
          <w:p w14:paraId="5162AFB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9.6、显示方式：数显液晶屏</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EBCCE">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3B3A0">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56EDA0AB">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4BA89">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04CF9">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浮游空气尘菌采样器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E349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10.1、采样流量 ：100L/min</w:t>
            </w:r>
          </w:p>
          <w:p w14:paraId="4F2655C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10.2、采样量： 0.01-9.999m³</w:t>
            </w:r>
          </w:p>
          <w:p w14:paraId="2C0C5E6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10.3、采样口流速：0.38m/s与洁净室内流速基本相同（等速采样）</w:t>
            </w:r>
          </w:p>
          <w:p w14:paraId="6994DED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10.4、测量误差：±1%</w:t>
            </w:r>
          </w:p>
          <w:p w14:paraId="286C9AC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10.5、采样周期 ：自由设定</w:t>
            </w:r>
          </w:p>
          <w:p w14:paraId="0E85DCA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10.6、适配培养皿规格：标准通用Φ90×15mm</w:t>
            </w:r>
          </w:p>
          <w:p w14:paraId="4275FEF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10.7、显示方式：LED屏显示采样量、时间等参数</w:t>
            </w:r>
          </w:p>
          <w:p w14:paraId="0BC87F7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10.8、电源：交直流两用</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3B4E">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A8BE3">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26C5E144">
        <w:tblPrEx>
          <w:tblCellMar>
            <w:top w:w="0" w:type="dxa"/>
            <w:left w:w="0" w:type="dxa"/>
            <w:bottom w:w="0" w:type="dxa"/>
            <w:right w:w="0" w:type="dxa"/>
          </w:tblCellMar>
        </w:tblPrEx>
        <w:trPr>
          <w:trHeight w:val="2269"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8CB7C">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58230">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超纯水机</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DBB7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11.1、技术参数：</w:t>
            </w:r>
          </w:p>
          <w:p w14:paraId="6B7AE55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11.1.1、流速：40L/h；</w:t>
            </w:r>
          </w:p>
          <w:p w14:paraId="3384DA6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11.1.2、RO纯水：电导率（在线监测）≤1-5μs/cm；有机物截留率＞99%；颗粒和细菌截留率＞99%</w:t>
            </w:r>
          </w:p>
          <w:p w14:paraId="0705451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UP超纯水:</w:t>
            </w:r>
          </w:p>
          <w:p w14:paraId="68B0CD7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（1）电阻率：18.25MΩ.cm@25℃</w:t>
            </w:r>
          </w:p>
          <w:p w14:paraId="7D86C40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（2）总有机碳TOC≤20ppb；</w:t>
            </w:r>
          </w:p>
          <w:p w14:paraId="49C2B5E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（3）微生物＜1cfu/mL；</w:t>
            </w:r>
          </w:p>
          <w:p w14:paraId="4B72888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（4）重金属≤0.1ppb；</w:t>
            </w:r>
          </w:p>
          <w:p w14:paraId="6A59481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（5）微颗粒物（＜0.2μm）＜1个/mL；</w:t>
            </w:r>
          </w:p>
          <w:p w14:paraId="10CEF08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（6）核糖核酸酶（RNases）＜1pg/mL；</w:t>
            </w:r>
          </w:p>
          <w:p w14:paraId="59122F0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（7）脱氧核糖核酸酶（DNases）＜5pg/mL</w:t>
            </w:r>
          </w:p>
          <w:p w14:paraId="54092E4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11.1.3、配置要求：</w:t>
            </w:r>
          </w:p>
          <w:p w14:paraId="6239ECB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（1）预处理为高分子PP纤维滤芯、KDF复合滤芯，ULU阻垢滤芯，并具有“超纯水生产用预处理检测装置”以及“ULU缓释阻垢滤芯”。</w:t>
            </w:r>
          </w:p>
          <w:p w14:paraId="7D92B77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（2）超纯化系统：配置注塑型实验室纯水器一体化超纯化柱。</w:t>
            </w:r>
          </w:p>
          <w:p w14:paraId="7BEFCE6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▲（3）系统具有耗材识别功能，自动识别耗材是否与纯水机匹配、是否过期，并在耗材不匹配或过期时进行报警。</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51C22FD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（4）系统具有“实验室纯水器低水压和无水保护信号装置”，具有水箱缺水、满水停机功能及低水压自动停机保护功能。</w:t>
            </w:r>
          </w:p>
          <w:p w14:paraId="46A852C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▲（5）通过触摸屏可实现触摸屏精准自动取水,实时监测水质信息。</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453C965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（6）UF超滤膜：5000Dalton，须有效截留水中各种微粒大分子溶质、细菌、病毒等</w:t>
            </w:r>
          </w:p>
          <w:p w14:paraId="7C63503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（7）UV紫外消解仪，通过双波长(185/254nm) 紫外的应用，有效杀菌及降低TOC值</w:t>
            </w:r>
          </w:p>
          <w:p w14:paraId="5A5C221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11.1.4、系统功能要求</w:t>
            </w:r>
          </w:p>
          <w:p w14:paraId="1C6778A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（1）用户管理：密码保护，登录许可，防止错误操作；</w:t>
            </w:r>
          </w:p>
          <w:p w14:paraId="431E99C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（2）多重取水：提供快速取水、预约取水、定质定量取水选择三种模式，UP/RO取水最大为100升，最小为0.1升,UP水出水电阻值，设定范围为0～18，UP出水电阻值低于设定值，停止取水。</w:t>
            </w:r>
          </w:p>
          <w:p w14:paraId="56BDCD2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（3）取水显示：在线显示取水类型、温度、水质、流量、取水量信息；</w:t>
            </w:r>
          </w:p>
          <w:p w14:paraId="72D44BE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▲（4）六路水质监测：在线监测原水、RO制水、预超纯化柱制水、RO取水、UP取水和温度指标；</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5930300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（5）流量监测：在线监测原水、RO制水、预超纯化柱制水、RO纯水、UP纯水流量，记录使用量</w:t>
            </w:r>
          </w:p>
          <w:p w14:paraId="30B2038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（6）耗材监测：在线监测判定预处理、RO反渗透柱、预超纯化柱、超纯化柱、UF超滤膜使用情况</w:t>
            </w:r>
          </w:p>
          <w:p w14:paraId="7BE8FE7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（7）循环抑菌：循环时间设置范围为5～60分钟，通过取水循环、待机循环和多路循环技术，实现高效抑制细菌再生；</w:t>
            </w:r>
          </w:p>
          <w:p w14:paraId="7634219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（8）系统保护报警：可实现缺水保护、高低液位保护、耗材识别、水质不达标保护、耗材配件达到额定使用值、故障报警；</w:t>
            </w:r>
          </w:p>
          <w:p w14:paraId="6154D68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（9）数据管理：系统可自动记录存储故障记录、取水记录、耗材更换记录，并可通过USB端口下载完整的Excel表格。</w:t>
            </w:r>
          </w:p>
          <w:p w14:paraId="78B1ED5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▲（10）超标排放：能阻止RO膜运行初期不合格RO水进入制水系统。有效保护超纯水处理装置的后级树脂。</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4C06868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（11）自动冲洗：预处理滤芯冲洗功能和反渗透膜冲洗功能。</w:t>
            </w:r>
          </w:p>
          <w:p w14:paraId="7C97571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11.1.5、主要配置</w:t>
            </w:r>
          </w:p>
          <w:p w14:paraId="0422C0D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主机：1套</w:t>
            </w:r>
          </w:p>
          <w:p w14:paraId="7C2671C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预处理：1套</w:t>
            </w:r>
          </w:p>
          <w:p w14:paraId="206BF34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一级反渗透膜：2套</w:t>
            </w:r>
          </w:p>
          <w:p w14:paraId="3A781F8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预纯化柱：1套</w:t>
            </w:r>
          </w:p>
          <w:p w14:paraId="7B818E1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超纯化柱：1套</w:t>
            </w:r>
          </w:p>
          <w:p w14:paraId="4F2A28A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紫外消解仪：1套</w:t>
            </w:r>
          </w:p>
          <w:p w14:paraId="4E173EC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终端微滤器：1套</w:t>
            </w:r>
          </w:p>
          <w:p w14:paraId="4AF16C7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80升恒压水箱：1个</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2B066">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1ED0A">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r>
      <w:tr w14:paraId="220AC568">
        <w:tblPrEx>
          <w:tblCellMar>
            <w:top w:w="0" w:type="dxa"/>
            <w:left w:w="0" w:type="dxa"/>
            <w:bottom w:w="0" w:type="dxa"/>
            <w:right w:w="0" w:type="dxa"/>
          </w:tblCellMar>
        </w:tblPrEx>
        <w:trPr>
          <w:trHeight w:val="226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9CA01">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70653">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自动高压灭菌器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A96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▲12.1、设计压力：-0.1MPa ～0.28MPa </w:t>
            </w:r>
          </w:p>
          <w:p w14:paraId="0211410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12.2、设计温度：≥140℃</w:t>
            </w:r>
          </w:p>
          <w:p w14:paraId="16C23EC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12.3、工作压力：</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0.23MPa</w:t>
            </w:r>
          </w:p>
          <w:p w14:paraId="401B2F7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12.4、温度选择范围：105～138℃</w:t>
            </w:r>
          </w:p>
          <w:p w14:paraId="318FE6C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12.5、温度显示精度：</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5460C05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12.6、保温温度：40.0～60.0℃</w:t>
            </w:r>
          </w:p>
          <w:p w14:paraId="562FFC6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12.7、熔解温度：60.0～100.0℃</w:t>
            </w:r>
          </w:p>
          <w:p w14:paraId="532F1AC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12.8、腔体材料：不锈钢316</w:t>
            </w:r>
          </w:p>
          <w:p w14:paraId="649A18F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12.9、容积：≥50L</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8BC9E">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62D3C">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CD24053">
        <w:tblPrEx>
          <w:tblCellMar>
            <w:top w:w="0" w:type="dxa"/>
            <w:left w:w="0" w:type="dxa"/>
            <w:bottom w:w="0" w:type="dxa"/>
            <w:right w:w="0" w:type="dxa"/>
          </w:tblCellMar>
        </w:tblPrEx>
        <w:trPr>
          <w:trHeight w:val="267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1BE6F">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1F068">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电子天平</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F58D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▲13.1、最大称量值：220g</w:t>
            </w:r>
          </w:p>
          <w:p w14:paraId="68C0F49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13.2、可读性：≤0.1mg</w:t>
            </w:r>
          </w:p>
          <w:p w14:paraId="65EAF33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13.3、重复性（标准方差）：</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0.1mg</w:t>
            </w:r>
          </w:p>
          <w:p w14:paraId="7972C1E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▲13.4、线性误差：±0.2g</w:t>
            </w:r>
          </w:p>
          <w:p w14:paraId="4965E48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13.5、稳定时间：≤5s</w:t>
            </w:r>
          </w:p>
          <w:p w14:paraId="781254D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13.6、称量模式：基础称量、计件称量、百分比称量</w:t>
            </w:r>
          </w:p>
          <w:p w14:paraId="57DA93A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13.7、去皮范围：全量程</w:t>
            </w:r>
          </w:p>
          <w:p w14:paraId="421429C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13.8、接口：标配标准通讯接口</w:t>
            </w:r>
          </w:p>
          <w:p w14:paraId="4A6C24A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13.9、校准方式：自带内部校准功能</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61883">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339F5">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B70C577">
        <w:tblPrEx>
          <w:tblCellMar>
            <w:top w:w="0" w:type="dxa"/>
            <w:left w:w="0" w:type="dxa"/>
            <w:bottom w:w="0" w:type="dxa"/>
            <w:right w:w="0" w:type="dxa"/>
          </w:tblCellMar>
        </w:tblPrEx>
        <w:trPr>
          <w:trHeight w:val="204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00602">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CF307">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自动铺板机</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47DC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14.1、铺板厚度：0-3mm间连续可调  </w:t>
            </w:r>
          </w:p>
          <w:p w14:paraId="567F254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14.2、铺板宽度：分别为 200mm、100mm 薄层色谱板</w:t>
            </w:r>
          </w:p>
          <w:p w14:paraId="7B25F97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14.3、单次制板量：每次可铺不同规格数量 200×200 mm≥4张、200×100 mm≥8张 、100×100mm≥16张</w:t>
            </w:r>
          </w:p>
          <w:p w14:paraId="322B0E2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14.4、仪器组成：主机、高速匀浆机、可调厚度供浆槽、搁板洗板架</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94716">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21ECF">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01F8C66">
        <w:tblPrEx>
          <w:tblCellMar>
            <w:top w:w="0" w:type="dxa"/>
            <w:left w:w="0" w:type="dxa"/>
            <w:bottom w:w="0" w:type="dxa"/>
            <w:right w:w="0" w:type="dxa"/>
          </w:tblCellMar>
        </w:tblPrEx>
        <w:trPr>
          <w:trHeight w:val="246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E9E14">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606D3">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低温冷却循环机</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0A8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15.1、温度范围：-5℃至室温</w:t>
            </w:r>
          </w:p>
          <w:p w14:paraId="4F0AFC9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15.2、冷槽容积：≥7L</w:t>
            </w:r>
          </w:p>
          <w:p w14:paraId="0C69609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▲15.3、控温精度：±2℃</w:t>
            </w:r>
          </w:p>
          <w:p w14:paraId="21E5FA2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15.4、泵流量：≥20L/min</w:t>
            </w:r>
          </w:p>
          <w:p w14:paraId="23BB4AD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15.5、泵压：≤1.2bar</w:t>
            </w:r>
          </w:p>
          <w:p w14:paraId="2544399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▲15.6、制冷量:≥1.2KW（25℃）</w:t>
            </w:r>
          </w:p>
          <w:p w14:paraId="5E02DEB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15.7、显示分辨率≤0.1℃</w:t>
            </w:r>
          </w:p>
          <w:p w14:paraId="7AA5AB1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15.8、控制方式：微电脑控温，液晶显示温度</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3277B">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2AB86">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3ADCD7F">
        <w:tblPrEx>
          <w:tblCellMar>
            <w:top w:w="0" w:type="dxa"/>
            <w:left w:w="0" w:type="dxa"/>
            <w:bottom w:w="0" w:type="dxa"/>
            <w:right w:w="0" w:type="dxa"/>
          </w:tblCellMar>
        </w:tblPrEx>
        <w:trPr>
          <w:trHeight w:val="989"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C03D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A04FF">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氮气发生器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357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▲16.1、分子筛技术，须有效去除空气中的氧、 水、烃类等杂质</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632AAE7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16.2、输出压力≥0.5MPa </w:t>
            </w:r>
          </w:p>
          <w:p w14:paraId="2D5511C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▲16.3、氮气流速、纯度：流速范围0-0.5L/min ，纯度≥99.999％</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7456673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16.4、内置无油空气压缩机集成的超空压系统和冷冻式干燥机</w:t>
            </w:r>
          </w:p>
          <w:p w14:paraId="42EC45F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16.5、内置不锈钢双储气罐和制氮塔，分别为空气储气罐及氮气储气罐</w:t>
            </w:r>
          </w:p>
          <w:p w14:paraId="79812E2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16.6、内置消音器及隔音机箱,系统（包括主机和压缩机）噪音水平：≤55db@1m</w:t>
            </w:r>
          </w:p>
          <w:p w14:paraId="4710A1B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▲16.7、配备在线除烃仪，除烃仪输入气体压力：0-0.7MPa，输出气体压力：0-0.7MPa，除烃仪输出气体流量：≤400mL</w:t>
            </w:r>
          </w:p>
          <w:p w14:paraId="4B656F4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16.8、底部带滑轮可移动</w:t>
            </w:r>
          </w:p>
          <w:p w14:paraId="1C4980D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16.9、配备该设备正常运转所必备的工具包及所需的零配件</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ACCD8">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A8C48">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50532AF7">
        <w:tblPrEx>
          <w:tblCellMar>
            <w:top w:w="0" w:type="dxa"/>
            <w:left w:w="0" w:type="dxa"/>
            <w:bottom w:w="0" w:type="dxa"/>
            <w:right w:w="0" w:type="dxa"/>
          </w:tblCellMar>
        </w:tblPrEx>
        <w:trPr>
          <w:trHeight w:val="306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30C3D">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22E87">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固相萃取仪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A7DB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17.1、自动化程度：半自动</w:t>
            </w:r>
          </w:p>
          <w:p w14:paraId="6986507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17.2、通道数量：</w:t>
            </w:r>
            <w:r>
              <w:rPr>
                <w:rFonts w:hint="eastAsia"/>
                <w:lang w:val="en-US" w:eastAsia="zh-CN"/>
              </w:rPr>
              <w:t>≥</w:t>
            </w:r>
            <w:r>
              <w:rPr>
                <w:rFonts w:hint="eastAsia" w:ascii="仿宋" w:hAnsi="仿宋" w:eastAsia="仿宋" w:cs="仿宋"/>
                <w:color w:val="000000" w:themeColor="text1"/>
                <w:kern w:val="0"/>
                <w:sz w:val="24"/>
                <w:szCs w:val="24"/>
                <w:lang w:val="en-US" w:eastAsia="zh-CN"/>
                <w14:textFill>
                  <w14:solidFill>
                    <w14:schemeClr w14:val="tx1"/>
                  </w14:solidFill>
                </w14:textFill>
              </w:rPr>
              <w:t>24通道独立控制</w:t>
            </w:r>
          </w:p>
          <w:p w14:paraId="02854EB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17.3、萃取类型：适用各大品牌萃取小柱</w:t>
            </w:r>
          </w:p>
          <w:p w14:paraId="3B8D8C6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17.4、流速控制范围：0.1-30ml/min</w:t>
            </w:r>
          </w:p>
          <w:p w14:paraId="4B5B0E1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17.5、淋洗溶剂兼容性：支持多种溶剂</w:t>
            </w:r>
          </w:p>
          <w:p w14:paraId="608CB63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17.6、最大样品数：≥24个/批次</w:t>
            </w:r>
          </w:p>
          <w:p w14:paraId="6129066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17.7、单次上样体积：≥50ml</w:t>
            </w:r>
          </w:p>
          <w:p w14:paraId="1CF0C6C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17.8、箱体材料：高强度工程塑料</w:t>
            </w:r>
          </w:p>
          <w:p w14:paraId="78264C0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17.9、配套隔膜泵1台：抽气速率：≥60L/min；最大真空度：≤2mbar</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73AC0">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2BFD">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19F124B6">
        <w:tblPrEx>
          <w:tblCellMar>
            <w:top w:w="0" w:type="dxa"/>
            <w:left w:w="0" w:type="dxa"/>
            <w:bottom w:w="0" w:type="dxa"/>
            <w:right w:w="0" w:type="dxa"/>
          </w:tblCellMar>
        </w:tblPrEx>
        <w:trPr>
          <w:trHeight w:val="174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AFA5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B66F9">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均质器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D71B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18.1、配置：均质器1台，匀浆杯12个（体积约200mL，刻画100mL刻度线，含刀架、杯子密封圈、十字刀片、刀轴密封圈，专用密封盖）</w:t>
            </w:r>
          </w:p>
          <w:p w14:paraId="008933E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18.2、载荷搅拌速度：最大转速≥11000r/min，连续可调</w:t>
            </w:r>
          </w:p>
          <w:p w14:paraId="2620D1D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18.3、定时功能：最大时长≥2min，时间可调</w:t>
            </w:r>
          </w:p>
          <w:p w14:paraId="6B607C6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18.4、显示方式：LED显示屏</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C5958">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F7A06">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1D2B1EED">
        <w:tblPrEx>
          <w:tblCellMar>
            <w:top w:w="0" w:type="dxa"/>
            <w:left w:w="0" w:type="dxa"/>
            <w:bottom w:w="0" w:type="dxa"/>
            <w:right w:w="0" w:type="dxa"/>
          </w:tblCellMar>
        </w:tblPrEx>
        <w:trPr>
          <w:trHeight w:val="1382"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AFCA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3E29">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空气发生器</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2FD4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▲19.1、内置无油静音空气压缩机集成的超空压系统，可根据后端用气，主动判断空压机启动方式：独立启停、阶梯启停、轮流启停。</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5D2EA0D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19.2、输出压力0-0.75MPa范围可调节，能够完全满足不同设备用气要求</w:t>
            </w:r>
          </w:p>
          <w:p w14:paraId="0F18279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▲19.3、设备产气量：干燥空气：≥60L/min@0.75MPa</w:t>
            </w:r>
          </w:p>
          <w:p w14:paraId="722EFDF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19.4、内置储气罐和三重除水系统</w:t>
            </w:r>
          </w:p>
          <w:p w14:paraId="4A9164A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19.5、仪器标配触摸屏，实时显示设备运行状态。</w:t>
            </w:r>
          </w:p>
          <w:p w14:paraId="5EA3C18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▲19.6、内置消音器及隔音机箱,系统（包括主机和压缩机）噪音水平：≤55dB</w:t>
            </w:r>
          </w:p>
          <w:p w14:paraId="0FABA81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19.7、配备该设备正常运转所必备的工具包及所需的零配件</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C7D54">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36A2C">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34BD456">
        <w:tblPrEx>
          <w:tblCellMar>
            <w:top w:w="0" w:type="dxa"/>
            <w:left w:w="0" w:type="dxa"/>
            <w:bottom w:w="0" w:type="dxa"/>
            <w:right w:w="0" w:type="dxa"/>
          </w:tblCellMar>
        </w:tblPrEx>
        <w:trPr>
          <w:trHeight w:val="211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73BF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B21E8">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减压真空干燥箱</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4D24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20.1、控温范围：10-200℃</w:t>
            </w:r>
          </w:p>
          <w:p w14:paraId="611857C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20.2、恒温波动度：±1.0℃</w:t>
            </w:r>
          </w:p>
          <w:p w14:paraId="557C630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20.3、温度分辨率：</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287AF8B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20.4、达到真空度：≤133Pa</w:t>
            </w:r>
          </w:p>
          <w:p w14:paraId="52B6FFE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20.5、容积：≥30L</w:t>
            </w:r>
          </w:p>
          <w:p w14:paraId="30A12F1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20.6、工作室材质：不锈钢</w:t>
            </w:r>
          </w:p>
          <w:p w14:paraId="41E4225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20.7、配套使用的真空泵一台</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64C8D">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4983B">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037106B7">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8845E">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F5E56">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切片机</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5F1F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21.1、配置：主机切片机一台，配套使用的组织包埋机（含冷台）一套</w:t>
            </w:r>
          </w:p>
          <w:p w14:paraId="15D9481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▲21.2、切片厚度： 0μm～100μm</w:t>
            </w:r>
          </w:p>
          <w:p w14:paraId="750FA0F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21.3、修片厚度：0μm～600μm</w:t>
            </w:r>
          </w:p>
          <w:p w14:paraId="383DC3A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21.4、样本回缩：0μm～250um</w:t>
            </w:r>
          </w:p>
          <w:p w14:paraId="0DB741F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21.5、样品最大水平移位：25mm，样品最大垂直移位：55mm</w:t>
            </w:r>
          </w:p>
          <w:p w14:paraId="3E493E5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21.6、最大切片截面：50×45mm</w:t>
            </w:r>
          </w:p>
          <w:p w14:paraId="0084F87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21.7、切片精度：±5%</w:t>
            </w:r>
          </w:p>
          <w:p w14:paraId="4F1321F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21.8、刀架角度：0~15°</w:t>
            </w:r>
          </w:p>
          <w:p w14:paraId="4B38C25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21.9、冷台温度：常温～-20℃ </w:t>
            </w:r>
          </w:p>
          <w:p w14:paraId="2EADEFA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21.10、蜡缸容积：≥3.0L</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81776">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D661F">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4962A91">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C8D83">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57FC8">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对照品保存箱</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92B0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▲22.1、有效容积：≥900L</w:t>
            </w:r>
          </w:p>
          <w:p w14:paraId="36D4BC4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▲22.2、温度控制范围2-8℃，精度</w:t>
            </w:r>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0.1℃</w:t>
            </w:r>
          </w:p>
          <w:p w14:paraId="4247A15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22.3、可调节脚轮</w:t>
            </w:r>
          </w:p>
          <w:p w14:paraId="397C5C6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22.4、内部材料采用无色涂层光滑铝,内置搁架支撑条</w:t>
            </w:r>
          </w:p>
          <w:p w14:paraId="530949E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22.5、强制风扇内循环保证温度均匀稳定</w:t>
            </w:r>
          </w:p>
          <w:p w14:paraId="2D61EA2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22.6、温度产生偏差时声光报警系统启动，标配一个测试孔</w:t>
            </w:r>
          </w:p>
          <w:p w14:paraId="11A0BC3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22.7、可锁冰箱门，双门双锁</w:t>
            </w:r>
          </w:p>
          <w:p w14:paraId="3F4DA2E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22.8、配有温度监控和外接报警接口</w:t>
            </w:r>
          </w:p>
          <w:p w14:paraId="632EFE8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22.9、聚乙烯涂层搁架承重≥40kg/㎡ </w:t>
            </w:r>
          </w:p>
          <w:p w14:paraId="1BB5DD7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22.10、自动除霜，冷凝水自动蒸发功能</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56571">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C6084">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2F5F0CF3">
        <w:tblPrEx>
          <w:tblCellMar>
            <w:top w:w="0" w:type="dxa"/>
            <w:left w:w="0" w:type="dxa"/>
            <w:bottom w:w="0" w:type="dxa"/>
            <w:right w:w="0" w:type="dxa"/>
          </w:tblCellMar>
        </w:tblPrEx>
        <w:trPr>
          <w:trHeight w:val="1325"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770F5">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123FA">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韦氏比重秤</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31A8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23.1、测量比重范围：0-2.0000 </w:t>
            </w:r>
          </w:p>
          <w:p w14:paraId="1E01469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23.2、比重标准：以20℃纯水比重为1.000</w:t>
            </w:r>
          </w:p>
          <w:p w14:paraId="491F497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23.3、准确度：≤0.001</w:t>
            </w:r>
          </w:p>
          <w:p w14:paraId="05085EA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23.4、玛瑙刀座，主要部件不锈钢材质</w:t>
            </w:r>
          </w:p>
          <w:p w14:paraId="719D7F3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23.5、配置：主机及配套测量器具</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0E890">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F3461">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7B78CF3F">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358D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7E245">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PCR仪配套设备（电源、成像系统、电泳槽）</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B8A1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24.1、电泳槽：水平、垂直、转移电泳槽各1个；配备多用制胶器和专用制胶架</w:t>
            </w:r>
          </w:p>
          <w:p w14:paraId="1BB3046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24.2、电泳仪电源1台（可配套与电泳槽使用）</w:t>
            </w:r>
          </w:p>
          <w:p w14:paraId="0C6B79C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24.3、台式微量高速离心机</w:t>
            </w:r>
          </w:p>
          <w:p w14:paraId="11C5094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▲24.3.1、转速≥15000r/min </w:t>
            </w:r>
          </w:p>
          <w:p w14:paraId="3E97EDD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24.3.2、容量：12×1.5mL</w:t>
            </w:r>
          </w:p>
          <w:p w14:paraId="280D418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24.3.3、转速精度：±10r/min</w:t>
            </w:r>
          </w:p>
          <w:p w14:paraId="0AFE8AE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24.4、凝胶成像系统</w:t>
            </w:r>
          </w:p>
          <w:p w14:paraId="079A4BB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24.4.1、摄像机</w:t>
            </w:r>
          </w:p>
          <w:p w14:paraId="06E5C14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▲24.4.1.1、分辨率：≥600万像素</w:t>
            </w:r>
          </w:p>
          <w:p w14:paraId="2348A26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24.4.1.2、动态范围：≥3.4 OD</w:t>
            </w:r>
          </w:p>
          <w:p w14:paraId="0E80FED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24.4.1.3、大光圈高清镜头</w:t>
            </w:r>
          </w:p>
          <w:p w14:paraId="0816E9F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24.4.2、暗箱</w:t>
            </w:r>
          </w:p>
          <w:p w14:paraId="3978B25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24.4.2.1、可通过红外手势感应和语音控制开关。</w:t>
            </w:r>
          </w:p>
          <w:p w14:paraId="14AA58D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24.4.2.2、高强度UVB紫外LED透射光源，系统可设置紫外光源关闭时间</w:t>
            </w:r>
          </w:p>
          <w:p w14:paraId="5CF1CF5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▲24.4.2.3、配备温度监测模块，光源过热时自动关闭。</w:t>
            </w:r>
          </w:p>
          <w:p w14:paraId="02AD076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24.4.3、软件</w:t>
            </w:r>
          </w:p>
          <w:p w14:paraId="7ABC393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24.4.3.1、系统软件包括图像获取软件以及图像分析软件</w:t>
            </w:r>
          </w:p>
          <w:p w14:paraId="6A39C93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24.4.3.2、软件可通过语音控制进行拍照成像并自动存储</w:t>
            </w:r>
          </w:p>
          <w:p w14:paraId="69BBB30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24.4.3.3、图像获取软件可自动变焦，聚焦，无需手动，可实现一键拍照</w:t>
            </w:r>
          </w:p>
          <w:p w14:paraId="36732D2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24.4.3.4、图像获取软件具备过曝提示功能，在拍摄结果中显示过曝像素，保证定量精确</w:t>
            </w:r>
          </w:p>
          <w:p w14:paraId="629A238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24.4.3.5、图像获取软件具备正反色显示功能，可根据需要进行切换</w:t>
            </w:r>
          </w:p>
          <w:p w14:paraId="2393752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24.4.3.6、图像分析软件可识别加载原始数据，保留更多细节，分析更加准确</w:t>
            </w:r>
          </w:p>
          <w:p w14:paraId="37CB68BC">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24.4.3.7、图像分析软件可对图像进行裁剪、旋转，添加箭头、文字等操作</w:t>
            </w:r>
          </w:p>
          <w:p w14:paraId="1BB4DF7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24.4.3.8、图像分析软件具有三步式泳道及条带分析功能，可以快速计算蛋白质和核酸的分子量及质量。</w:t>
            </w:r>
          </w:p>
          <w:p w14:paraId="6EF6E9D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24.4.3.9、图像分析软件可手动或自动定义特殊感兴趣区域</w:t>
            </w:r>
          </w:p>
          <w:p w14:paraId="35DE703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24.5、配置清单：电泳槽3个，电泳电源1个，台式微量高速离心机1台，凝胶成像系统1套</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CB1AE">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1B222">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2EF33CB8">
        <w:tblPrEx>
          <w:tblCellMar>
            <w:top w:w="0" w:type="dxa"/>
            <w:left w:w="0" w:type="dxa"/>
            <w:bottom w:w="0" w:type="dxa"/>
            <w:right w:w="0" w:type="dxa"/>
          </w:tblCellMar>
        </w:tblPrEx>
        <w:trPr>
          <w:trHeight w:val="424"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22C64">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64069">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薄层色谱扫描仪</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0AB1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25.1、技术指标： </w:t>
            </w:r>
          </w:p>
          <w:p w14:paraId="7083C600">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▲25.1.1、测量方式：反射吸收法、透射吸收法、荧光法；</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r>
              <w:rPr>
                <w:rFonts w:hint="eastAsia" w:ascii="仿宋" w:hAnsi="仿宋" w:eastAsia="仿宋" w:cs="仿宋"/>
                <w:color w:val="000000" w:themeColor="text1"/>
                <w:kern w:val="0"/>
                <w:sz w:val="24"/>
                <w:szCs w:val="24"/>
                <w:lang w:val="en-US" w:eastAsia="zh-CN"/>
                <w14:textFill>
                  <w14:solidFill>
                    <w14:schemeClr w14:val="tx1"/>
                  </w14:solidFill>
                </w14:textFill>
              </w:rPr>
              <w:t> </w:t>
            </w:r>
          </w:p>
          <w:p w14:paraId="4CEA3BB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▲25.1.2、光谱范围：190nm～900nm（连续可调）； </w:t>
            </w:r>
          </w:p>
          <w:p w14:paraId="3429354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25.1.3、光源：卤钨灯、氘灯、汞灯（自动切换）； </w:t>
            </w:r>
          </w:p>
          <w:p w14:paraId="0EBFBA2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25.1.4、单色器：全息光栅（1200线/mm）； </w:t>
            </w:r>
          </w:p>
          <w:p w14:paraId="5253CE6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25.1.5、光谱带宽：5nm、10nm、20nm可选，标配（10nm）；</w:t>
            </w:r>
          </w:p>
          <w:p w14:paraId="1691AD3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25.1.6、波长准确度：±0.5nm；波长重现性：≤0.1nm；</w:t>
            </w:r>
          </w:p>
          <w:p w14:paraId="5DEE227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25.1.7、最小位移分辨率为：10～50μm；</w:t>
            </w:r>
          </w:p>
          <w:p w14:paraId="6E0EF70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▲25.1.8、成像波长：254nm、365nm 、白光（全自动控制）；</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6E6062A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25.1.9、测量平台：可放200mm×200mm色谱板； </w:t>
            </w:r>
          </w:p>
          <w:p w14:paraId="161EE70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25.1.10、扫描速度：0～120mm/s；</w:t>
            </w:r>
          </w:p>
          <w:p w14:paraId="3B7F56C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25.1.11、数模转换：24位A/D，八通道，20μs、2次转换；</w:t>
            </w:r>
          </w:p>
          <w:p w14:paraId="5BBFA46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25.1.12、测量室照明：标配254nm；</w:t>
            </w:r>
          </w:p>
          <w:p w14:paraId="5E01E42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25.1.13 、滤光片：K320、K360、K400、K450、K510、K550标配，</w:t>
            </w:r>
            <w:r>
              <w:rPr>
                <w:rFonts w:hint="eastAsia"/>
                <w:lang w:eastAsia="zh-CN"/>
              </w:rPr>
              <w:t>满足</w:t>
            </w:r>
            <w:r>
              <w:rPr>
                <w:rFonts w:hint="eastAsia" w:ascii="仿宋" w:hAnsi="仿宋" w:eastAsia="仿宋" w:cs="仿宋"/>
                <w:color w:val="000000" w:themeColor="text1"/>
                <w:kern w:val="0"/>
                <w:sz w:val="24"/>
                <w:szCs w:val="24"/>
                <w:lang w:val="en-US" w:eastAsia="zh-CN"/>
                <w14:textFill>
                  <w14:solidFill>
                    <w14:schemeClr w14:val="tx1"/>
                  </w14:solidFill>
                </w14:textFill>
              </w:rPr>
              <w:t>8个滤光片位置；</w:t>
            </w:r>
          </w:p>
          <w:p w14:paraId="130C6B1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25.1.14、狭缝尺寸：长0-8mm、宽度0-4mm、连续可变、任意组合，电脑自动控制；</w:t>
            </w:r>
          </w:p>
          <w:p w14:paraId="370A17E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25.1.15、检测器：光电倍增管；</w:t>
            </w:r>
          </w:p>
          <w:p w14:paraId="25A3186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25.1.16、数据采集：数据采集速度</w:t>
            </w:r>
            <w:bookmarkStart w:id="513" w:name="OLE_LINK1"/>
            <w:r>
              <w:rPr>
                <w:rFonts w:hint="eastAsia"/>
              </w:rPr>
              <w:t>≥</w:t>
            </w:r>
            <w:r>
              <w:rPr>
                <w:rFonts w:hint="eastAsia" w:ascii="仿宋" w:hAnsi="仿宋" w:eastAsia="仿宋" w:cs="仿宋"/>
                <w:color w:val="000000" w:themeColor="text1"/>
                <w:kern w:val="0"/>
                <w:sz w:val="24"/>
                <w:szCs w:val="24"/>
                <w:lang w:val="en-US" w:eastAsia="zh-CN"/>
                <w14:textFill>
                  <w14:solidFill>
                    <w14:schemeClr w14:val="tx1"/>
                  </w14:solidFill>
                </w14:textFill>
              </w:rPr>
              <w:t>30000DPS</w:t>
            </w:r>
            <w:bookmarkEnd w:id="513"/>
            <w:r>
              <w:rPr>
                <w:rFonts w:hint="eastAsia" w:ascii="仿宋" w:hAnsi="仿宋" w:eastAsia="仿宋" w:cs="仿宋"/>
                <w:color w:val="000000" w:themeColor="text1"/>
                <w:kern w:val="0"/>
                <w:sz w:val="24"/>
                <w:szCs w:val="24"/>
                <w:lang w:val="en-US" w:eastAsia="zh-CN"/>
                <w14:textFill>
                  <w14:solidFill>
                    <w14:schemeClr w14:val="tx1"/>
                  </w14:solidFill>
                </w14:textFill>
              </w:rPr>
              <w:t>，数据传输：≥2000000baud；</w:t>
            </w:r>
          </w:p>
          <w:p w14:paraId="2D47A65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25.1.17、扫描方式：线性扫描；</w:t>
            </w:r>
          </w:p>
          <w:p w14:paraId="5999ACF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25.2、仪器组成：</w:t>
            </w:r>
          </w:p>
          <w:p w14:paraId="6315A0D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25.2.1、主机（含光源、光栅单色仪、移动平台、USB串口）；</w:t>
            </w:r>
          </w:p>
          <w:p w14:paraId="63E47CC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25.2.2、薄层色谱成像系统； </w:t>
            </w:r>
          </w:p>
          <w:p w14:paraId="4555EA4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25.2.3、中药指纹图谱工作站；</w:t>
            </w:r>
          </w:p>
          <w:p w14:paraId="6312A85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25.2.4、自动薄层条带点样仪；</w:t>
            </w:r>
          </w:p>
          <w:p w14:paraId="752AAAF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25.3、条带点样仪技术指标：</w:t>
            </w:r>
          </w:p>
          <w:p w14:paraId="1DFEEB8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25.3.1、点样长度：0～200mm；</w:t>
            </w:r>
          </w:p>
          <w:p w14:paraId="674B894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25.3.2、点样方式：非接触点样；条带点样；</w:t>
            </w:r>
          </w:p>
          <w:p w14:paraId="319CA7B2">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25.3.3、点样宽度：最小可达0.2mm；</w:t>
            </w:r>
          </w:p>
          <w:p w14:paraId="6F2DFA7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▲25.3.4、点样准确度：≤0.2%；</w:t>
            </w:r>
          </w:p>
          <w:p w14:paraId="2EC1122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▲25.3.5、点样重现性：≤0.5%；</w:t>
            </w:r>
          </w:p>
          <w:p w14:paraId="64D9178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25.3.6、点样针规格：10μl、25μl、50μl、100μl</w:t>
            </w:r>
          </w:p>
          <w:p w14:paraId="55AB94A4">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25.3.7、点样平台：最大可放200*200mm薄层板；</w:t>
            </w:r>
          </w:p>
          <w:p w14:paraId="1C816FA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25.4、薄层色谱图像分析功能指标：</w:t>
            </w:r>
          </w:p>
          <w:p w14:paraId="11BB913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25.4.1、薄层色谱斑点彩色图像的拍摄、存档；</w:t>
            </w:r>
          </w:p>
          <w:p w14:paraId="42E00031">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25.4.2、对图片变形进行校正</w:t>
            </w:r>
          </w:p>
          <w:p w14:paraId="065DF4F9">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25.4.3、对拍摄光不匀进行校正；</w:t>
            </w:r>
          </w:p>
          <w:p w14:paraId="6DAE15E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25.4.4、对图像进行标注与文字编辑</w:t>
            </w:r>
          </w:p>
          <w:p w14:paraId="197E5A58">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25.4.5、计算并实时指示Rf值</w:t>
            </w:r>
          </w:p>
          <w:p w14:paraId="4CE29BC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25.4.6、使用高精度背景分峰方式，实现定量；</w:t>
            </w:r>
          </w:p>
          <w:p w14:paraId="72F3AE3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25.4.7、给出含Rf值、峰面积、含量、图像的报表</w:t>
            </w:r>
          </w:p>
          <w:p w14:paraId="1955405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25.5、中药指纹图谱工作站功能指标</w:t>
            </w:r>
          </w:p>
          <w:p w14:paraId="57E0F62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25.5.1、薄层色谱扫描软件：包括单波长、双波长、光谱扫描功能；可使用单点、两点、多点法进行校正（线性方程、二次方程），对不同Rf值斑点采用不同的校正方式；可计算峰高、峰宽、峰面积、Rf值、含量比例、RSD值</w:t>
            </w:r>
            <w:r>
              <w:rPr>
                <w:rFonts w:hint="eastAsia" w:ascii="仿宋" w:hAnsi="仿宋" w:eastAsia="仿宋" w:cs="仿宋"/>
                <w:b/>
                <w:bCs/>
                <w:color w:val="000000" w:themeColor="text1"/>
                <w:kern w:val="0"/>
                <w:sz w:val="24"/>
                <w:szCs w:val="24"/>
                <w:lang w:val="en-US" w:eastAsia="zh-CN"/>
                <w14:textFill>
                  <w14:solidFill>
                    <w14:schemeClr w14:val="tx1"/>
                  </w14:solidFill>
                </w14:textFill>
              </w:rPr>
              <w:t>（提供佐证材料，否则视为负偏离，佐证材料包括但不限于产品技术说明或功能截图或检测报告或产品彩页等）</w:t>
            </w:r>
          </w:p>
          <w:p w14:paraId="659057AE">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25.5.2、薄层图像分析优化功能：自动控制光源、图形优化</w:t>
            </w:r>
          </w:p>
          <w:p w14:paraId="4855E9CA">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25.5.3、相似度比较功能</w:t>
            </w:r>
          </w:p>
          <w:p w14:paraId="0FFAA6D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25.5.4、色谱图形比较功能</w:t>
            </w:r>
          </w:p>
          <w:p w14:paraId="5698E205">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25.5.5、图像轨迹跟踪扫描校正功能</w:t>
            </w:r>
          </w:p>
          <w:p w14:paraId="04F900F6">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25.5.6、紫外可见光谱分析比较功能</w:t>
            </w:r>
          </w:p>
          <w:p w14:paraId="48F1D48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25.5.7、软件符合现行版中国药典及相关规范要求</w:t>
            </w:r>
          </w:p>
          <w:p w14:paraId="56A7F7CD">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25.6、其他配置：电脑2台、黑白激光打印机1台</w:t>
            </w:r>
          </w:p>
          <w:p w14:paraId="73B6C5DD">
            <w:pPr>
              <w:spacing w:line="240" w:lineRule="auto"/>
              <w:ind w:firstLine="240" w:firstLineChars="10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25.6.1：电脑配置</w:t>
            </w:r>
          </w:p>
          <w:p w14:paraId="6297EFC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(1)系统：WIN10 64专业版，不能ghost系统</w:t>
            </w:r>
          </w:p>
          <w:p w14:paraId="2A55DE63">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(2)处理器性能：≥酷睿I5</w:t>
            </w:r>
          </w:p>
          <w:p w14:paraId="53457517">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(3)内存条：≥8 G</w:t>
            </w:r>
          </w:p>
          <w:p w14:paraId="5421B2AF">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(4)存储：≥1 TB（HDD）及≥256 G（SSD）</w:t>
            </w:r>
          </w:p>
          <w:p w14:paraId="6FB7BAEB">
            <w:pPr>
              <w:spacing w:line="240" w:lineRule="auto"/>
              <w:ind w:firstLine="240" w:firstLineChars="1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(5)显示器分辨率：≥1600*1200</w:t>
            </w:r>
          </w:p>
          <w:p w14:paraId="2AA5FD0A">
            <w:pPr>
              <w:spacing w:line="240" w:lineRule="auto"/>
              <w:ind w:firstLine="240" w:firstLineChars="10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(6)接口：≥1个光驱及≥5个USB接口</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D431">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FBCE2">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62DC1868">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F05DF">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B035D">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 xml:space="preserve">阿贝折光仪(配低温恒温槽) </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02060">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26.1、测量范围(nD)：1.30000-1.70000；(Brix)：0-100%</w:t>
            </w:r>
          </w:p>
          <w:p w14:paraId="2FCDD29F">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▲26.2、分辨率(nD)：≤0.0001；(Brix)：≤0.1%</w:t>
            </w:r>
          </w:p>
          <w:p w14:paraId="4F52ED45">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▲26.3、准确度(nD)：±0.0002；(Brix)：±0.1%</w:t>
            </w:r>
          </w:p>
          <w:p w14:paraId="07976B3B">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26.4、温度显示范围：0-50℃</w:t>
            </w:r>
          </w:p>
          <w:p w14:paraId="451E2D00">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26.5、显示方式：液晶屏</w:t>
            </w:r>
          </w:p>
          <w:p w14:paraId="2FE0F277">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26.6、恒温槽技术参数</w:t>
            </w:r>
          </w:p>
          <w:p w14:paraId="12A2E1C0">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26.6.1、温度范围：-5℃-100℃（介质为水）</w:t>
            </w:r>
          </w:p>
          <w:p w14:paraId="3B6F559A">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▲26.6.2、显示分辨率：≤0.1℃</w:t>
            </w:r>
          </w:p>
          <w:p w14:paraId="56DDF8D7">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26.6.3、温度波动度（℃）：±0.1℃，介质为水</w:t>
            </w:r>
          </w:p>
          <w:p w14:paraId="68EA8CAE">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26.6.4、泵循环方式：外循环</w:t>
            </w:r>
          </w:p>
          <w:p w14:paraId="5984FDE3">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26.6.5、泵流量：≥8L/min</w:t>
            </w:r>
          </w:p>
          <w:p w14:paraId="5C74CA4A">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26.6.6、内胆容量：≥3L</w:t>
            </w:r>
          </w:p>
          <w:p w14:paraId="1E4B2BB9">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26.6.7、控制方式：PID控制，微机控制，Pt100测温</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0F941">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套</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8AB9">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r w14:paraId="18862704">
        <w:tblPrEx>
          <w:tblCellMar>
            <w:top w:w="0" w:type="dxa"/>
            <w:left w:w="0" w:type="dxa"/>
            <w:bottom w:w="0" w:type="dxa"/>
            <w:right w:w="0" w:type="dxa"/>
          </w:tblCellMar>
        </w:tblPrEx>
        <w:trPr>
          <w:trHeight w:val="3880" w:hRule="atLeast"/>
          <w:jc w:val="center"/>
        </w:trPr>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28D7B">
            <w:pPr>
              <w:widowControl/>
              <w:spacing w:line="240" w:lineRule="auto"/>
              <w:jc w:val="center"/>
              <w:textAlignment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88638">
            <w:pPr>
              <w:spacing w:line="240" w:lineRule="auto"/>
              <w:jc w:val="center"/>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细胞破壁超微粉碎机</w:t>
            </w:r>
          </w:p>
        </w:tc>
        <w:tc>
          <w:tcPr>
            <w:tcW w:w="3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DAF08">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27.1、容积：≥6L</w:t>
            </w:r>
          </w:p>
          <w:p w14:paraId="310C2BE7">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27.2、装料量：≥1.0L/次 </w:t>
            </w:r>
          </w:p>
          <w:p w14:paraId="5C7C1915">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27.3、运行方式：手动翻转</w:t>
            </w:r>
          </w:p>
          <w:p w14:paraId="7C6FB865">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27.4、翻转限位装置：双螺旋式</w:t>
            </w:r>
          </w:p>
          <w:p w14:paraId="0C7C6D68">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27.5、物料接触材质：符合药典要求</w:t>
            </w:r>
          </w:p>
          <w:p w14:paraId="38C7EBFC">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▲27.6、粉碎参数：100—10000目可调</w:t>
            </w:r>
          </w:p>
          <w:p w14:paraId="019FCF22">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27.7、温度控制：配套低温机组制冷</w:t>
            </w:r>
          </w:p>
          <w:p w14:paraId="7E0E7465">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27.8、主机及配件材质：外层不锈钢</w:t>
            </w:r>
          </w:p>
          <w:p w14:paraId="5C4CEC7C">
            <w:pPr>
              <w:spacing w:line="240" w:lineRule="auto"/>
              <w:ind w:firstLine="240" w:firstLineChars="10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▲27.9、粉碎范围：适用于品种特性各异、差别较大的动(植)物、矿物药材等韧性、脆性、高(低)硬度、含纤维量大、含油率高或含糖量高的中药材</w:t>
            </w:r>
          </w:p>
        </w:tc>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85988">
            <w:pPr>
              <w:spacing w:line="24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台</w:t>
            </w:r>
          </w:p>
        </w:tc>
        <w:tc>
          <w:tcPr>
            <w:tcW w:w="3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B8F42">
            <w:pPr>
              <w:spacing w:line="24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r>
    </w:tbl>
    <w:p w14:paraId="74844047">
      <w:pPr>
        <w:numPr>
          <w:ilvl w:val="0"/>
          <w:numId w:val="0"/>
        </w:numPr>
        <w:rPr>
          <w:rFonts w:hint="eastAsia"/>
          <w:color w:val="000000" w:themeColor="text1"/>
          <w14:textFill>
            <w14:solidFill>
              <w14:schemeClr w14:val="tx1"/>
            </w14:solidFill>
          </w14:textFill>
        </w:rPr>
      </w:pPr>
    </w:p>
    <w:p w14:paraId="7DD5E1AB">
      <w:pPr>
        <w:pStyle w:val="1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 xml:space="preserve"> </w:t>
      </w:r>
    </w:p>
    <w:p w14:paraId="45DDEC66">
      <w:pPr>
        <w:pStyle w:val="2"/>
        <w:spacing w:after="0"/>
        <w:jc w:val="center"/>
        <w:rPr>
          <w:rFonts w:hint="eastAsia" w:ascii="仿宋" w:hAnsi="仿宋" w:eastAsia="仿宋" w:cs="仿宋"/>
          <w:color w:val="000000" w:themeColor="text1"/>
          <w14:textFill>
            <w14:solidFill>
              <w14:schemeClr w14:val="tx1"/>
            </w14:solidFill>
          </w14:textFill>
        </w:rPr>
      </w:pPr>
      <w:bookmarkStart w:id="514" w:name="_Toc26537"/>
      <w:bookmarkStart w:id="515" w:name="_Toc993"/>
      <w:bookmarkStart w:id="516" w:name="_Toc10577"/>
      <w:bookmarkStart w:id="517" w:name="_Toc28127"/>
      <w:bookmarkStart w:id="518" w:name="_Toc17576"/>
      <w:bookmarkStart w:id="519" w:name="_Toc26312"/>
      <w:bookmarkStart w:id="520" w:name="_Toc7398"/>
      <w:bookmarkStart w:id="521" w:name="_Toc9261"/>
      <w:bookmarkStart w:id="522" w:name="_Toc7258"/>
      <w:bookmarkStart w:id="523" w:name="_Toc28724"/>
      <w:bookmarkStart w:id="524" w:name="_Toc10630"/>
      <w:r>
        <w:rPr>
          <w:rFonts w:hint="eastAsia" w:ascii="仿宋" w:hAnsi="仿宋" w:eastAsia="仿宋" w:cs="仿宋"/>
          <w:color w:val="000000" w:themeColor="text1"/>
          <w14:textFill>
            <w14:solidFill>
              <w14:schemeClr w14:val="tx1"/>
            </w14:solidFill>
          </w14:textFill>
        </w:rPr>
        <w:t>第八部分 需要落实的政府采购政策</w:t>
      </w:r>
      <w:bookmarkEnd w:id="514"/>
      <w:bookmarkEnd w:id="515"/>
      <w:bookmarkEnd w:id="516"/>
      <w:bookmarkEnd w:id="517"/>
      <w:bookmarkEnd w:id="518"/>
      <w:bookmarkEnd w:id="519"/>
      <w:bookmarkEnd w:id="520"/>
      <w:bookmarkEnd w:id="521"/>
      <w:bookmarkEnd w:id="522"/>
      <w:bookmarkEnd w:id="523"/>
      <w:bookmarkEnd w:id="524"/>
    </w:p>
    <w:p w14:paraId="65AF5D1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bCs/>
          <w:color w:val="000000" w:themeColor="text1"/>
          <w:sz w:val="24"/>
          <w:szCs w:val="22"/>
          <w14:textFill>
            <w14:solidFill>
              <w14:schemeClr w14:val="tx1"/>
            </w14:solidFill>
          </w14:textFill>
        </w:rPr>
        <w:t>本项目为专门面向中小企业采购项目</w:t>
      </w:r>
      <w:r>
        <w:rPr>
          <w:rFonts w:hint="eastAsia" w:ascii="仿宋" w:hAnsi="仿宋" w:eastAsia="仿宋" w:cs="仿宋"/>
          <w:b/>
          <w:bCs/>
          <w:color w:val="000000" w:themeColor="text1"/>
          <w:sz w:val="24"/>
          <w:szCs w:val="22"/>
          <w:lang w:eastAsia="zh-CN"/>
          <w14:textFill>
            <w14:solidFill>
              <w14:schemeClr w14:val="tx1"/>
            </w14:solidFill>
          </w14:textFill>
        </w:rPr>
        <w:t>（</w:t>
      </w:r>
      <w:r>
        <w:rPr>
          <w:rFonts w:hint="eastAsia" w:ascii="仿宋" w:hAnsi="仿宋" w:eastAsia="仿宋" w:cs="仿宋"/>
          <w:b/>
          <w:bCs/>
          <w:color w:val="000000" w:themeColor="text1"/>
          <w:sz w:val="24"/>
          <w:szCs w:val="22"/>
          <w:lang w:val="en-US" w:eastAsia="zh-CN"/>
          <w14:textFill>
            <w14:solidFill>
              <w14:schemeClr w14:val="tx1"/>
            </w14:solidFill>
          </w14:textFill>
        </w:rPr>
        <w:t>不再执行相关价格扣除政策</w:t>
      </w:r>
      <w:r>
        <w:rPr>
          <w:rFonts w:hint="eastAsia" w:ascii="仿宋" w:hAnsi="仿宋" w:eastAsia="仿宋" w:cs="仿宋"/>
          <w:b/>
          <w:bCs/>
          <w:color w:val="000000" w:themeColor="text1"/>
          <w:sz w:val="24"/>
          <w:szCs w:val="22"/>
          <w:lang w:eastAsia="zh-CN"/>
          <w14:textFill>
            <w14:solidFill>
              <w14:schemeClr w14:val="tx1"/>
            </w14:solidFill>
          </w14:textFill>
        </w:rPr>
        <w:t>）</w:t>
      </w:r>
      <w:r>
        <w:rPr>
          <w:rFonts w:hint="eastAsia" w:ascii="仿宋" w:hAnsi="仿宋" w:eastAsia="仿宋" w:cs="仿宋"/>
          <w:color w:val="000000" w:themeColor="text1"/>
          <w:sz w:val="24"/>
          <w:szCs w:val="22"/>
          <w14:textFill>
            <w14:solidFill>
              <w14:schemeClr w14:val="tx1"/>
            </w14:solidFill>
          </w14:textFill>
        </w:rPr>
        <w:t>。</w:t>
      </w:r>
    </w:p>
    <w:p w14:paraId="7806F13E">
      <w:pPr>
        <w:spacing w:line="360" w:lineRule="auto"/>
        <w:ind w:firstLine="480" w:firstLineChars="2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按照国家工信部、国家统计局、国家发改委、财政部出台的《中小企业划型标准规定》（工信部联企业[2011]300号），本项目适用的行业标准为：</w:t>
      </w:r>
      <w:r>
        <w:rPr>
          <w:rFonts w:hint="eastAsia" w:ascii="仿宋" w:hAnsi="仿宋" w:eastAsia="仿宋" w:cs="仿宋"/>
          <w:color w:val="000000" w:themeColor="text1"/>
          <w:sz w:val="24"/>
          <w:lang w:val="en-US" w:eastAsia="zh-CN"/>
          <w14:textFill>
            <w14:solidFill>
              <w14:schemeClr w14:val="tx1"/>
            </w14:solidFill>
          </w14:textFill>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FFA5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按照《政府采购促进中小企业发展管理办法》【财库（2020）46号】提供的《中小企业声明函》货物模板自行填写。</w:t>
      </w:r>
    </w:p>
    <w:p w14:paraId="2B3902F9">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在政府采购活动中属中型、小型、微型企业的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出具《中小企业声明函》并加盖公章，中小企业对其声明内容的真实性负责，声明函内容不实的，属于提供虚假材料谋取中标、成交，按照《中华人民共和国政府采购法》等国家有关规定追究相应责任。</w:t>
      </w:r>
    </w:p>
    <w:p w14:paraId="344E225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2.按照《财政部 司法部关于政府采购具备监狱企业发展有关问题的通知》（财库〔2014〕68号）的相关规定，监狱企业视为小型或微型企业。</w:t>
      </w:r>
    </w:p>
    <w:p w14:paraId="1E129C4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3.按照《关于促进残疾人就业政府采购政策的通知》财库（〔2017〕141号）的相关规定，残疾人企业视同小微企业。</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出具《残疾人福利性单位声明函》。</w:t>
      </w:r>
    </w:p>
    <w:p w14:paraId="5E3439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4.具有环境标志、节能的产品在本次采购中评分时予以加分。在投标时应提供有效证明材料，证明文件复印件须加盖</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公章，否则不予计分。证明文件包含节能产品政府采购清单和环境标志产品政府采购清单，超出有效截止时间的，不予加分。（注：环境标志产品是指由财政部、国家环境保护总局颁布的环境标志产品政府采购清单中的有效期内的产品；节能产品是指由财政部、国家发展改革委颁布的“节能产品政府采购清单” 中的有效期内的产品。）</w:t>
      </w:r>
    </w:p>
    <w:p w14:paraId="63684154">
      <w:pPr>
        <w:pStyle w:val="39"/>
        <w:spacing w:line="360" w:lineRule="auto"/>
        <w:ind w:firstLine="0"/>
        <w:rPr>
          <w:rFonts w:hint="eastAsia" w:ascii="仿宋" w:hAnsi="仿宋" w:eastAsia="仿宋" w:cs="仿宋"/>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EU-F1">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2201">
    <w:pPr>
      <w:pStyle w:val="25"/>
      <w:pBdr>
        <w:top w:val="single" w:color="auto" w:sz="4" w:space="1"/>
      </w:pBdr>
      <w:tabs>
        <w:tab w:val="right" w:pos="8820"/>
        <w:tab w:val="clear" w:pos="8306"/>
      </w:tabs>
      <w:ind w:right="-360"/>
      <w:rPr>
        <w:rFonts w:hint="eastAsia" w:ascii="仿宋_GB2312" w:hAnsi="仿宋_GB2312" w:eastAsia="仿宋_GB2312" w:cs="仿宋_GB2312"/>
        <w:szCs w:val="18"/>
      </w:rPr>
    </w:pPr>
    <w:r>
      <w:rPr>
        <w:rFonts w:hint="eastAsia" w:ascii="仿宋_GB2312" w:hAnsi="仿宋_GB2312" w:eastAsia="仿宋_GB2312" w:cs="仿宋_GB2312"/>
        <w:szCs w:val="18"/>
      </w:rPr>
      <w:t>陕西中技招标有限公司（Http://www.sxzjtc.com）      地址：西安市高新区高新四路1号高科广场A1001室</w:t>
    </w:r>
  </w:p>
  <w:p w14:paraId="4AC7EAA8">
    <w:pPr>
      <w:pStyle w:val="25"/>
      <w:tabs>
        <w:tab w:val="left" w:pos="3308"/>
        <w:tab w:val="center" w:pos="4303"/>
        <w:tab w:val="right" w:pos="8820"/>
        <w:tab w:val="clear" w:pos="8306"/>
      </w:tabs>
      <w:ind w:right="19"/>
      <w:rPr>
        <w:rFonts w:hint="eastAsia" w:ascii="仿宋_GB2312" w:hAnsi="仿宋_GB2312" w:eastAsia="仿宋_GB2312" w:cs="仿宋_GB2312"/>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AE365">
                          <w:pPr>
                            <w:pStyle w:val="25"/>
                            <w:tabs>
                              <w:tab w:val="left" w:pos="3308"/>
                              <w:tab w:val="center" w:pos="4303"/>
                              <w:tab w:val="right" w:pos="8820"/>
                              <w:tab w:val="clear" w:pos="8306"/>
                            </w:tabs>
                            <w:ind w:right="19"/>
                          </w:pP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第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PAGE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19</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 共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NUMPAGES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67</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B1AE365">
                    <w:pPr>
                      <w:pStyle w:val="25"/>
                      <w:tabs>
                        <w:tab w:val="left" w:pos="3308"/>
                        <w:tab w:val="center" w:pos="4303"/>
                        <w:tab w:val="right" w:pos="8820"/>
                        <w:tab w:val="clear" w:pos="8306"/>
                      </w:tabs>
                      <w:ind w:right="19"/>
                    </w:pP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第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PAGE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19</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 共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NUMPAGES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67</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w:t>
                    </w:r>
                  </w:p>
                </w:txbxContent>
              </v:textbox>
            </v:shape>
          </w:pict>
        </mc:Fallback>
      </mc:AlternateContent>
    </w:r>
  </w:p>
  <w:p w14:paraId="74FE9C5E">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CBF8">
    <w:pPr>
      <w:pStyle w:val="25"/>
      <w:pBdr>
        <w:top w:val="single" w:color="auto" w:sz="4" w:space="1"/>
      </w:pBdr>
      <w:tabs>
        <w:tab w:val="right" w:pos="8820"/>
        <w:tab w:val="clear" w:pos="8306"/>
      </w:tabs>
      <w:ind w:right="-360"/>
      <w:rPr>
        <w:rFonts w:hint="eastAsia" w:ascii="仿宋_GB2312" w:hAnsi="仿宋_GB2312" w:eastAsia="仿宋_GB2312" w:cs="仿宋_GB2312"/>
        <w:szCs w:val="18"/>
      </w:rPr>
    </w:pPr>
    <w:r>
      <w:rPr>
        <w:rFonts w:hint="eastAsia" w:ascii="仿宋_GB2312" w:hAnsi="仿宋_GB2312" w:eastAsia="仿宋_GB2312" w:cs="仿宋_GB2312"/>
        <w:szCs w:val="18"/>
      </w:rPr>
      <w:t>陕西中技招标有限公司（Http://www.sxzjtc.com）      地址：西安市高新区高新四路1号高科广场A1001室</w:t>
    </w:r>
  </w:p>
  <w:p w14:paraId="4C258BE3">
    <w:pPr>
      <w:pStyle w:val="25"/>
      <w:tabs>
        <w:tab w:val="left" w:pos="3308"/>
        <w:tab w:val="center" w:pos="4303"/>
        <w:tab w:val="right" w:pos="8820"/>
        <w:tab w:val="clear" w:pos="8306"/>
      </w:tabs>
      <w:ind w:right="19"/>
      <w:rPr>
        <w:rFonts w:hint="eastAsia" w:ascii="仿宋_GB2312" w:hAnsi="仿宋_GB2312" w:eastAsia="仿宋_GB2312" w:cs="仿宋_GB2312"/>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233E4F">
                          <w:pPr>
                            <w:pStyle w:val="25"/>
                            <w:tabs>
                              <w:tab w:val="left" w:pos="3308"/>
                              <w:tab w:val="center" w:pos="4303"/>
                              <w:tab w:val="right" w:pos="8820"/>
                              <w:tab w:val="clear" w:pos="8306"/>
                            </w:tabs>
                            <w:ind w:right="19"/>
                          </w:pP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第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PAGE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 共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NUMPAGES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67</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8233E4F">
                    <w:pPr>
                      <w:pStyle w:val="25"/>
                      <w:tabs>
                        <w:tab w:val="left" w:pos="3308"/>
                        <w:tab w:val="center" w:pos="4303"/>
                        <w:tab w:val="right" w:pos="8820"/>
                        <w:tab w:val="clear" w:pos="8306"/>
                      </w:tabs>
                      <w:ind w:right="19"/>
                    </w:pP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xml:space="preserve">第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PAGE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20</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 共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NUMPAGES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67</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8DDA">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7</w:t>
    </w:r>
    <w:r>
      <w:fldChar w:fldCharType="end"/>
    </w:r>
  </w:p>
  <w:p w14:paraId="4FDB2A40">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46B0">
    <w:pPr>
      <w:pStyle w:val="26"/>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D601">
    <w:pPr>
      <w:pStyle w:val="26"/>
      <w:jc w:val="both"/>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仪器设备购置项目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F5EC">
    <w:pPr>
      <w:pStyle w:val="26"/>
      <w:jc w:val="both"/>
      <w:rPr>
        <w:rFonts w:hint="eastAsia" w:ascii="仿宋" w:hAnsi="仿宋" w:eastAsia="仿宋" w:cs="仿宋"/>
        <w:lang w:eastAsia="zh-CN"/>
      </w:rPr>
    </w:pPr>
    <w:r>
      <w:rPr>
        <w:rFonts w:hint="eastAsia" w:ascii="仿宋" w:hAnsi="仿宋" w:eastAsia="仿宋" w:cs="仿宋"/>
      </w:rPr>
      <w:t>采购项目名称：</w:t>
    </w:r>
    <w:r>
      <w:rPr>
        <w:rFonts w:hint="eastAsia" w:ascii="仿宋" w:hAnsi="仿宋" w:eastAsia="仿宋" w:cs="仿宋"/>
        <w:lang w:eastAsia="zh-CN"/>
      </w:rPr>
      <w:t>仪器设备购置项目</w:t>
    </w:r>
  </w:p>
  <w:p w14:paraId="2E9C1170">
    <w:pPr>
      <w:widowControl/>
      <w:jc w:val="left"/>
      <w:rPr>
        <w:rFonts w:hint="eastAsia" w:ascii="宋体" w:hAnsi="宋体" w:cs="宋体"/>
        <w:kern w:val="0"/>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9E142"/>
    <w:multiLevelType w:val="singleLevel"/>
    <w:tmpl w:val="D029E142"/>
    <w:lvl w:ilvl="0" w:tentative="0">
      <w:start w:val="1"/>
      <w:numFmt w:val="decimal"/>
      <w:suff w:val="space"/>
      <w:lvlText w:val="%1."/>
      <w:lvlJc w:val="left"/>
    </w:lvl>
  </w:abstractNum>
  <w:abstractNum w:abstractNumId="1">
    <w:nsid w:val="F7A7CCF3"/>
    <w:multiLevelType w:val="singleLevel"/>
    <w:tmpl w:val="F7A7CCF3"/>
    <w:lvl w:ilvl="0" w:tentative="0">
      <w:start w:val="1"/>
      <w:numFmt w:val="decimal"/>
      <w:lvlText w:val="%1."/>
      <w:lvlJc w:val="left"/>
      <w:pPr>
        <w:ind w:left="635" w:hanging="609"/>
      </w:pPr>
      <w:rPr>
        <w:rFonts w:hint="default"/>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1CE72D89"/>
    <w:multiLevelType w:val="singleLevel"/>
    <w:tmpl w:val="1CE72D89"/>
    <w:lvl w:ilvl="0" w:tentative="0">
      <w:start w:val="7"/>
      <w:numFmt w:val="chineseCounting"/>
      <w:suff w:val="space"/>
      <w:lvlText w:val="第%1部分"/>
      <w:lvlJc w:val="left"/>
      <w:rPr>
        <w:rFonts w:hint="eastAsia"/>
      </w:rPr>
    </w:lvl>
  </w:abstractNum>
  <w:abstractNum w:abstractNumId="4">
    <w:nsid w:val="38B3C7B5"/>
    <w:multiLevelType w:val="singleLevel"/>
    <w:tmpl w:val="38B3C7B5"/>
    <w:lvl w:ilvl="0" w:tentative="0">
      <w:start w:val="1"/>
      <w:numFmt w:val="decimal"/>
      <w:suff w:val="nothing"/>
      <w:lvlText w:val="%1、"/>
      <w:lvlJc w:val="left"/>
    </w:lvl>
  </w:abstractNum>
  <w:abstractNum w:abstractNumId="5">
    <w:nsid w:val="50478193"/>
    <w:multiLevelType w:val="singleLevel"/>
    <w:tmpl w:val="50478193"/>
    <w:lvl w:ilvl="0" w:tentative="0">
      <w:start w:val="3"/>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WM4Yjg5OWUyOTZiY2M1NDQ0MzY2ZTQzMTZmM2IifQ=="/>
  </w:docVars>
  <w:rsids>
    <w:rsidRoot w:val="00172A27"/>
    <w:rsid w:val="00000F67"/>
    <w:rsid w:val="0000140E"/>
    <w:rsid w:val="00004167"/>
    <w:rsid w:val="0000480E"/>
    <w:rsid w:val="00004B53"/>
    <w:rsid w:val="00004CA0"/>
    <w:rsid w:val="0000719E"/>
    <w:rsid w:val="00007A2E"/>
    <w:rsid w:val="00007EAD"/>
    <w:rsid w:val="000105E2"/>
    <w:rsid w:val="00011300"/>
    <w:rsid w:val="000123A4"/>
    <w:rsid w:val="0001267D"/>
    <w:rsid w:val="0001476D"/>
    <w:rsid w:val="000151D7"/>
    <w:rsid w:val="00015DD6"/>
    <w:rsid w:val="0001765A"/>
    <w:rsid w:val="00020380"/>
    <w:rsid w:val="00020FF6"/>
    <w:rsid w:val="00024AC8"/>
    <w:rsid w:val="0002675D"/>
    <w:rsid w:val="0002733F"/>
    <w:rsid w:val="00030601"/>
    <w:rsid w:val="000309B7"/>
    <w:rsid w:val="000317E8"/>
    <w:rsid w:val="000330E1"/>
    <w:rsid w:val="00035D8D"/>
    <w:rsid w:val="00036555"/>
    <w:rsid w:val="00037755"/>
    <w:rsid w:val="00037DA6"/>
    <w:rsid w:val="00041049"/>
    <w:rsid w:val="00041596"/>
    <w:rsid w:val="0004282F"/>
    <w:rsid w:val="00044ACE"/>
    <w:rsid w:val="00046FD3"/>
    <w:rsid w:val="00050116"/>
    <w:rsid w:val="000504B2"/>
    <w:rsid w:val="000507EF"/>
    <w:rsid w:val="00050944"/>
    <w:rsid w:val="00051F3A"/>
    <w:rsid w:val="0005207A"/>
    <w:rsid w:val="00052108"/>
    <w:rsid w:val="00052B7A"/>
    <w:rsid w:val="00052CD0"/>
    <w:rsid w:val="000536D5"/>
    <w:rsid w:val="000537EF"/>
    <w:rsid w:val="00054905"/>
    <w:rsid w:val="00056418"/>
    <w:rsid w:val="00056A30"/>
    <w:rsid w:val="0006019F"/>
    <w:rsid w:val="00061E48"/>
    <w:rsid w:val="0006242F"/>
    <w:rsid w:val="00062AB9"/>
    <w:rsid w:val="00062FE3"/>
    <w:rsid w:val="0006414E"/>
    <w:rsid w:val="00064965"/>
    <w:rsid w:val="00066B95"/>
    <w:rsid w:val="000675E1"/>
    <w:rsid w:val="000678EF"/>
    <w:rsid w:val="00070236"/>
    <w:rsid w:val="0007082B"/>
    <w:rsid w:val="00070CB8"/>
    <w:rsid w:val="0007128D"/>
    <w:rsid w:val="000713CA"/>
    <w:rsid w:val="00071DF5"/>
    <w:rsid w:val="00074711"/>
    <w:rsid w:val="000773D8"/>
    <w:rsid w:val="000807D6"/>
    <w:rsid w:val="00080C62"/>
    <w:rsid w:val="00081524"/>
    <w:rsid w:val="00082CBE"/>
    <w:rsid w:val="000831CD"/>
    <w:rsid w:val="0008462B"/>
    <w:rsid w:val="00086322"/>
    <w:rsid w:val="0009009E"/>
    <w:rsid w:val="00090B67"/>
    <w:rsid w:val="00091167"/>
    <w:rsid w:val="00092180"/>
    <w:rsid w:val="00092D35"/>
    <w:rsid w:val="00093806"/>
    <w:rsid w:val="00093933"/>
    <w:rsid w:val="00095370"/>
    <w:rsid w:val="000957C4"/>
    <w:rsid w:val="00096FD9"/>
    <w:rsid w:val="000971BE"/>
    <w:rsid w:val="00097BAC"/>
    <w:rsid w:val="000A0E6B"/>
    <w:rsid w:val="000A1009"/>
    <w:rsid w:val="000A25FA"/>
    <w:rsid w:val="000A35D8"/>
    <w:rsid w:val="000A4F5A"/>
    <w:rsid w:val="000A63C8"/>
    <w:rsid w:val="000A6A1A"/>
    <w:rsid w:val="000A7DA6"/>
    <w:rsid w:val="000B06F3"/>
    <w:rsid w:val="000B0954"/>
    <w:rsid w:val="000B321E"/>
    <w:rsid w:val="000B5697"/>
    <w:rsid w:val="000B5F32"/>
    <w:rsid w:val="000B7F67"/>
    <w:rsid w:val="000C10E2"/>
    <w:rsid w:val="000C2D24"/>
    <w:rsid w:val="000C2E02"/>
    <w:rsid w:val="000C3B6E"/>
    <w:rsid w:val="000C5404"/>
    <w:rsid w:val="000C7BBE"/>
    <w:rsid w:val="000D241B"/>
    <w:rsid w:val="000D2FF6"/>
    <w:rsid w:val="000D38DB"/>
    <w:rsid w:val="000D3A7A"/>
    <w:rsid w:val="000D40B7"/>
    <w:rsid w:val="000D4FEA"/>
    <w:rsid w:val="000D5171"/>
    <w:rsid w:val="000D588E"/>
    <w:rsid w:val="000D64A5"/>
    <w:rsid w:val="000D655A"/>
    <w:rsid w:val="000D716B"/>
    <w:rsid w:val="000D7D34"/>
    <w:rsid w:val="000E0DC3"/>
    <w:rsid w:val="000E2721"/>
    <w:rsid w:val="000E2F12"/>
    <w:rsid w:val="000E30AC"/>
    <w:rsid w:val="000E39E5"/>
    <w:rsid w:val="000E39FC"/>
    <w:rsid w:val="000E4FA3"/>
    <w:rsid w:val="000E5DAC"/>
    <w:rsid w:val="000E620E"/>
    <w:rsid w:val="000E6E0A"/>
    <w:rsid w:val="000E6F4C"/>
    <w:rsid w:val="000F0F4E"/>
    <w:rsid w:val="000F2D2D"/>
    <w:rsid w:val="000F308F"/>
    <w:rsid w:val="000F3EB7"/>
    <w:rsid w:val="000F3FBF"/>
    <w:rsid w:val="000F6DF9"/>
    <w:rsid w:val="000F76E7"/>
    <w:rsid w:val="00101BEF"/>
    <w:rsid w:val="0010200D"/>
    <w:rsid w:val="0010232B"/>
    <w:rsid w:val="00103563"/>
    <w:rsid w:val="00104F3B"/>
    <w:rsid w:val="001059CC"/>
    <w:rsid w:val="00106E31"/>
    <w:rsid w:val="00106FC0"/>
    <w:rsid w:val="00106FDA"/>
    <w:rsid w:val="001111FB"/>
    <w:rsid w:val="001134B9"/>
    <w:rsid w:val="0011718E"/>
    <w:rsid w:val="00120C99"/>
    <w:rsid w:val="00123E16"/>
    <w:rsid w:val="00123E1B"/>
    <w:rsid w:val="00124B4D"/>
    <w:rsid w:val="00124C20"/>
    <w:rsid w:val="00124C55"/>
    <w:rsid w:val="00124E4A"/>
    <w:rsid w:val="001254BF"/>
    <w:rsid w:val="001254C1"/>
    <w:rsid w:val="00125C48"/>
    <w:rsid w:val="00126F8D"/>
    <w:rsid w:val="00127704"/>
    <w:rsid w:val="00131682"/>
    <w:rsid w:val="00131905"/>
    <w:rsid w:val="00131DAE"/>
    <w:rsid w:val="00132530"/>
    <w:rsid w:val="00132C0C"/>
    <w:rsid w:val="00134D50"/>
    <w:rsid w:val="001362D8"/>
    <w:rsid w:val="001368C3"/>
    <w:rsid w:val="00136BA4"/>
    <w:rsid w:val="00140177"/>
    <w:rsid w:val="001407AD"/>
    <w:rsid w:val="00141825"/>
    <w:rsid w:val="00141BC4"/>
    <w:rsid w:val="001427A1"/>
    <w:rsid w:val="00143688"/>
    <w:rsid w:val="00145485"/>
    <w:rsid w:val="00145D8C"/>
    <w:rsid w:val="0014619F"/>
    <w:rsid w:val="0014676D"/>
    <w:rsid w:val="00150C94"/>
    <w:rsid w:val="0015107A"/>
    <w:rsid w:val="00151444"/>
    <w:rsid w:val="001523E4"/>
    <w:rsid w:val="001527FA"/>
    <w:rsid w:val="00153435"/>
    <w:rsid w:val="0015636A"/>
    <w:rsid w:val="00156996"/>
    <w:rsid w:val="00156E2B"/>
    <w:rsid w:val="00157214"/>
    <w:rsid w:val="00160ABC"/>
    <w:rsid w:val="001618D9"/>
    <w:rsid w:val="001631A3"/>
    <w:rsid w:val="00163A13"/>
    <w:rsid w:val="00164327"/>
    <w:rsid w:val="00164676"/>
    <w:rsid w:val="00165875"/>
    <w:rsid w:val="00166616"/>
    <w:rsid w:val="0016670B"/>
    <w:rsid w:val="00171492"/>
    <w:rsid w:val="0017189A"/>
    <w:rsid w:val="00172701"/>
    <w:rsid w:val="00172E28"/>
    <w:rsid w:val="00173D5B"/>
    <w:rsid w:val="001749F9"/>
    <w:rsid w:val="001752E3"/>
    <w:rsid w:val="00175846"/>
    <w:rsid w:val="0017593A"/>
    <w:rsid w:val="00176132"/>
    <w:rsid w:val="001765DF"/>
    <w:rsid w:val="00176BFD"/>
    <w:rsid w:val="00177066"/>
    <w:rsid w:val="00177B09"/>
    <w:rsid w:val="00180948"/>
    <w:rsid w:val="001810B6"/>
    <w:rsid w:val="001829FD"/>
    <w:rsid w:val="0018334F"/>
    <w:rsid w:val="001834D7"/>
    <w:rsid w:val="001835DB"/>
    <w:rsid w:val="00185B90"/>
    <w:rsid w:val="00187D8C"/>
    <w:rsid w:val="001922DF"/>
    <w:rsid w:val="0019244B"/>
    <w:rsid w:val="00192A7B"/>
    <w:rsid w:val="00193621"/>
    <w:rsid w:val="00194BE9"/>
    <w:rsid w:val="00195300"/>
    <w:rsid w:val="001A0C9C"/>
    <w:rsid w:val="001A100D"/>
    <w:rsid w:val="001A5717"/>
    <w:rsid w:val="001A6697"/>
    <w:rsid w:val="001A66E8"/>
    <w:rsid w:val="001A70B6"/>
    <w:rsid w:val="001A719F"/>
    <w:rsid w:val="001A7733"/>
    <w:rsid w:val="001A7BE1"/>
    <w:rsid w:val="001A7C1C"/>
    <w:rsid w:val="001A7FC1"/>
    <w:rsid w:val="001B1C34"/>
    <w:rsid w:val="001B41FE"/>
    <w:rsid w:val="001B5348"/>
    <w:rsid w:val="001B5CE3"/>
    <w:rsid w:val="001B61C1"/>
    <w:rsid w:val="001C2EFA"/>
    <w:rsid w:val="001C39A5"/>
    <w:rsid w:val="001C3E29"/>
    <w:rsid w:val="001C47A7"/>
    <w:rsid w:val="001C4949"/>
    <w:rsid w:val="001C51F2"/>
    <w:rsid w:val="001D012F"/>
    <w:rsid w:val="001D0BB9"/>
    <w:rsid w:val="001D10F4"/>
    <w:rsid w:val="001D1227"/>
    <w:rsid w:val="001D13C6"/>
    <w:rsid w:val="001D2217"/>
    <w:rsid w:val="001D2223"/>
    <w:rsid w:val="001D43C2"/>
    <w:rsid w:val="001D5777"/>
    <w:rsid w:val="001D5C6F"/>
    <w:rsid w:val="001D6472"/>
    <w:rsid w:val="001D6722"/>
    <w:rsid w:val="001D6E58"/>
    <w:rsid w:val="001D7892"/>
    <w:rsid w:val="001E0265"/>
    <w:rsid w:val="001E127A"/>
    <w:rsid w:val="001E37FD"/>
    <w:rsid w:val="001E3A61"/>
    <w:rsid w:val="001E42FA"/>
    <w:rsid w:val="001E53DC"/>
    <w:rsid w:val="001E5527"/>
    <w:rsid w:val="001E6BFE"/>
    <w:rsid w:val="001F0543"/>
    <w:rsid w:val="001F0733"/>
    <w:rsid w:val="001F0D4A"/>
    <w:rsid w:val="001F0F88"/>
    <w:rsid w:val="001F2A9D"/>
    <w:rsid w:val="001F349F"/>
    <w:rsid w:val="001F38A2"/>
    <w:rsid w:val="001F3945"/>
    <w:rsid w:val="001F54EA"/>
    <w:rsid w:val="001F78C0"/>
    <w:rsid w:val="002009B2"/>
    <w:rsid w:val="00201017"/>
    <w:rsid w:val="00201DD2"/>
    <w:rsid w:val="00202352"/>
    <w:rsid w:val="0020383B"/>
    <w:rsid w:val="0020462E"/>
    <w:rsid w:val="00205387"/>
    <w:rsid w:val="002061B6"/>
    <w:rsid w:val="002107A5"/>
    <w:rsid w:val="00211206"/>
    <w:rsid w:val="00211AD0"/>
    <w:rsid w:val="00211ECE"/>
    <w:rsid w:val="00212BBD"/>
    <w:rsid w:val="002147A7"/>
    <w:rsid w:val="00215A22"/>
    <w:rsid w:val="00215A2A"/>
    <w:rsid w:val="00215BCA"/>
    <w:rsid w:val="00216B19"/>
    <w:rsid w:val="0022007E"/>
    <w:rsid w:val="00221AF2"/>
    <w:rsid w:val="002244B5"/>
    <w:rsid w:val="0022485F"/>
    <w:rsid w:val="00225335"/>
    <w:rsid w:val="002253C3"/>
    <w:rsid w:val="002263BB"/>
    <w:rsid w:val="00226AE6"/>
    <w:rsid w:val="0022760F"/>
    <w:rsid w:val="00232250"/>
    <w:rsid w:val="0023243F"/>
    <w:rsid w:val="002349D0"/>
    <w:rsid w:val="00235559"/>
    <w:rsid w:val="0023566A"/>
    <w:rsid w:val="002363ED"/>
    <w:rsid w:val="0024274B"/>
    <w:rsid w:val="00242A58"/>
    <w:rsid w:val="00243404"/>
    <w:rsid w:val="00243BC6"/>
    <w:rsid w:val="00244169"/>
    <w:rsid w:val="00244622"/>
    <w:rsid w:val="00244694"/>
    <w:rsid w:val="00245D44"/>
    <w:rsid w:val="002474EA"/>
    <w:rsid w:val="00251A6F"/>
    <w:rsid w:val="00252036"/>
    <w:rsid w:val="00252776"/>
    <w:rsid w:val="00252F4B"/>
    <w:rsid w:val="002534A7"/>
    <w:rsid w:val="00254FD8"/>
    <w:rsid w:val="00255114"/>
    <w:rsid w:val="00255366"/>
    <w:rsid w:val="00255828"/>
    <w:rsid w:val="0025624A"/>
    <w:rsid w:val="0026048C"/>
    <w:rsid w:val="00261B6E"/>
    <w:rsid w:val="00261DDE"/>
    <w:rsid w:val="00261F9D"/>
    <w:rsid w:val="0026646B"/>
    <w:rsid w:val="00267488"/>
    <w:rsid w:val="0027340D"/>
    <w:rsid w:val="00274D22"/>
    <w:rsid w:val="00275238"/>
    <w:rsid w:val="00275AA8"/>
    <w:rsid w:val="00275E87"/>
    <w:rsid w:val="00276C8B"/>
    <w:rsid w:val="0027770A"/>
    <w:rsid w:val="0028003F"/>
    <w:rsid w:val="00280ACC"/>
    <w:rsid w:val="002825B6"/>
    <w:rsid w:val="002828F4"/>
    <w:rsid w:val="0028315E"/>
    <w:rsid w:val="0028320A"/>
    <w:rsid w:val="0028386A"/>
    <w:rsid w:val="00284DFA"/>
    <w:rsid w:val="0028593B"/>
    <w:rsid w:val="00286EFB"/>
    <w:rsid w:val="002870E8"/>
    <w:rsid w:val="002874C9"/>
    <w:rsid w:val="002902F1"/>
    <w:rsid w:val="0029052C"/>
    <w:rsid w:val="00290BAE"/>
    <w:rsid w:val="00292763"/>
    <w:rsid w:val="00293212"/>
    <w:rsid w:val="002932F4"/>
    <w:rsid w:val="0029429D"/>
    <w:rsid w:val="00295163"/>
    <w:rsid w:val="0029536D"/>
    <w:rsid w:val="00295740"/>
    <w:rsid w:val="00295BBC"/>
    <w:rsid w:val="00296DA0"/>
    <w:rsid w:val="00296EC9"/>
    <w:rsid w:val="002A018F"/>
    <w:rsid w:val="002A01ED"/>
    <w:rsid w:val="002A0215"/>
    <w:rsid w:val="002A2D8E"/>
    <w:rsid w:val="002A306B"/>
    <w:rsid w:val="002A45E0"/>
    <w:rsid w:val="002A51F2"/>
    <w:rsid w:val="002A644F"/>
    <w:rsid w:val="002B01D8"/>
    <w:rsid w:val="002B0A4D"/>
    <w:rsid w:val="002B106E"/>
    <w:rsid w:val="002B1A5D"/>
    <w:rsid w:val="002B22DE"/>
    <w:rsid w:val="002B385F"/>
    <w:rsid w:val="002B48F3"/>
    <w:rsid w:val="002B4F59"/>
    <w:rsid w:val="002B7138"/>
    <w:rsid w:val="002B7BF2"/>
    <w:rsid w:val="002C038E"/>
    <w:rsid w:val="002C0E53"/>
    <w:rsid w:val="002C12F9"/>
    <w:rsid w:val="002C2472"/>
    <w:rsid w:val="002C2CB3"/>
    <w:rsid w:val="002C34D5"/>
    <w:rsid w:val="002C510F"/>
    <w:rsid w:val="002C54EB"/>
    <w:rsid w:val="002C56F7"/>
    <w:rsid w:val="002C6BA7"/>
    <w:rsid w:val="002D0CC8"/>
    <w:rsid w:val="002D1BA7"/>
    <w:rsid w:val="002D2CA2"/>
    <w:rsid w:val="002D3D6B"/>
    <w:rsid w:val="002D49FB"/>
    <w:rsid w:val="002D556A"/>
    <w:rsid w:val="002D6847"/>
    <w:rsid w:val="002D787B"/>
    <w:rsid w:val="002E0638"/>
    <w:rsid w:val="002E0E99"/>
    <w:rsid w:val="002E1B2F"/>
    <w:rsid w:val="002E2A78"/>
    <w:rsid w:val="002E31B9"/>
    <w:rsid w:val="002E48F6"/>
    <w:rsid w:val="002E53B5"/>
    <w:rsid w:val="002E5D3C"/>
    <w:rsid w:val="002E5FA7"/>
    <w:rsid w:val="002E69A5"/>
    <w:rsid w:val="002F0D46"/>
    <w:rsid w:val="002F10D5"/>
    <w:rsid w:val="002F1364"/>
    <w:rsid w:val="002F2F56"/>
    <w:rsid w:val="002F39DA"/>
    <w:rsid w:val="002F59A2"/>
    <w:rsid w:val="002F7014"/>
    <w:rsid w:val="00302D1C"/>
    <w:rsid w:val="00302DB8"/>
    <w:rsid w:val="00303742"/>
    <w:rsid w:val="0030437E"/>
    <w:rsid w:val="003043BF"/>
    <w:rsid w:val="00304470"/>
    <w:rsid w:val="00304AE8"/>
    <w:rsid w:val="00306DF3"/>
    <w:rsid w:val="00306F85"/>
    <w:rsid w:val="00310134"/>
    <w:rsid w:val="003101F0"/>
    <w:rsid w:val="00312394"/>
    <w:rsid w:val="00312BD8"/>
    <w:rsid w:val="003134B7"/>
    <w:rsid w:val="00313D26"/>
    <w:rsid w:val="00314C4B"/>
    <w:rsid w:val="003169D7"/>
    <w:rsid w:val="00316E5E"/>
    <w:rsid w:val="00317F9B"/>
    <w:rsid w:val="00320F7A"/>
    <w:rsid w:val="00321264"/>
    <w:rsid w:val="003212E9"/>
    <w:rsid w:val="00321AEF"/>
    <w:rsid w:val="00322269"/>
    <w:rsid w:val="00322575"/>
    <w:rsid w:val="00322936"/>
    <w:rsid w:val="00322DE7"/>
    <w:rsid w:val="00324194"/>
    <w:rsid w:val="003251D8"/>
    <w:rsid w:val="0032523D"/>
    <w:rsid w:val="00331C21"/>
    <w:rsid w:val="00332011"/>
    <w:rsid w:val="003329A8"/>
    <w:rsid w:val="00333D32"/>
    <w:rsid w:val="0033418D"/>
    <w:rsid w:val="00334B3D"/>
    <w:rsid w:val="00334E9D"/>
    <w:rsid w:val="00335BCE"/>
    <w:rsid w:val="0033718E"/>
    <w:rsid w:val="003375FB"/>
    <w:rsid w:val="00341C4E"/>
    <w:rsid w:val="003426D3"/>
    <w:rsid w:val="003429DC"/>
    <w:rsid w:val="003430BC"/>
    <w:rsid w:val="0034454E"/>
    <w:rsid w:val="00344556"/>
    <w:rsid w:val="00346E68"/>
    <w:rsid w:val="00347FB0"/>
    <w:rsid w:val="00350BEA"/>
    <w:rsid w:val="00351646"/>
    <w:rsid w:val="003519B4"/>
    <w:rsid w:val="00352503"/>
    <w:rsid w:val="00352917"/>
    <w:rsid w:val="00352963"/>
    <w:rsid w:val="00355B66"/>
    <w:rsid w:val="00355C0B"/>
    <w:rsid w:val="00355EBE"/>
    <w:rsid w:val="00357892"/>
    <w:rsid w:val="00357BDE"/>
    <w:rsid w:val="003623F9"/>
    <w:rsid w:val="00362986"/>
    <w:rsid w:val="003638BF"/>
    <w:rsid w:val="0036453C"/>
    <w:rsid w:val="003646DA"/>
    <w:rsid w:val="0036546C"/>
    <w:rsid w:val="00365C36"/>
    <w:rsid w:val="00365D0B"/>
    <w:rsid w:val="0037232F"/>
    <w:rsid w:val="00373CD8"/>
    <w:rsid w:val="0037401C"/>
    <w:rsid w:val="0037486E"/>
    <w:rsid w:val="003750D1"/>
    <w:rsid w:val="0037580C"/>
    <w:rsid w:val="0038102F"/>
    <w:rsid w:val="00381983"/>
    <w:rsid w:val="003819FE"/>
    <w:rsid w:val="00381C39"/>
    <w:rsid w:val="003822B1"/>
    <w:rsid w:val="003839F7"/>
    <w:rsid w:val="00385563"/>
    <w:rsid w:val="00385AF7"/>
    <w:rsid w:val="003862EF"/>
    <w:rsid w:val="00386C69"/>
    <w:rsid w:val="003906C5"/>
    <w:rsid w:val="00390C47"/>
    <w:rsid w:val="00391015"/>
    <w:rsid w:val="003910C3"/>
    <w:rsid w:val="00392529"/>
    <w:rsid w:val="00395456"/>
    <w:rsid w:val="003963EF"/>
    <w:rsid w:val="00396647"/>
    <w:rsid w:val="00397A2B"/>
    <w:rsid w:val="00397BDE"/>
    <w:rsid w:val="00397E23"/>
    <w:rsid w:val="003A0D30"/>
    <w:rsid w:val="003A1307"/>
    <w:rsid w:val="003A14A1"/>
    <w:rsid w:val="003A1DEE"/>
    <w:rsid w:val="003A2B6D"/>
    <w:rsid w:val="003A2C1B"/>
    <w:rsid w:val="003A42A3"/>
    <w:rsid w:val="003A58A7"/>
    <w:rsid w:val="003A60EA"/>
    <w:rsid w:val="003A7609"/>
    <w:rsid w:val="003A7854"/>
    <w:rsid w:val="003B0DFD"/>
    <w:rsid w:val="003B1570"/>
    <w:rsid w:val="003B1F4C"/>
    <w:rsid w:val="003B2B66"/>
    <w:rsid w:val="003B3AF0"/>
    <w:rsid w:val="003B4DD3"/>
    <w:rsid w:val="003B53A0"/>
    <w:rsid w:val="003B7762"/>
    <w:rsid w:val="003B78CE"/>
    <w:rsid w:val="003C17EB"/>
    <w:rsid w:val="003C1FFF"/>
    <w:rsid w:val="003C2250"/>
    <w:rsid w:val="003C2C67"/>
    <w:rsid w:val="003C380E"/>
    <w:rsid w:val="003C51AC"/>
    <w:rsid w:val="003C544D"/>
    <w:rsid w:val="003C68D0"/>
    <w:rsid w:val="003D1671"/>
    <w:rsid w:val="003D1EE7"/>
    <w:rsid w:val="003D2E59"/>
    <w:rsid w:val="003D42E2"/>
    <w:rsid w:val="003E0D51"/>
    <w:rsid w:val="003E0DCE"/>
    <w:rsid w:val="003E1B91"/>
    <w:rsid w:val="003E28F4"/>
    <w:rsid w:val="003E38CA"/>
    <w:rsid w:val="003E4CDF"/>
    <w:rsid w:val="003E5534"/>
    <w:rsid w:val="003E6D63"/>
    <w:rsid w:val="003E6E3B"/>
    <w:rsid w:val="003F2DBB"/>
    <w:rsid w:val="003F37B3"/>
    <w:rsid w:val="003F40A6"/>
    <w:rsid w:val="003F478B"/>
    <w:rsid w:val="003F583D"/>
    <w:rsid w:val="003F5959"/>
    <w:rsid w:val="003F5C5A"/>
    <w:rsid w:val="003F64DE"/>
    <w:rsid w:val="003F7A31"/>
    <w:rsid w:val="00400AC4"/>
    <w:rsid w:val="004041AC"/>
    <w:rsid w:val="00404743"/>
    <w:rsid w:val="004067FE"/>
    <w:rsid w:val="00407721"/>
    <w:rsid w:val="004114A8"/>
    <w:rsid w:val="00413829"/>
    <w:rsid w:val="00414FD4"/>
    <w:rsid w:val="0041528F"/>
    <w:rsid w:val="00422A8C"/>
    <w:rsid w:val="00422D22"/>
    <w:rsid w:val="00424384"/>
    <w:rsid w:val="00424E24"/>
    <w:rsid w:val="0042795C"/>
    <w:rsid w:val="00431B9A"/>
    <w:rsid w:val="00433DA2"/>
    <w:rsid w:val="00434B5E"/>
    <w:rsid w:val="00436C7B"/>
    <w:rsid w:val="00436E48"/>
    <w:rsid w:val="004400A1"/>
    <w:rsid w:val="00440BA8"/>
    <w:rsid w:val="0044387A"/>
    <w:rsid w:val="004459EC"/>
    <w:rsid w:val="0044701C"/>
    <w:rsid w:val="0045001A"/>
    <w:rsid w:val="00450DE7"/>
    <w:rsid w:val="004530C0"/>
    <w:rsid w:val="004535E4"/>
    <w:rsid w:val="004549C4"/>
    <w:rsid w:val="00455DBA"/>
    <w:rsid w:val="00456BC9"/>
    <w:rsid w:val="00456C46"/>
    <w:rsid w:val="004573A9"/>
    <w:rsid w:val="004577A2"/>
    <w:rsid w:val="004578E8"/>
    <w:rsid w:val="00457EEC"/>
    <w:rsid w:val="0046176F"/>
    <w:rsid w:val="00462082"/>
    <w:rsid w:val="004631BA"/>
    <w:rsid w:val="004637A6"/>
    <w:rsid w:val="00464164"/>
    <w:rsid w:val="00464290"/>
    <w:rsid w:val="004651BF"/>
    <w:rsid w:val="004654D4"/>
    <w:rsid w:val="00465BC1"/>
    <w:rsid w:val="004663FA"/>
    <w:rsid w:val="004664DD"/>
    <w:rsid w:val="004668D7"/>
    <w:rsid w:val="00467051"/>
    <w:rsid w:val="00470828"/>
    <w:rsid w:val="00470913"/>
    <w:rsid w:val="00470B63"/>
    <w:rsid w:val="00471634"/>
    <w:rsid w:val="00471825"/>
    <w:rsid w:val="00473980"/>
    <w:rsid w:val="00473C75"/>
    <w:rsid w:val="00473FD7"/>
    <w:rsid w:val="00474B92"/>
    <w:rsid w:val="00475188"/>
    <w:rsid w:val="00475520"/>
    <w:rsid w:val="004756FD"/>
    <w:rsid w:val="00477518"/>
    <w:rsid w:val="00480C7B"/>
    <w:rsid w:val="004828E4"/>
    <w:rsid w:val="00486992"/>
    <w:rsid w:val="0048745E"/>
    <w:rsid w:val="00487D93"/>
    <w:rsid w:val="0049038A"/>
    <w:rsid w:val="00491B4D"/>
    <w:rsid w:val="00493E4D"/>
    <w:rsid w:val="004940D6"/>
    <w:rsid w:val="00494264"/>
    <w:rsid w:val="004945AC"/>
    <w:rsid w:val="00494BB6"/>
    <w:rsid w:val="00494EFC"/>
    <w:rsid w:val="00495A95"/>
    <w:rsid w:val="004973A0"/>
    <w:rsid w:val="004977D2"/>
    <w:rsid w:val="00497A5B"/>
    <w:rsid w:val="004A02F6"/>
    <w:rsid w:val="004A0B00"/>
    <w:rsid w:val="004A0B55"/>
    <w:rsid w:val="004A12A8"/>
    <w:rsid w:val="004A2B26"/>
    <w:rsid w:val="004A2D1B"/>
    <w:rsid w:val="004A354F"/>
    <w:rsid w:val="004A4DA2"/>
    <w:rsid w:val="004A4DF3"/>
    <w:rsid w:val="004A54B4"/>
    <w:rsid w:val="004A5531"/>
    <w:rsid w:val="004A55B5"/>
    <w:rsid w:val="004A56F0"/>
    <w:rsid w:val="004A5B7C"/>
    <w:rsid w:val="004A638E"/>
    <w:rsid w:val="004A72CC"/>
    <w:rsid w:val="004A78E2"/>
    <w:rsid w:val="004A7A69"/>
    <w:rsid w:val="004A7FBB"/>
    <w:rsid w:val="004B1141"/>
    <w:rsid w:val="004B157F"/>
    <w:rsid w:val="004B2C2C"/>
    <w:rsid w:val="004B4A36"/>
    <w:rsid w:val="004B52F9"/>
    <w:rsid w:val="004B5ACD"/>
    <w:rsid w:val="004B720D"/>
    <w:rsid w:val="004B783C"/>
    <w:rsid w:val="004C15B6"/>
    <w:rsid w:val="004C1A77"/>
    <w:rsid w:val="004C2D39"/>
    <w:rsid w:val="004C4DB5"/>
    <w:rsid w:val="004C7049"/>
    <w:rsid w:val="004D1186"/>
    <w:rsid w:val="004D33BF"/>
    <w:rsid w:val="004D393A"/>
    <w:rsid w:val="004D4797"/>
    <w:rsid w:val="004D51B2"/>
    <w:rsid w:val="004D65C0"/>
    <w:rsid w:val="004D6B16"/>
    <w:rsid w:val="004D6D91"/>
    <w:rsid w:val="004D7F05"/>
    <w:rsid w:val="004D7FC9"/>
    <w:rsid w:val="004E0B26"/>
    <w:rsid w:val="004E182B"/>
    <w:rsid w:val="004E231D"/>
    <w:rsid w:val="004E239B"/>
    <w:rsid w:val="004E5FE8"/>
    <w:rsid w:val="004E6133"/>
    <w:rsid w:val="004E6E96"/>
    <w:rsid w:val="004F102F"/>
    <w:rsid w:val="004F2430"/>
    <w:rsid w:val="004F32CD"/>
    <w:rsid w:val="004F3757"/>
    <w:rsid w:val="004F4D84"/>
    <w:rsid w:val="004F74DD"/>
    <w:rsid w:val="00503621"/>
    <w:rsid w:val="00504352"/>
    <w:rsid w:val="00504D8F"/>
    <w:rsid w:val="0050549B"/>
    <w:rsid w:val="005068A0"/>
    <w:rsid w:val="00506CB4"/>
    <w:rsid w:val="005072E8"/>
    <w:rsid w:val="00511326"/>
    <w:rsid w:val="00513281"/>
    <w:rsid w:val="00516351"/>
    <w:rsid w:val="005164CE"/>
    <w:rsid w:val="00517780"/>
    <w:rsid w:val="00521509"/>
    <w:rsid w:val="00521BFC"/>
    <w:rsid w:val="00522703"/>
    <w:rsid w:val="0052322B"/>
    <w:rsid w:val="0052323E"/>
    <w:rsid w:val="00523BE3"/>
    <w:rsid w:val="0052464F"/>
    <w:rsid w:val="0052510C"/>
    <w:rsid w:val="00526261"/>
    <w:rsid w:val="0052630C"/>
    <w:rsid w:val="005269CC"/>
    <w:rsid w:val="005304DB"/>
    <w:rsid w:val="005324AE"/>
    <w:rsid w:val="00532690"/>
    <w:rsid w:val="00534C14"/>
    <w:rsid w:val="00536A58"/>
    <w:rsid w:val="00537304"/>
    <w:rsid w:val="00540196"/>
    <w:rsid w:val="005429B8"/>
    <w:rsid w:val="00542C57"/>
    <w:rsid w:val="0054350D"/>
    <w:rsid w:val="005443C4"/>
    <w:rsid w:val="00550B3A"/>
    <w:rsid w:val="00551E32"/>
    <w:rsid w:val="005527DE"/>
    <w:rsid w:val="00553282"/>
    <w:rsid w:val="005534DD"/>
    <w:rsid w:val="00553C17"/>
    <w:rsid w:val="00553E5C"/>
    <w:rsid w:val="00556A96"/>
    <w:rsid w:val="00556FA1"/>
    <w:rsid w:val="00557D83"/>
    <w:rsid w:val="00561902"/>
    <w:rsid w:val="005630AC"/>
    <w:rsid w:val="00563536"/>
    <w:rsid w:val="00563A6D"/>
    <w:rsid w:val="00567DAE"/>
    <w:rsid w:val="005707C9"/>
    <w:rsid w:val="00570BB5"/>
    <w:rsid w:val="00571CF9"/>
    <w:rsid w:val="005723BB"/>
    <w:rsid w:val="00572956"/>
    <w:rsid w:val="0057319A"/>
    <w:rsid w:val="00573BFE"/>
    <w:rsid w:val="00576B8C"/>
    <w:rsid w:val="0058107A"/>
    <w:rsid w:val="005812F4"/>
    <w:rsid w:val="00581367"/>
    <w:rsid w:val="00582A01"/>
    <w:rsid w:val="005831D9"/>
    <w:rsid w:val="00584AD2"/>
    <w:rsid w:val="00585ECF"/>
    <w:rsid w:val="0058678D"/>
    <w:rsid w:val="00587013"/>
    <w:rsid w:val="00587691"/>
    <w:rsid w:val="00587BBA"/>
    <w:rsid w:val="00592B19"/>
    <w:rsid w:val="0059506F"/>
    <w:rsid w:val="005950EC"/>
    <w:rsid w:val="00595AA8"/>
    <w:rsid w:val="00595B1D"/>
    <w:rsid w:val="00595D2B"/>
    <w:rsid w:val="00596906"/>
    <w:rsid w:val="00596F47"/>
    <w:rsid w:val="00597ED2"/>
    <w:rsid w:val="005A0AD3"/>
    <w:rsid w:val="005A0AE6"/>
    <w:rsid w:val="005A1403"/>
    <w:rsid w:val="005A1A35"/>
    <w:rsid w:val="005A1E85"/>
    <w:rsid w:val="005A222D"/>
    <w:rsid w:val="005A2756"/>
    <w:rsid w:val="005A399B"/>
    <w:rsid w:val="005A3C08"/>
    <w:rsid w:val="005A4329"/>
    <w:rsid w:val="005A5EAE"/>
    <w:rsid w:val="005A73EF"/>
    <w:rsid w:val="005B282F"/>
    <w:rsid w:val="005B3401"/>
    <w:rsid w:val="005B5FB5"/>
    <w:rsid w:val="005B6128"/>
    <w:rsid w:val="005B6765"/>
    <w:rsid w:val="005B6F20"/>
    <w:rsid w:val="005C0071"/>
    <w:rsid w:val="005C0767"/>
    <w:rsid w:val="005C2775"/>
    <w:rsid w:val="005C2B1C"/>
    <w:rsid w:val="005C3DA2"/>
    <w:rsid w:val="005C3F8E"/>
    <w:rsid w:val="005C4A71"/>
    <w:rsid w:val="005C4F6E"/>
    <w:rsid w:val="005C5638"/>
    <w:rsid w:val="005C71B0"/>
    <w:rsid w:val="005C7629"/>
    <w:rsid w:val="005C7A5A"/>
    <w:rsid w:val="005D0E80"/>
    <w:rsid w:val="005D1480"/>
    <w:rsid w:val="005D1635"/>
    <w:rsid w:val="005D45EE"/>
    <w:rsid w:val="005D55DA"/>
    <w:rsid w:val="005D6A42"/>
    <w:rsid w:val="005E1814"/>
    <w:rsid w:val="005E1D18"/>
    <w:rsid w:val="005E2D29"/>
    <w:rsid w:val="005E3121"/>
    <w:rsid w:val="005E3E38"/>
    <w:rsid w:val="005E66B4"/>
    <w:rsid w:val="005E6C48"/>
    <w:rsid w:val="005F0E42"/>
    <w:rsid w:val="005F19D1"/>
    <w:rsid w:val="005F1C12"/>
    <w:rsid w:val="005F1C31"/>
    <w:rsid w:val="005F25C6"/>
    <w:rsid w:val="005F429C"/>
    <w:rsid w:val="005F4D8C"/>
    <w:rsid w:val="005F6B11"/>
    <w:rsid w:val="005F7393"/>
    <w:rsid w:val="006029AA"/>
    <w:rsid w:val="00605728"/>
    <w:rsid w:val="006064B4"/>
    <w:rsid w:val="00607343"/>
    <w:rsid w:val="006073EB"/>
    <w:rsid w:val="0060770D"/>
    <w:rsid w:val="00610A74"/>
    <w:rsid w:val="00610D51"/>
    <w:rsid w:val="0061112C"/>
    <w:rsid w:val="006119C0"/>
    <w:rsid w:val="00611F71"/>
    <w:rsid w:val="00611FDB"/>
    <w:rsid w:val="0061260D"/>
    <w:rsid w:val="00614ED9"/>
    <w:rsid w:val="00617887"/>
    <w:rsid w:val="00623362"/>
    <w:rsid w:val="006233B4"/>
    <w:rsid w:val="00624916"/>
    <w:rsid w:val="00624A2B"/>
    <w:rsid w:val="00624A5E"/>
    <w:rsid w:val="0063005B"/>
    <w:rsid w:val="00631220"/>
    <w:rsid w:val="006319F2"/>
    <w:rsid w:val="0063206B"/>
    <w:rsid w:val="00634CD6"/>
    <w:rsid w:val="00634F50"/>
    <w:rsid w:val="0063515C"/>
    <w:rsid w:val="006447B7"/>
    <w:rsid w:val="006457A1"/>
    <w:rsid w:val="0064744E"/>
    <w:rsid w:val="006477C7"/>
    <w:rsid w:val="00647927"/>
    <w:rsid w:val="00650638"/>
    <w:rsid w:val="00652D35"/>
    <w:rsid w:val="00654D66"/>
    <w:rsid w:val="00655556"/>
    <w:rsid w:val="006561ED"/>
    <w:rsid w:val="006601C4"/>
    <w:rsid w:val="00660B98"/>
    <w:rsid w:val="006654FD"/>
    <w:rsid w:val="0066589C"/>
    <w:rsid w:val="00666854"/>
    <w:rsid w:val="00666D79"/>
    <w:rsid w:val="00670921"/>
    <w:rsid w:val="0067245E"/>
    <w:rsid w:val="00672A17"/>
    <w:rsid w:val="00674816"/>
    <w:rsid w:val="00674E4E"/>
    <w:rsid w:val="0067558B"/>
    <w:rsid w:val="00676490"/>
    <w:rsid w:val="006766E9"/>
    <w:rsid w:val="00676819"/>
    <w:rsid w:val="006800AD"/>
    <w:rsid w:val="00680848"/>
    <w:rsid w:val="00680B8F"/>
    <w:rsid w:val="006824A5"/>
    <w:rsid w:val="00683286"/>
    <w:rsid w:val="006836CB"/>
    <w:rsid w:val="00684A49"/>
    <w:rsid w:val="0068537D"/>
    <w:rsid w:val="00685D0D"/>
    <w:rsid w:val="00685DA4"/>
    <w:rsid w:val="006903A8"/>
    <w:rsid w:val="00690C95"/>
    <w:rsid w:val="006910EB"/>
    <w:rsid w:val="006926BA"/>
    <w:rsid w:val="00692DEC"/>
    <w:rsid w:val="006946B7"/>
    <w:rsid w:val="006961BD"/>
    <w:rsid w:val="00696A59"/>
    <w:rsid w:val="00696DB2"/>
    <w:rsid w:val="00697B75"/>
    <w:rsid w:val="006A2158"/>
    <w:rsid w:val="006A3649"/>
    <w:rsid w:val="006A41F3"/>
    <w:rsid w:val="006A4D8F"/>
    <w:rsid w:val="006A4F96"/>
    <w:rsid w:val="006B02A2"/>
    <w:rsid w:val="006B11A2"/>
    <w:rsid w:val="006B15F0"/>
    <w:rsid w:val="006B1644"/>
    <w:rsid w:val="006B1D68"/>
    <w:rsid w:val="006B308F"/>
    <w:rsid w:val="006B4BFB"/>
    <w:rsid w:val="006B4C20"/>
    <w:rsid w:val="006B6BEB"/>
    <w:rsid w:val="006B743A"/>
    <w:rsid w:val="006B7CCE"/>
    <w:rsid w:val="006C0466"/>
    <w:rsid w:val="006C0FCB"/>
    <w:rsid w:val="006C1043"/>
    <w:rsid w:val="006C1ED7"/>
    <w:rsid w:val="006C49C3"/>
    <w:rsid w:val="006C5975"/>
    <w:rsid w:val="006D0A26"/>
    <w:rsid w:val="006D1D3D"/>
    <w:rsid w:val="006D235F"/>
    <w:rsid w:val="006D290A"/>
    <w:rsid w:val="006D3371"/>
    <w:rsid w:val="006D690E"/>
    <w:rsid w:val="006D734B"/>
    <w:rsid w:val="006D7FDF"/>
    <w:rsid w:val="006E0B10"/>
    <w:rsid w:val="006E19D3"/>
    <w:rsid w:val="006E296B"/>
    <w:rsid w:val="006E2F18"/>
    <w:rsid w:val="006E311C"/>
    <w:rsid w:val="006E40DA"/>
    <w:rsid w:val="006E4C6A"/>
    <w:rsid w:val="006E50DF"/>
    <w:rsid w:val="006E6631"/>
    <w:rsid w:val="006E6F1A"/>
    <w:rsid w:val="006F0860"/>
    <w:rsid w:val="006F20B0"/>
    <w:rsid w:val="006F31EF"/>
    <w:rsid w:val="006F47BC"/>
    <w:rsid w:val="006F4DBB"/>
    <w:rsid w:val="006F62C1"/>
    <w:rsid w:val="006F6C11"/>
    <w:rsid w:val="006F7AEE"/>
    <w:rsid w:val="006F7C6F"/>
    <w:rsid w:val="00701BB1"/>
    <w:rsid w:val="00701EA9"/>
    <w:rsid w:val="00703140"/>
    <w:rsid w:val="007037E3"/>
    <w:rsid w:val="0070398D"/>
    <w:rsid w:val="00704094"/>
    <w:rsid w:val="00705998"/>
    <w:rsid w:val="0070747C"/>
    <w:rsid w:val="00707C0F"/>
    <w:rsid w:val="007102D6"/>
    <w:rsid w:val="00710F30"/>
    <w:rsid w:val="00711797"/>
    <w:rsid w:val="00711E85"/>
    <w:rsid w:val="007130F2"/>
    <w:rsid w:val="0071338E"/>
    <w:rsid w:val="00713456"/>
    <w:rsid w:val="007139F3"/>
    <w:rsid w:val="00713C30"/>
    <w:rsid w:val="00714E5E"/>
    <w:rsid w:val="00715BF0"/>
    <w:rsid w:val="0071668E"/>
    <w:rsid w:val="00717CA1"/>
    <w:rsid w:val="00720679"/>
    <w:rsid w:val="00720EF8"/>
    <w:rsid w:val="00721E17"/>
    <w:rsid w:val="00722A1F"/>
    <w:rsid w:val="00722A2F"/>
    <w:rsid w:val="00722C4A"/>
    <w:rsid w:val="007248BE"/>
    <w:rsid w:val="0072789D"/>
    <w:rsid w:val="00730679"/>
    <w:rsid w:val="00730BFF"/>
    <w:rsid w:val="00731F61"/>
    <w:rsid w:val="007344D8"/>
    <w:rsid w:val="00735677"/>
    <w:rsid w:val="00735E42"/>
    <w:rsid w:val="00737B8D"/>
    <w:rsid w:val="0074016C"/>
    <w:rsid w:val="007417A8"/>
    <w:rsid w:val="00741D2D"/>
    <w:rsid w:val="00742461"/>
    <w:rsid w:val="00742803"/>
    <w:rsid w:val="007441AE"/>
    <w:rsid w:val="007462B5"/>
    <w:rsid w:val="007472AD"/>
    <w:rsid w:val="00747A95"/>
    <w:rsid w:val="00751DB1"/>
    <w:rsid w:val="007521E6"/>
    <w:rsid w:val="00752E66"/>
    <w:rsid w:val="00756BB7"/>
    <w:rsid w:val="0075783F"/>
    <w:rsid w:val="007669B6"/>
    <w:rsid w:val="0076760D"/>
    <w:rsid w:val="007678C8"/>
    <w:rsid w:val="00767926"/>
    <w:rsid w:val="00767E04"/>
    <w:rsid w:val="0077041B"/>
    <w:rsid w:val="00770B45"/>
    <w:rsid w:val="00772282"/>
    <w:rsid w:val="007723EC"/>
    <w:rsid w:val="00773930"/>
    <w:rsid w:val="00774036"/>
    <w:rsid w:val="0077427E"/>
    <w:rsid w:val="00774546"/>
    <w:rsid w:val="0077458B"/>
    <w:rsid w:val="00776180"/>
    <w:rsid w:val="0077620E"/>
    <w:rsid w:val="00780680"/>
    <w:rsid w:val="007812E6"/>
    <w:rsid w:val="00781D34"/>
    <w:rsid w:val="00781EA6"/>
    <w:rsid w:val="00782736"/>
    <w:rsid w:val="00782862"/>
    <w:rsid w:val="00784476"/>
    <w:rsid w:val="0078485E"/>
    <w:rsid w:val="0079002C"/>
    <w:rsid w:val="00790744"/>
    <w:rsid w:val="007914B5"/>
    <w:rsid w:val="00791BA4"/>
    <w:rsid w:val="00792CB6"/>
    <w:rsid w:val="0079331E"/>
    <w:rsid w:val="00793586"/>
    <w:rsid w:val="0079515A"/>
    <w:rsid w:val="00795213"/>
    <w:rsid w:val="007963BB"/>
    <w:rsid w:val="007968E1"/>
    <w:rsid w:val="00796B78"/>
    <w:rsid w:val="007A0286"/>
    <w:rsid w:val="007A0B34"/>
    <w:rsid w:val="007A1621"/>
    <w:rsid w:val="007A2811"/>
    <w:rsid w:val="007A394A"/>
    <w:rsid w:val="007A3A81"/>
    <w:rsid w:val="007A4B64"/>
    <w:rsid w:val="007A4DA7"/>
    <w:rsid w:val="007A717C"/>
    <w:rsid w:val="007A7B62"/>
    <w:rsid w:val="007B16ED"/>
    <w:rsid w:val="007B19D0"/>
    <w:rsid w:val="007B1F01"/>
    <w:rsid w:val="007B4579"/>
    <w:rsid w:val="007B5AD8"/>
    <w:rsid w:val="007B7475"/>
    <w:rsid w:val="007B7BA6"/>
    <w:rsid w:val="007C1582"/>
    <w:rsid w:val="007C228A"/>
    <w:rsid w:val="007C419D"/>
    <w:rsid w:val="007C4F66"/>
    <w:rsid w:val="007C5C18"/>
    <w:rsid w:val="007D136A"/>
    <w:rsid w:val="007D2639"/>
    <w:rsid w:val="007D3F92"/>
    <w:rsid w:val="007D4070"/>
    <w:rsid w:val="007D4ECD"/>
    <w:rsid w:val="007D61F3"/>
    <w:rsid w:val="007E11F5"/>
    <w:rsid w:val="007E19FB"/>
    <w:rsid w:val="007E1A44"/>
    <w:rsid w:val="007E2AC9"/>
    <w:rsid w:val="007E3BB6"/>
    <w:rsid w:val="007E454D"/>
    <w:rsid w:val="007E4791"/>
    <w:rsid w:val="007E49CC"/>
    <w:rsid w:val="007E5014"/>
    <w:rsid w:val="007E5B30"/>
    <w:rsid w:val="007E7BC2"/>
    <w:rsid w:val="007E7BC9"/>
    <w:rsid w:val="007F0443"/>
    <w:rsid w:val="007F072F"/>
    <w:rsid w:val="007F0F9A"/>
    <w:rsid w:val="007F0FBD"/>
    <w:rsid w:val="007F4687"/>
    <w:rsid w:val="007F5CFF"/>
    <w:rsid w:val="007F68BC"/>
    <w:rsid w:val="007F7389"/>
    <w:rsid w:val="007F7873"/>
    <w:rsid w:val="0080097A"/>
    <w:rsid w:val="00800C7D"/>
    <w:rsid w:val="0080207C"/>
    <w:rsid w:val="0080242F"/>
    <w:rsid w:val="00803924"/>
    <w:rsid w:val="00805BAA"/>
    <w:rsid w:val="0080635E"/>
    <w:rsid w:val="008068DC"/>
    <w:rsid w:val="00807038"/>
    <w:rsid w:val="00807FE6"/>
    <w:rsid w:val="0081146E"/>
    <w:rsid w:val="00812DA9"/>
    <w:rsid w:val="0081393C"/>
    <w:rsid w:val="00814363"/>
    <w:rsid w:val="00817429"/>
    <w:rsid w:val="00820E1D"/>
    <w:rsid w:val="00821E23"/>
    <w:rsid w:val="00822F9B"/>
    <w:rsid w:val="00824B8A"/>
    <w:rsid w:val="0082563C"/>
    <w:rsid w:val="00825EEA"/>
    <w:rsid w:val="00826011"/>
    <w:rsid w:val="008264BD"/>
    <w:rsid w:val="00826743"/>
    <w:rsid w:val="0082777B"/>
    <w:rsid w:val="00831B94"/>
    <w:rsid w:val="00832360"/>
    <w:rsid w:val="00833CE9"/>
    <w:rsid w:val="00833D92"/>
    <w:rsid w:val="00834496"/>
    <w:rsid w:val="00836A68"/>
    <w:rsid w:val="008371E3"/>
    <w:rsid w:val="008379D8"/>
    <w:rsid w:val="00840EBC"/>
    <w:rsid w:val="008427EE"/>
    <w:rsid w:val="00842AEE"/>
    <w:rsid w:val="00843805"/>
    <w:rsid w:val="00843A13"/>
    <w:rsid w:val="00843C15"/>
    <w:rsid w:val="00844896"/>
    <w:rsid w:val="0084572D"/>
    <w:rsid w:val="00846197"/>
    <w:rsid w:val="00846F8F"/>
    <w:rsid w:val="008478E4"/>
    <w:rsid w:val="00850B33"/>
    <w:rsid w:val="00852026"/>
    <w:rsid w:val="008527CC"/>
    <w:rsid w:val="00853BDA"/>
    <w:rsid w:val="00853CC2"/>
    <w:rsid w:val="00853EF0"/>
    <w:rsid w:val="00854BB6"/>
    <w:rsid w:val="00855BC9"/>
    <w:rsid w:val="00855C0F"/>
    <w:rsid w:val="008565EF"/>
    <w:rsid w:val="008572D6"/>
    <w:rsid w:val="0085753B"/>
    <w:rsid w:val="00860B2E"/>
    <w:rsid w:val="00860D80"/>
    <w:rsid w:val="008621CA"/>
    <w:rsid w:val="00863340"/>
    <w:rsid w:val="0086500B"/>
    <w:rsid w:val="008668E4"/>
    <w:rsid w:val="00866D94"/>
    <w:rsid w:val="008671AE"/>
    <w:rsid w:val="0086741E"/>
    <w:rsid w:val="008676B9"/>
    <w:rsid w:val="00870827"/>
    <w:rsid w:val="00870A5E"/>
    <w:rsid w:val="008725C3"/>
    <w:rsid w:val="00872BF5"/>
    <w:rsid w:val="00873BB8"/>
    <w:rsid w:val="00874CED"/>
    <w:rsid w:val="008776FD"/>
    <w:rsid w:val="008834F0"/>
    <w:rsid w:val="008848A6"/>
    <w:rsid w:val="00885B1C"/>
    <w:rsid w:val="008862EA"/>
    <w:rsid w:val="00887CEF"/>
    <w:rsid w:val="00890768"/>
    <w:rsid w:val="00890C7D"/>
    <w:rsid w:val="00891646"/>
    <w:rsid w:val="00891C34"/>
    <w:rsid w:val="00894A29"/>
    <w:rsid w:val="00896508"/>
    <w:rsid w:val="00897BEC"/>
    <w:rsid w:val="00897E65"/>
    <w:rsid w:val="008A0EAD"/>
    <w:rsid w:val="008A354A"/>
    <w:rsid w:val="008A3EAC"/>
    <w:rsid w:val="008A4D9C"/>
    <w:rsid w:val="008A672F"/>
    <w:rsid w:val="008A76EB"/>
    <w:rsid w:val="008A7B36"/>
    <w:rsid w:val="008A7D8B"/>
    <w:rsid w:val="008B0627"/>
    <w:rsid w:val="008B0DB3"/>
    <w:rsid w:val="008B27DF"/>
    <w:rsid w:val="008B2A12"/>
    <w:rsid w:val="008B3EAE"/>
    <w:rsid w:val="008B4454"/>
    <w:rsid w:val="008B46F5"/>
    <w:rsid w:val="008B5D3A"/>
    <w:rsid w:val="008B5F9F"/>
    <w:rsid w:val="008B688E"/>
    <w:rsid w:val="008B7896"/>
    <w:rsid w:val="008C012E"/>
    <w:rsid w:val="008C0E7F"/>
    <w:rsid w:val="008C1018"/>
    <w:rsid w:val="008C158B"/>
    <w:rsid w:val="008C3739"/>
    <w:rsid w:val="008C4966"/>
    <w:rsid w:val="008C55F4"/>
    <w:rsid w:val="008C69FE"/>
    <w:rsid w:val="008D11AB"/>
    <w:rsid w:val="008D1212"/>
    <w:rsid w:val="008D3357"/>
    <w:rsid w:val="008D3BEA"/>
    <w:rsid w:val="008D3F52"/>
    <w:rsid w:val="008D553A"/>
    <w:rsid w:val="008D58FB"/>
    <w:rsid w:val="008D696A"/>
    <w:rsid w:val="008D7C9A"/>
    <w:rsid w:val="008D7F5C"/>
    <w:rsid w:val="008E01CA"/>
    <w:rsid w:val="008E037F"/>
    <w:rsid w:val="008E03EF"/>
    <w:rsid w:val="008E07CC"/>
    <w:rsid w:val="008E24FE"/>
    <w:rsid w:val="008E3262"/>
    <w:rsid w:val="008E3B32"/>
    <w:rsid w:val="008E4730"/>
    <w:rsid w:val="008E47D0"/>
    <w:rsid w:val="008E67A0"/>
    <w:rsid w:val="008E6BE8"/>
    <w:rsid w:val="008F09B5"/>
    <w:rsid w:val="008F15B4"/>
    <w:rsid w:val="008F17AC"/>
    <w:rsid w:val="008F1A00"/>
    <w:rsid w:val="008F1E7E"/>
    <w:rsid w:val="008F278E"/>
    <w:rsid w:val="008F4104"/>
    <w:rsid w:val="008F4ECA"/>
    <w:rsid w:val="008F4FCE"/>
    <w:rsid w:val="008F5AD2"/>
    <w:rsid w:val="008F6745"/>
    <w:rsid w:val="008F6B0E"/>
    <w:rsid w:val="008F7402"/>
    <w:rsid w:val="00900EEB"/>
    <w:rsid w:val="0090144C"/>
    <w:rsid w:val="00902B8F"/>
    <w:rsid w:val="00903C75"/>
    <w:rsid w:val="009062B4"/>
    <w:rsid w:val="00906899"/>
    <w:rsid w:val="009071DE"/>
    <w:rsid w:val="00907586"/>
    <w:rsid w:val="00911589"/>
    <w:rsid w:val="00911926"/>
    <w:rsid w:val="00911D7B"/>
    <w:rsid w:val="00913795"/>
    <w:rsid w:val="00914195"/>
    <w:rsid w:val="009149CD"/>
    <w:rsid w:val="00914F16"/>
    <w:rsid w:val="00915A79"/>
    <w:rsid w:val="00916A29"/>
    <w:rsid w:val="009173D1"/>
    <w:rsid w:val="00920995"/>
    <w:rsid w:val="0092148B"/>
    <w:rsid w:val="00922831"/>
    <w:rsid w:val="00922949"/>
    <w:rsid w:val="009230DE"/>
    <w:rsid w:val="009235F5"/>
    <w:rsid w:val="00924323"/>
    <w:rsid w:val="00924765"/>
    <w:rsid w:val="00924A20"/>
    <w:rsid w:val="00925565"/>
    <w:rsid w:val="00925C1B"/>
    <w:rsid w:val="00927E0E"/>
    <w:rsid w:val="009314FD"/>
    <w:rsid w:val="00931DC6"/>
    <w:rsid w:val="00932306"/>
    <w:rsid w:val="00934424"/>
    <w:rsid w:val="00935278"/>
    <w:rsid w:val="00935540"/>
    <w:rsid w:val="0093571D"/>
    <w:rsid w:val="009379B5"/>
    <w:rsid w:val="009412E7"/>
    <w:rsid w:val="00941709"/>
    <w:rsid w:val="00942461"/>
    <w:rsid w:val="0094287E"/>
    <w:rsid w:val="00943FCB"/>
    <w:rsid w:val="00944396"/>
    <w:rsid w:val="009449B1"/>
    <w:rsid w:val="00944E9D"/>
    <w:rsid w:val="0094514E"/>
    <w:rsid w:val="009469FA"/>
    <w:rsid w:val="00947178"/>
    <w:rsid w:val="0095114A"/>
    <w:rsid w:val="0095131B"/>
    <w:rsid w:val="00951675"/>
    <w:rsid w:val="00951C0A"/>
    <w:rsid w:val="0095254D"/>
    <w:rsid w:val="00956598"/>
    <w:rsid w:val="009600DC"/>
    <w:rsid w:val="009608DA"/>
    <w:rsid w:val="0096189F"/>
    <w:rsid w:val="00962477"/>
    <w:rsid w:val="0096250B"/>
    <w:rsid w:val="00965012"/>
    <w:rsid w:val="00965A89"/>
    <w:rsid w:val="0096628B"/>
    <w:rsid w:val="00966D03"/>
    <w:rsid w:val="00966F88"/>
    <w:rsid w:val="00967195"/>
    <w:rsid w:val="00967E87"/>
    <w:rsid w:val="009705D8"/>
    <w:rsid w:val="009707FA"/>
    <w:rsid w:val="00971E42"/>
    <w:rsid w:val="009723DD"/>
    <w:rsid w:val="00972CB6"/>
    <w:rsid w:val="00972D50"/>
    <w:rsid w:val="0097610C"/>
    <w:rsid w:val="00977024"/>
    <w:rsid w:val="009779B2"/>
    <w:rsid w:val="00980264"/>
    <w:rsid w:val="0098155D"/>
    <w:rsid w:val="009817FF"/>
    <w:rsid w:val="00982AF1"/>
    <w:rsid w:val="00983CAA"/>
    <w:rsid w:val="00984E1C"/>
    <w:rsid w:val="00984E3B"/>
    <w:rsid w:val="00984E80"/>
    <w:rsid w:val="009853FE"/>
    <w:rsid w:val="00985462"/>
    <w:rsid w:val="00986AAE"/>
    <w:rsid w:val="00987829"/>
    <w:rsid w:val="009925F2"/>
    <w:rsid w:val="00992728"/>
    <w:rsid w:val="00994A0C"/>
    <w:rsid w:val="009A14EC"/>
    <w:rsid w:val="009A1595"/>
    <w:rsid w:val="009A1D24"/>
    <w:rsid w:val="009A2A21"/>
    <w:rsid w:val="009A2A5C"/>
    <w:rsid w:val="009A3604"/>
    <w:rsid w:val="009A3BAA"/>
    <w:rsid w:val="009A3CFF"/>
    <w:rsid w:val="009A4014"/>
    <w:rsid w:val="009A676F"/>
    <w:rsid w:val="009A7114"/>
    <w:rsid w:val="009B0080"/>
    <w:rsid w:val="009B11BA"/>
    <w:rsid w:val="009B1CF6"/>
    <w:rsid w:val="009B1DD1"/>
    <w:rsid w:val="009B2149"/>
    <w:rsid w:val="009B2595"/>
    <w:rsid w:val="009B3252"/>
    <w:rsid w:val="009B4718"/>
    <w:rsid w:val="009B6A2E"/>
    <w:rsid w:val="009B71CF"/>
    <w:rsid w:val="009B75B8"/>
    <w:rsid w:val="009B7B1C"/>
    <w:rsid w:val="009C07EB"/>
    <w:rsid w:val="009C1260"/>
    <w:rsid w:val="009C16BC"/>
    <w:rsid w:val="009C3916"/>
    <w:rsid w:val="009C392B"/>
    <w:rsid w:val="009C5453"/>
    <w:rsid w:val="009C6EB4"/>
    <w:rsid w:val="009C7275"/>
    <w:rsid w:val="009C74F5"/>
    <w:rsid w:val="009C7BA2"/>
    <w:rsid w:val="009C7E98"/>
    <w:rsid w:val="009D2150"/>
    <w:rsid w:val="009D5C45"/>
    <w:rsid w:val="009D6932"/>
    <w:rsid w:val="009E0168"/>
    <w:rsid w:val="009E0E2C"/>
    <w:rsid w:val="009E118A"/>
    <w:rsid w:val="009E2FF3"/>
    <w:rsid w:val="009E3656"/>
    <w:rsid w:val="009E3F77"/>
    <w:rsid w:val="009E56E8"/>
    <w:rsid w:val="009E5931"/>
    <w:rsid w:val="009E5BB5"/>
    <w:rsid w:val="009E5E41"/>
    <w:rsid w:val="009E6908"/>
    <w:rsid w:val="009E6DCC"/>
    <w:rsid w:val="009F0E3D"/>
    <w:rsid w:val="009F184C"/>
    <w:rsid w:val="009F2AA0"/>
    <w:rsid w:val="009F3A98"/>
    <w:rsid w:val="009F652D"/>
    <w:rsid w:val="009F6E95"/>
    <w:rsid w:val="009F6F5B"/>
    <w:rsid w:val="009F79B7"/>
    <w:rsid w:val="009F7EB6"/>
    <w:rsid w:val="00A004EA"/>
    <w:rsid w:val="00A01BDE"/>
    <w:rsid w:val="00A01C4F"/>
    <w:rsid w:val="00A01D16"/>
    <w:rsid w:val="00A02B5C"/>
    <w:rsid w:val="00A02E53"/>
    <w:rsid w:val="00A02F34"/>
    <w:rsid w:val="00A0491B"/>
    <w:rsid w:val="00A0674D"/>
    <w:rsid w:val="00A120DE"/>
    <w:rsid w:val="00A1254F"/>
    <w:rsid w:val="00A12B5C"/>
    <w:rsid w:val="00A133C4"/>
    <w:rsid w:val="00A14C6C"/>
    <w:rsid w:val="00A159CF"/>
    <w:rsid w:val="00A166CD"/>
    <w:rsid w:val="00A16C45"/>
    <w:rsid w:val="00A16EEE"/>
    <w:rsid w:val="00A16F54"/>
    <w:rsid w:val="00A2065D"/>
    <w:rsid w:val="00A20D78"/>
    <w:rsid w:val="00A20F56"/>
    <w:rsid w:val="00A21453"/>
    <w:rsid w:val="00A218CC"/>
    <w:rsid w:val="00A21953"/>
    <w:rsid w:val="00A228C6"/>
    <w:rsid w:val="00A2318B"/>
    <w:rsid w:val="00A23B3A"/>
    <w:rsid w:val="00A243BF"/>
    <w:rsid w:val="00A24B20"/>
    <w:rsid w:val="00A27006"/>
    <w:rsid w:val="00A27BE3"/>
    <w:rsid w:val="00A30DF7"/>
    <w:rsid w:val="00A3100A"/>
    <w:rsid w:val="00A3123C"/>
    <w:rsid w:val="00A31F33"/>
    <w:rsid w:val="00A35C9A"/>
    <w:rsid w:val="00A36761"/>
    <w:rsid w:val="00A37157"/>
    <w:rsid w:val="00A371AB"/>
    <w:rsid w:val="00A37296"/>
    <w:rsid w:val="00A37C5D"/>
    <w:rsid w:val="00A419B0"/>
    <w:rsid w:val="00A44473"/>
    <w:rsid w:val="00A44855"/>
    <w:rsid w:val="00A44FC6"/>
    <w:rsid w:val="00A45EE3"/>
    <w:rsid w:val="00A46120"/>
    <w:rsid w:val="00A46218"/>
    <w:rsid w:val="00A46A2B"/>
    <w:rsid w:val="00A502E9"/>
    <w:rsid w:val="00A504E3"/>
    <w:rsid w:val="00A547F1"/>
    <w:rsid w:val="00A54C74"/>
    <w:rsid w:val="00A557F1"/>
    <w:rsid w:val="00A56C8D"/>
    <w:rsid w:val="00A56D6E"/>
    <w:rsid w:val="00A57134"/>
    <w:rsid w:val="00A572FD"/>
    <w:rsid w:val="00A61412"/>
    <w:rsid w:val="00A64408"/>
    <w:rsid w:val="00A6472D"/>
    <w:rsid w:val="00A6486B"/>
    <w:rsid w:val="00A65095"/>
    <w:rsid w:val="00A65541"/>
    <w:rsid w:val="00A65D44"/>
    <w:rsid w:val="00A65D55"/>
    <w:rsid w:val="00A670A3"/>
    <w:rsid w:val="00A67602"/>
    <w:rsid w:val="00A676D1"/>
    <w:rsid w:val="00A67AAB"/>
    <w:rsid w:val="00A67EBE"/>
    <w:rsid w:val="00A701E8"/>
    <w:rsid w:val="00A705C4"/>
    <w:rsid w:val="00A73352"/>
    <w:rsid w:val="00A76FC0"/>
    <w:rsid w:val="00A815F6"/>
    <w:rsid w:val="00A82A93"/>
    <w:rsid w:val="00A836DF"/>
    <w:rsid w:val="00A83765"/>
    <w:rsid w:val="00A83D47"/>
    <w:rsid w:val="00A85A67"/>
    <w:rsid w:val="00A865D9"/>
    <w:rsid w:val="00A9003D"/>
    <w:rsid w:val="00A90C51"/>
    <w:rsid w:val="00A92A54"/>
    <w:rsid w:val="00A92CCB"/>
    <w:rsid w:val="00A938F7"/>
    <w:rsid w:val="00A93AD4"/>
    <w:rsid w:val="00A940ED"/>
    <w:rsid w:val="00A959AE"/>
    <w:rsid w:val="00A95D5E"/>
    <w:rsid w:val="00A96DF3"/>
    <w:rsid w:val="00A9709B"/>
    <w:rsid w:val="00AA232F"/>
    <w:rsid w:val="00AA266E"/>
    <w:rsid w:val="00AA3EFA"/>
    <w:rsid w:val="00AA598C"/>
    <w:rsid w:val="00AA75A2"/>
    <w:rsid w:val="00AB0D9A"/>
    <w:rsid w:val="00AB14C5"/>
    <w:rsid w:val="00AB321E"/>
    <w:rsid w:val="00AB324D"/>
    <w:rsid w:val="00AB4299"/>
    <w:rsid w:val="00AB43EC"/>
    <w:rsid w:val="00AB4FFE"/>
    <w:rsid w:val="00AB51E9"/>
    <w:rsid w:val="00AB558A"/>
    <w:rsid w:val="00AB5C9C"/>
    <w:rsid w:val="00AB5CCD"/>
    <w:rsid w:val="00AB710D"/>
    <w:rsid w:val="00AB7C7C"/>
    <w:rsid w:val="00AC0B14"/>
    <w:rsid w:val="00AC0F5A"/>
    <w:rsid w:val="00AC2153"/>
    <w:rsid w:val="00AC285C"/>
    <w:rsid w:val="00AC2FB4"/>
    <w:rsid w:val="00AC38A4"/>
    <w:rsid w:val="00AC5935"/>
    <w:rsid w:val="00AC5AAA"/>
    <w:rsid w:val="00AC71BF"/>
    <w:rsid w:val="00AD1B88"/>
    <w:rsid w:val="00AD21AC"/>
    <w:rsid w:val="00AD24DA"/>
    <w:rsid w:val="00AD32A1"/>
    <w:rsid w:val="00AD44E6"/>
    <w:rsid w:val="00AD5098"/>
    <w:rsid w:val="00AD5129"/>
    <w:rsid w:val="00AD7EA5"/>
    <w:rsid w:val="00AE0FCA"/>
    <w:rsid w:val="00AE10D9"/>
    <w:rsid w:val="00AE2BA9"/>
    <w:rsid w:val="00AE3693"/>
    <w:rsid w:val="00AE4384"/>
    <w:rsid w:val="00AE4F93"/>
    <w:rsid w:val="00AE581F"/>
    <w:rsid w:val="00AE7357"/>
    <w:rsid w:val="00AE7D4D"/>
    <w:rsid w:val="00AF1453"/>
    <w:rsid w:val="00AF2B6E"/>
    <w:rsid w:val="00AF2DF8"/>
    <w:rsid w:val="00AF421C"/>
    <w:rsid w:val="00AF493E"/>
    <w:rsid w:val="00AF4B58"/>
    <w:rsid w:val="00AF6C09"/>
    <w:rsid w:val="00B003EF"/>
    <w:rsid w:val="00B01C85"/>
    <w:rsid w:val="00B02110"/>
    <w:rsid w:val="00B031AF"/>
    <w:rsid w:val="00B05755"/>
    <w:rsid w:val="00B059F8"/>
    <w:rsid w:val="00B07E26"/>
    <w:rsid w:val="00B13DEE"/>
    <w:rsid w:val="00B13FE4"/>
    <w:rsid w:val="00B153DE"/>
    <w:rsid w:val="00B16365"/>
    <w:rsid w:val="00B17B60"/>
    <w:rsid w:val="00B20DCE"/>
    <w:rsid w:val="00B21464"/>
    <w:rsid w:val="00B21F41"/>
    <w:rsid w:val="00B2212D"/>
    <w:rsid w:val="00B2322E"/>
    <w:rsid w:val="00B25215"/>
    <w:rsid w:val="00B25465"/>
    <w:rsid w:val="00B269A1"/>
    <w:rsid w:val="00B27019"/>
    <w:rsid w:val="00B27FE3"/>
    <w:rsid w:val="00B307FA"/>
    <w:rsid w:val="00B32293"/>
    <w:rsid w:val="00B33EAE"/>
    <w:rsid w:val="00B33FDE"/>
    <w:rsid w:val="00B406AA"/>
    <w:rsid w:val="00B40F27"/>
    <w:rsid w:val="00B413BF"/>
    <w:rsid w:val="00B425F1"/>
    <w:rsid w:val="00B4358F"/>
    <w:rsid w:val="00B43969"/>
    <w:rsid w:val="00B450BB"/>
    <w:rsid w:val="00B460B2"/>
    <w:rsid w:val="00B4756E"/>
    <w:rsid w:val="00B5075E"/>
    <w:rsid w:val="00B50EC4"/>
    <w:rsid w:val="00B5166A"/>
    <w:rsid w:val="00B532FD"/>
    <w:rsid w:val="00B54C6E"/>
    <w:rsid w:val="00B551F7"/>
    <w:rsid w:val="00B55874"/>
    <w:rsid w:val="00B56419"/>
    <w:rsid w:val="00B57066"/>
    <w:rsid w:val="00B5761D"/>
    <w:rsid w:val="00B57821"/>
    <w:rsid w:val="00B605B9"/>
    <w:rsid w:val="00B62C89"/>
    <w:rsid w:val="00B650A8"/>
    <w:rsid w:val="00B65CAF"/>
    <w:rsid w:val="00B66C37"/>
    <w:rsid w:val="00B67C32"/>
    <w:rsid w:val="00B67F7B"/>
    <w:rsid w:val="00B71064"/>
    <w:rsid w:val="00B72694"/>
    <w:rsid w:val="00B746B9"/>
    <w:rsid w:val="00B75428"/>
    <w:rsid w:val="00B7582D"/>
    <w:rsid w:val="00B761E0"/>
    <w:rsid w:val="00B7632A"/>
    <w:rsid w:val="00B769A7"/>
    <w:rsid w:val="00B76BDC"/>
    <w:rsid w:val="00B8041F"/>
    <w:rsid w:val="00B81408"/>
    <w:rsid w:val="00B817B1"/>
    <w:rsid w:val="00B81A44"/>
    <w:rsid w:val="00B82764"/>
    <w:rsid w:val="00B82EB4"/>
    <w:rsid w:val="00B832BA"/>
    <w:rsid w:val="00B8357A"/>
    <w:rsid w:val="00B852C4"/>
    <w:rsid w:val="00B8585D"/>
    <w:rsid w:val="00B859D2"/>
    <w:rsid w:val="00B87DDE"/>
    <w:rsid w:val="00B90575"/>
    <w:rsid w:val="00B908BC"/>
    <w:rsid w:val="00B9156B"/>
    <w:rsid w:val="00B9311B"/>
    <w:rsid w:val="00B95C7E"/>
    <w:rsid w:val="00B971CB"/>
    <w:rsid w:val="00BA0869"/>
    <w:rsid w:val="00BA17FA"/>
    <w:rsid w:val="00BA23FE"/>
    <w:rsid w:val="00BA3B03"/>
    <w:rsid w:val="00BA497C"/>
    <w:rsid w:val="00BA4E11"/>
    <w:rsid w:val="00BA5E8D"/>
    <w:rsid w:val="00BA6145"/>
    <w:rsid w:val="00BA637D"/>
    <w:rsid w:val="00BA7B60"/>
    <w:rsid w:val="00BA7D4D"/>
    <w:rsid w:val="00BB1FA8"/>
    <w:rsid w:val="00BB2237"/>
    <w:rsid w:val="00BB30D8"/>
    <w:rsid w:val="00BB37E8"/>
    <w:rsid w:val="00BB4C3A"/>
    <w:rsid w:val="00BB5323"/>
    <w:rsid w:val="00BB6923"/>
    <w:rsid w:val="00BC5001"/>
    <w:rsid w:val="00BC5BCB"/>
    <w:rsid w:val="00BD1B48"/>
    <w:rsid w:val="00BD22CB"/>
    <w:rsid w:val="00BD2A62"/>
    <w:rsid w:val="00BD417C"/>
    <w:rsid w:val="00BD4CC1"/>
    <w:rsid w:val="00BD5BE2"/>
    <w:rsid w:val="00BD643A"/>
    <w:rsid w:val="00BD6E03"/>
    <w:rsid w:val="00BE0552"/>
    <w:rsid w:val="00BE06E8"/>
    <w:rsid w:val="00BE3A9A"/>
    <w:rsid w:val="00BE442C"/>
    <w:rsid w:val="00BE4A95"/>
    <w:rsid w:val="00BE4DE8"/>
    <w:rsid w:val="00BE595A"/>
    <w:rsid w:val="00BE6A39"/>
    <w:rsid w:val="00BE6E04"/>
    <w:rsid w:val="00BE7318"/>
    <w:rsid w:val="00BF035C"/>
    <w:rsid w:val="00BF0871"/>
    <w:rsid w:val="00BF2641"/>
    <w:rsid w:val="00BF654A"/>
    <w:rsid w:val="00BF6FE6"/>
    <w:rsid w:val="00C00526"/>
    <w:rsid w:val="00C02A4B"/>
    <w:rsid w:val="00C03E93"/>
    <w:rsid w:val="00C04824"/>
    <w:rsid w:val="00C04865"/>
    <w:rsid w:val="00C05974"/>
    <w:rsid w:val="00C06284"/>
    <w:rsid w:val="00C07020"/>
    <w:rsid w:val="00C0794E"/>
    <w:rsid w:val="00C11C78"/>
    <w:rsid w:val="00C12413"/>
    <w:rsid w:val="00C154FE"/>
    <w:rsid w:val="00C15DCB"/>
    <w:rsid w:val="00C17BB9"/>
    <w:rsid w:val="00C2353E"/>
    <w:rsid w:val="00C24683"/>
    <w:rsid w:val="00C24F88"/>
    <w:rsid w:val="00C269CF"/>
    <w:rsid w:val="00C26A23"/>
    <w:rsid w:val="00C276E1"/>
    <w:rsid w:val="00C2783D"/>
    <w:rsid w:val="00C27F98"/>
    <w:rsid w:val="00C3237A"/>
    <w:rsid w:val="00C32725"/>
    <w:rsid w:val="00C32837"/>
    <w:rsid w:val="00C335DB"/>
    <w:rsid w:val="00C343DF"/>
    <w:rsid w:val="00C3467B"/>
    <w:rsid w:val="00C40C61"/>
    <w:rsid w:val="00C42D1C"/>
    <w:rsid w:val="00C431BC"/>
    <w:rsid w:val="00C45A4A"/>
    <w:rsid w:val="00C46B84"/>
    <w:rsid w:val="00C5052F"/>
    <w:rsid w:val="00C531CC"/>
    <w:rsid w:val="00C5440A"/>
    <w:rsid w:val="00C55130"/>
    <w:rsid w:val="00C61B54"/>
    <w:rsid w:val="00C62BA0"/>
    <w:rsid w:val="00C62D9D"/>
    <w:rsid w:val="00C6367D"/>
    <w:rsid w:val="00C66969"/>
    <w:rsid w:val="00C678DB"/>
    <w:rsid w:val="00C70070"/>
    <w:rsid w:val="00C71D9E"/>
    <w:rsid w:val="00C729F4"/>
    <w:rsid w:val="00C72DFC"/>
    <w:rsid w:val="00C72E81"/>
    <w:rsid w:val="00C7429D"/>
    <w:rsid w:val="00C7570B"/>
    <w:rsid w:val="00C7646D"/>
    <w:rsid w:val="00C768B9"/>
    <w:rsid w:val="00C77413"/>
    <w:rsid w:val="00C80697"/>
    <w:rsid w:val="00C814A5"/>
    <w:rsid w:val="00C82A19"/>
    <w:rsid w:val="00C8373E"/>
    <w:rsid w:val="00C8739A"/>
    <w:rsid w:val="00C87465"/>
    <w:rsid w:val="00C874B7"/>
    <w:rsid w:val="00C90CF5"/>
    <w:rsid w:val="00C921C9"/>
    <w:rsid w:val="00C9269D"/>
    <w:rsid w:val="00C93C23"/>
    <w:rsid w:val="00C945DC"/>
    <w:rsid w:val="00C94A75"/>
    <w:rsid w:val="00C95331"/>
    <w:rsid w:val="00C9755E"/>
    <w:rsid w:val="00CA0F55"/>
    <w:rsid w:val="00CA0FBD"/>
    <w:rsid w:val="00CA154F"/>
    <w:rsid w:val="00CA2091"/>
    <w:rsid w:val="00CA24FA"/>
    <w:rsid w:val="00CA2C28"/>
    <w:rsid w:val="00CA2EBD"/>
    <w:rsid w:val="00CA2EF9"/>
    <w:rsid w:val="00CA3EA8"/>
    <w:rsid w:val="00CA45F4"/>
    <w:rsid w:val="00CA638C"/>
    <w:rsid w:val="00CA643F"/>
    <w:rsid w:val="00CB2D31"/>
    <w:rsid w:val="00CC060F"/>
    <w:rsid w:val="00CC12FF"/>
    <w:rsid w:val="00CC261A"/>
    <w:rsid w:val="00CC2706"/>
    <w:rsid w:val="00CC2D21"/>
    <w:rsid w:val="00CC444E"/>
    <w:rsid w:val="00CC4491"/>
    <w:rsid w:val="00CC49C1"/>
    <w:rsid w:val="00CC4DF7"/>
    <w:rsid w:val="00CC658A"/>
    <w:rsid w:val="00CD212A"/>
    <w:rsid w:val="00CD48B7"/>
    <w:rsid w:val="00CD5324"/>
    <w:rsid w:val="00CE051E"/>
    <w:rsid w:val="00CE1502"/>
    <w:rsid w:val="00CE1BE2"/>
    <w:rsid w:val="00CE20B6"/>
    <w:rsid w:val="00CE294D"/>
    <w:rsid w:val="00CE45CD"/>
    <w:rsid w:val="00CE74BA"/>
    <w:rsid w:val="00CE7862"/>
    <w:rsid w:val="00CE7DE0"/>
    <w:rsid w:val="00CF1179"/>
    <w:rsid w:val="00CF1723"/>
    <w:rsid w:val="00CF54DE"/>
    <w:rsid w:val="00CF5AE8"/>
    <w:rsid w:val="00CF5ECC"/>
    <w:rsid w:val="00D005EE"/>
    <w:rsid w:val="00D00862"/>
    <w:rsid w:val="00D00F15"/>
    <w:rsid w:val="00D0153D"/>
    <w:rsid w:val="00D039DA"/>
    <w:rsid w:val="00D05B3D"/>
    <w:rsid w:val="00D0641A"/>
    <w:rsid w:val="00D06C2D"/>
    <w:rsid w:val="00D12D1E"/>
    <w:rsid w:val="00D14633"/>
    <w:rsid w:val="00D16C86"/>
    <w:rsid w:val="00D16D37"/>
    <w:rsid w:val="00D17478"/>
    <w:rsid w:val="00D17577"/>
    <w:rsid w:val="00D17C0E"/>
    <w:rsid w:val="00D20B2A"/>
    <w:rsid w:val="00D20D19"/>
    <w:rsid w:val="00D217C3"/>
    <w:rsid w:val="00D22963"/>
    <w:rsid w:val="00D23FD6"/>
    <w:rsid w:val="00D259BF"/>
    <w:rsid w:val="00D3193A"/>
    <w:rsid w:val="00D330E9"/>
    <w:rsid w:val="00D341DE"/>
    <w:rsid w:val="00D34A9F"/>
    <w:rsid w:val="00D34B45"/>
    <w:rsid w:val="00D36DEF"/>
    <w:rsid w:val="00D378C1"/>
    <w:rsid w:val="00D40204"/>
    <w:rsid w:val="00D4082E"/>
    <w:rsid w:val="00D40A77"/>
    <w:rsid w:val="00D414DC"/>
    <w:rsid w:val="00D42375"/>
    <w:rsid w:val="00D42AAE"/>
    <w:rsid w:val="00D43514"/>
    <w:rsid w:val="00D435CF"/>
    <w:rsid w:val="00D44E83"/>
    <w:rsid w:val="00D45582"/>
    <w:rsid w:val="00D45814"/>
    <w:rsid w:val="00D45BFF"/>
    <w:rsid w:val="00D47735"/>
    <w:rsid w:val="00D50180"/>
    <w:rsid w:val="00D505F8"/>
    <w:rsid w:val="00D51207"/>
    <w:rsid w:val="00D513F5"/>
    <w:rsid w:val="00D5208D"/>
    <w:rsid w:val="00D52250"/>
    <w:rsid w:val="00D538DB"/>
    <w:rsid w:val="00D5517C"/>
    <w:rsid w:val="00D55DB6"/>
    <w:rsid w:val="00D566C3"/>
    <w:rsid w:val="00D61AAB"/>
    <w:rsid w:val="00D6238B"/>
    <w:rsid w:val="00D62A9C"/>
    <w:rsid w:val="00D63AF1"/>
    <w:rsid w:val="00D63E2D"/>
    <w:rsid w:val="00D64087"/>
    <w:rsid w:val="00D664EF"/>
    <w:rsid w:val="00D711C8"/>
    <w:rsid w:val="00D71F07"/>
    <w:rsid w:val="00D72061"/>
    <w:rsid w:val="00D7288A"/>
    <w:rsid w:val="00D72DED"/>
    <w:rsid w:val="00D75DAB"/>
    <w:rsid w:val="00D760AD"/>
    <w:rsid w:val="00D7655C"/>
    <w:rsid w:val="00D76B36"/>
    <w:rsid w:val="00D77B95"/>
    <w:rsid w:val="00D825DB"/>
    <w:rsid w:val="00D8331E"/>
    <w:rsid w:val="00D84DD1"/>
    <w:rsid w:val="00D8651C"/>
    <w:rsid w:val="00D8696A"/>
    <w:rsid w:val="00D870D7"/>
    <w:rsid w:val="00D879D9"/>
    <w:rsid w:val="00D91C53"/>
    <w:rsid w:val="00D91D84"/>
    <w:rsid w:val="00D921F7"/>
    <w:rsid w:val="00D94B06"/>
    <w:rsid w:val="00D95C82"/>
    <w:rsid w:val="00D9631F"/>
    <w:rsid w:val="00DA2E47"/>
    <w:rsid w:val="00DA3191"/>
    <w:rsid w:val="00DA40FF"/>
    <w:rsid w:val="00DA5BE8"/>
    <w:rsid w:val="00DA5CBF"/>
    <w:rsid w:val="00DA5FEC"/>
    <w:rsid w:val="00DA6094"/>
    <w:rsid w:val="00DA63E3"/>
    <w:rsid w:val="00DA7319"/>
    <w:rsid w:val="00DA77CD"/>
    <w:rsid w:val="00DB0293"/>
    <w:rsid w:val="00DB0F1E"/>
    <w:rsid w:val="00DB0FB6"/>
    <w:rsid w:val="00DB106B"/>
    <w:rsid w:val="00DB264C"/>
    <w:rsid w:val="00DB5AB1"/>
    <w:rsid w:val="00DB5C5D"/>
    <w:rsid w:val="00DB75FC"/>
    <w:rsid w:val="00DC054D"/>
    <w:rsid w:val="00DC2218"/>
    <w:rsid w:val="00DC3017"/>
    <w:rsid w:val="00DC3760"/>
    <w:rsid w:val="00DC483D"/>
    <w:rsid w:val="00DC649B"/>
    <w:rsid w:val="00DC665F"/>
    <w:rsid w:val="00DC6D31"/>
    <w:rsid w:val="00DC72AF"/>
    <w:rsid w:val="00DC77B0"/>
    <w:rsid w:val="00DC7D14"/>
    <w:rsid w:val="00DD0C38"/>
    <w:rsid w:val="00DD225B"/>
    <w:rsid w:val="00DD3265"/>
    <w:rsid w:val="00DD3A2F"/>
    <w:rsid w:val="00DD470A"/>
    <w:rsid w:val="00DD4716"/>
    <w:rsid w:val="00DD587E"/>
    <w:rsid w:val="00DD6104"/>
    <w:rsid w:val="00DD613C"/>
    <w:rsid w:val="00DD66A6"/>
    <w:rsid w:val="00DD7E26"/>
    <w:rsid w:val="00DE07A7"/>
    <w:rsid w:val="00DE0C68"/>
    <w:rsid w:val="00DE1190"/>
    <w:rsid w:val="00DE154A"/>
    <w:rsid w:val="00DE164A"/>
    <w:rsid w:val="00DE311D"/>
    <w:rsid w:val="00DE48B9"/>
    <w:rsid w:val="00DE4FC6"/>
    <w:rsid w:val="00DE68D1"/>
    <w:rsid w:val="00DE7126"/>
    <w:rsid w:val="00DE7642"/>
    <w:rsid w:val="00DF04F3"/>
    <w:rsid w:val="00DF090F"/>
    <w:rsid w:val="00DF0CD5"/>
    <w:rsid w:val="00DF14CA"/>
    <w:rsid w:val="00DF1B21"/>
    <w:rsid w:val="00DF2736"/>
    <w:rsid w:val="00DF3E48"/>
    <w:rsid w:val="00DF44D7"/>
    <w:rsid w:val="00E00785"/>
    <w:rsid w:val="00E01380"/>
    <w:rsid w:val="00E0152C"/>
    <w:rsid w:val="00E01E47"/>
    <w:rsid w:val="00E0253C"/>
    <w:rsid w:val="00E02628"/>
    <w:rsid w:val="00E0263C"/>
    <w:rsid w:val="00E0268B"/>
    <w:rsid w:val="00E031D5"/>
    <w:rsid w:val="00E04A20"/>
    <w:rsid w:val="00E065DE"/>
    <w:rsid w:val="00E06837"/>
    <w:rsid w:val="00E06A4E"/>
    <w:rsid w:val="00E0728F"/>
    <w:rsid w:val="00E07AE1"/>
    <w:rsid w:val="00E1309D"/>
    <w:rsid w:val="00E1365A"/>
    <w:rsid w:val="00E14A77"/>
    <w:rsid w:val="00E14AB0"/>
    <w:rsid w:val="00E14C86"/>
    <w:rsid w:val="00E14EB5"/>
    <w:rsid w:val="00E16C36"/>
    <w:rsid w:val="00E16C7D"/>
    <w:rsid w:val="00E17E56"/>
    <w:rsid w:val="00E207ED"/>
    <w:rsid w:val="00E21C44"/>
    <w:rsid w:val="00E2299B"/>
    <w:rsid w:val="00E24D6F"/>
    <w:rsid w:val="00E26132"/>
    <w:rsid w:val="00E2630A"/>
    <w:rsid w:val="00E3059B"/>
    <w:rsid w:val="00E32061"/>
    <w:rsid w:val="00E32685"/>
    <w:rsid w:val="00E330D8"/>
    <w:rsid w:val="00E351F1"/>
    <w:rsid w:val="00E365C7"/>
    <w:rsid w:val="00E367B0"/>
    <w:rsid w:val="00E36AD0"/>
    <w:rsid w:val="00E36F4D"/>
    <w:rsid w:val="00E413D7"/>
    <w:rsid w:val="00E41704"/>
    <w:rsid w:val="00E417DA"/>
    <w:rsid w:val="00E41C81"/>
    <w:rsid w:val="00E426B3"/>
    <w:rsid w:val="00E43E02"/>
    <w:rsid w:val="00E44583"/>
    <w:rsid w:val="00E44ED3"/>
    <w:rsid w:val="00E457B3"/>
    <w:rsid w:val="00E45A78"/>
    <w:rsid w:val="00E463A1"/>
    <w:rsid w:val="00E47E38"/>
    <w:rsid w:val="00E47E69"/>
    <w:rsid w:val="00E50481"/>
    <w:rsid w:val="00E50ECC"/>
    <w:rsid w:val="00E51A3B"/>
    <w:rsid w:val="00E524BD"/>
    <w:rsid w:val="00E5282B"/>
    <w:rsid w:val="00E542AB"/>
    <w:rsid w:val="00E546F8"/>
    <w:rsid w:val="00E54822"/>
    <w:rsid w:val="00E54E7A"/>
    <w:rsid w:val="00E555C2"/>
    <w:rsid w:val="00E55780"/>
    <w:rsid w:val="00E559A8"/>
    <w:rsid w:val="00E55E61"/>
    <w:rsid w:val="00E56EAD"/>
    <w:rsid w:val="00E57B90"/>
    <w:rsid w:val="00E57F74"/>
    <w:rsid w:val="00E6034F"/>
    <w:rsid w:val="00E604A0"/>
    <w:rsid w:val="00E61A99"/>
    <w:rsid w:val="00E62362"/>
    <w:rsid w:val="00E63D2A"/>
    <w:rsid w:val="00E65155"/>
    <w:rsid w:val="00E65962"/>
    <w:rsid w:val="00E70208"/>
    <w:rsid w:val="00E70C2A"/>
    <w:rsid w:val="00E711A6"/>
    <w:rsid w:val="00E723DA"/>
    <w:rsid w:val="00E72D1E"/>
    <w:rsid w:val="00E73177"/>
    <w:rsid w:val="00E73C74"/>
    <w:rsid w:val="00E75E15"/>
    <w:rsid w:val="00E77A6F"/>
    <w:rsid w:val="00E77E53"/>
    <w:rsid w:val="00E80149"/>
    <w:rsid w:val="00E801B4"/>
    <w:rsid w:val="00E80E77"/>
    <w:rsid w:val="00E83284"/>
    <w:rsid w:val="00E83E3E"/>
    <w:rsid w:val="00E843BB"/>
    <w:rsid w:val="00E8442F"/>
    <w:rsid w:val="00E8473C"/>
    <w:rsid w:val="00E86DD2"/>
    <w:rsid w:val="00E87BE2"/>
    <w:rsid w:val="00E87CFA"/>
    <w:rsid w:val="00E9035B"/>
    <w:rsid w:val="00E909DD"/>
    <w:rsid w:val="00E91F0D"/>
    <w:rsid w:val="00E922D8"/>
    <w:rsid w:val="00E931EE"/>
    <w:rsid w:val="00E9348E"/>
    <w:rsid w:val="00E93609"/>
    <w:rsid w:val="00E94256"/>
    <w:rsid w:val="00E95E2C"/>
    <w:rsid w:val="00E96208"/>
    <w:rsid w:val="00EA1256"/>
    <w:rsid w:val="00EA2256"/>
    <w:rsid w:val="00EA2D29"/>
    <w:rsid w:val="00EA540A"/>
    <w:rsid w:val="00EB1CD9"/>
    <w:rsid w:val="00EB3DC6"/>
    <w:rsid w:val="00EB4D8F"/>
    <w:rsid w:val="00EB62E1"/>
    <w:rsid w:val="00EB6521"/>
    <w:rsid w:val="00EB78CB"/>
    <w:rsid w:val="00EC0645"/>
    <w:rsid w:val="00EC4C3F"/>
    <w:rsid w:val="00EC5053"/>
    <w:rsid w:val="00EC657A"/>
    <w:rsid w:val="00EC7464"/>
    <w:rsid w:val="00EC7873"/>
    <w:rsid w:val="00EC7F9A"/>
    <w:rsid w:val="00ED02C4"/>
    <w:rsid w:val="00ED1F11"/>
    <w:rsid w:val="00ED2919"/>
    <w:rsid w:val="00ED2C7F"/>
    <w:rsid w:val="00ED3117"/>
    <w:rsid w:val="00ED3252"/>
    <w:rsid w:val="00ED32E0"/>
    <w:rsid w:val="00ED3A7A"/>
    <w:rsid w:val="00ED3D9B"/>
    <w:rsid w:val="00ED49E5"/>
    <w:rsid w:val="00ED5671"/>
    <w:rsid w:val="00ED6959"/>
    <w:rsid w:val="00ED6D0D"/>
    <w:rsid w:val="00ED6E91"/>
    <w:rsid w:val="00ED7885"/>
    <w:rsid w:val="00EE08DF"/>
    <w:rsid w:val="00EE0E15"/>
    <w:rsid w:val="00EE13CF"/>
    <w:rsid w:val="00EE270F"/>
    <w:rsid w:val="00EE2E12"/>
    <w:rsid w:val="00EE2EFE"/>
    <w:rsid w:val="00EE35DF"/>
    <w:rsid w:val="00EE60F9"/>
    <w:rsid w:val="00EE683A"/>
    <w:rsid w:val="00EE76E4"/>
    <w:rsid w:val="00EF0826"/>
    <w:rsid w:val="00EF259D"/>
    <w:rsid w:val="00EF25DD"/>
    <w:rsid w:val="00EF2BF8"/>
    <w:rsid w:val="00EF3765"/>
    <w:rsid w:val="00EF3CE8"/>
    <w:rsid w:val="00EF7604"/>
    <w:rsid w:val="00F00EF1"/>
    <w:rsid w:val="00F016EA"/>
    <w:rsid w:val="00F022BC"/>
    <w:rsid w:val="00F02F29"/>
    <w:rsid w:val="00F03E10"/>
    <w:rsid w:val="00F0456A"/>
    <w:rsid w:val="00F048F9"/>
    <w:rsid w:val="00F056DD"/>
    <w:rsid w:val="00F061EF"/>
    <w:rsid w:val="00F130F7"/>
    <w:rsid w:val="00F13EEE"/>
    <w:rsid w:val="00F14F0A"/>
    <w:rsid w:val="00F151AC"/>
    <w:rsid w:val="00F152A2"/>
    <w:rsid w:val="00F1539F"/>
    <w:rsid w:val="00F16782"/>
    <w:rsid w:val="00F16CD0"/>
    <w:rsid w:val="00F2008B"/>
    <w:rsid w:val="00F201B0"/>
    <w:rsid w:val="00F2056B"/>
    <w:rsid w:val="00F2206E"/>
    <w:rsid w:val="00F22FA5"/>
    <w:rsid w:val="00F24172"/>
    <w:rsid w:val="00F306D5"/>
    <w:rsid w:val="00F30EA7"/>
    <w:rsid w:val="00F316BC"/>
    <w:rsid w:val="00F31A50"/>
    <w:rsid w:val="00F31EBD"/>
    <w:rsid w:val="00F33188"/>
    <w:rsid w:val="00F350F0"/>
    <w:rsid w:val="00F36566"/>
    <w:rsid w:val="00F37908"/>
    <w:rsid w:val="00F40C39"/>
    <w:rsid w:val="00F43558"/>
    <w:rsid w:val="00F44267"/>
    <w:rsid w:val="00F47C24"/>
    <w:rsid w:val="00F47C8B"/>
    <w:rsid w:val="00F50A96"/>
    <w:rsid w:val="00F51C49"/>
    <w:rsid w:val="00F52E06"/>
    <w:rsid w:val="00F5304B"/>
    <w:rsid w:val="00F53C20"/>
    <w:rsid w:val="00F53CB6"/>
    <w:rsid w:val="00F553E2"/>
    <w:rsid w:val="00F56DC7"/>
    <w:rsid w:val="00F56F04"/>
    <w:rsid w:val="00F57F69"/>
    <w:rsid w:val="00F601E6"/>
    <w:rsid w:val="00F60DDC"/>
    <w:rsid w:val="00F60ED4"/>
    <w:rsid w:val="00F63223"/>
    <w:rsid w:val="00F63811"/>
    <w:rsid w:val="00F63FE8"/>
    <w:rsid w:val="00F66263"/>
    <w:rsid w:val="00F667A3"/>
    <w:rsid w:val="00F6750D"/>
    <w:rsid w:val="00F70029"/>
    <w:rsid w:val="00F70C40"/>
    <w:rsid w:val="00F70EA7"/>
    <w:rsid w:val="00F71B23"/>
    <w:rsid w:val="00F71B63"/>
    <w:rsid w:val="00F71D99"/>
    <w:rsid w:val="00F73A42"/>
    <w:rsid w:val="00F74FA1"/>
    <w:rsid w:val="00F75418"/>
    <w:rsid w:val="00F77BFB"/>
    <w:rsid w:val="00F81B27"/>
    <w:rsid w:val="00F826A5"/>
    <w:rsid w:val="00F8383B"/>
    <w:rsid w:val="00F8571F"/>
    <w:rsid w:val="00F86F59"/>
    <w:rsid w:val="00F90800"/>
    <w:rsid w:val="00F93057"/>
    <w:rsid w:val="00F94FCE"/>
    <w:rsid w:val="00F95EF3"/>
    <w:rsid w:val="00F96EA7"/>
    <w:rsid w:val="00F97081"/>
    <w:rsid w:val="00F97511"/>
    <w:rsid w:val="00F977E3"/>
    <w:rsid w:val="00F97E86"/>
    <w:rsid w:val="00FA135E"/>
    <w:rsid w:val="00FA24BE"/>
    <w:rsid w:val="00FA3040"/>
    <w:rsid w:val="00FA3324"/>
    <w:rsid w:val="00FA47A1"/>
    <w:rsid w:val="00FA5965"/>
    <w:rsid w:val="00FA71BA"/>
    <w:rsid w:val="00FA7DF4"/>
    <w:rsid w:val="00FB1D98"/>
    <w:rsid w:val="00FB32AD"/>
    <w:rsid w:val="00FB407F"/>
    <w:rsid w:val="00FB5052"/>
    <w:rsid w:val="00FB78A1"/>
    <w:rsid w:val="00FC03BA"/>
    <w:rsid w:val="00FC0490"/>
    <w:rsid w:val="00FC13C4"/>
    <w:rsid w:val="00FC1ADD"/>
    <w:rsid w:val="00FC1B78"/>
    <w:rsid w:val="00FC4CDB"/>
    <w:rsid w:val="00FC5F92"/>
    <w:rsid w:val="00FC680F"/>
    <w:rsid w:val="00FD181A"/>
    <w:rsid w:val="00FD1CDA"/>
    <w:rsid w:val="00FD2613"/>
    <w:rsid w:val="00FD2AC6"/>
    <w:rsid w:val="00FD2EE4"/>
    <w:rsid w:val="00FD2F63"/>
    <w:rsid w:val="00FD3966"/>
    <w:rsid w:val="00FD4EB9"/>
    <w:rsid w:val="00FD5455"/>
    <w:rsid w:val="00FE0A8C"/>
    <w:rsid w:val="00FE100C"/>
    <w:rsid w:val="00FE158F"/>
    <w:rsid w:val="00FE3BE8"/>
    <w:rsid w:val="00FE5E42"/>
    <w:rsid w:val="00FE6A76"/>
    <w:rsid w:val="00FE6B26"/>
    <w:rsid w:val="00FE6C20"/>
    <w:rsid w:val="00FE6D64"/>
    <w:rsid w:val="00FE75CA"/>
    <w:rsid w:val="00FF03E2"/>
    <w:rsid w:val="00FF06E4"/>
    <w:rsid w:val="00FF13DF"/>
    <w:rsid w:val="00FF15FD"/>
    <w:rsid w:val="00FF2016"/>
    <w:rsid w:val="00FF31E7"/>
    <w:rsid w:val="00FF3626"/>
    <w:rsid w:val="00FF3866"/>
    <w:rsid w:val="00FF4456"/>
    <w:rsid w:val="00FF46E0"/>
    <w:rsid w:val="00FF5D32"/>
    <w:rsid w:val="00FF5DE5"/>
    <w:rsid w:val="00FF64F8"/>
    <w:rsid w:val="00FF69E8"/>
    <w:rsid w:val="010E761A"/>
    <w:rsid w:val="0148138A"/>
    <w:rsid w:val="01A00C4B"/>
    <w:rsid w:val="01C8594E"/>
    <w:rsid w:val="02357706"/>
    <w:rsid w:val="02CB2B98"/>
    <w:rsid w:val="0348159A"/>
    <w:rsid w:val="03A53001"/>
    <w:rsid w:val="03EE23B1"/>
    <w:rsid w:val="04080957"/>
    <w:rsid w:val="040D02F9"/>
    <w:rsid w:val="045E7F8C"/>
    <w:rsid w:val="04966335"/>
    <w:rsid w:val="04B217DB"/>
    <w:rsid w:val="04F01D76"/>
    <w:rsid w:val="053E0FC8"/>
    <w:rsid w:val="059877D8"/>
    <w:rsid w:val="05B0478A"/>
    <w:rsid w:val="05DD2F3C"/>
    <w:rsid w:val="05E9646E"/>
    <w:rsid w:val="06124F1A"/>
    <w:rsid w:val="06793408"/>
    <w:rsid w:val="06C24A05"/>
    <w:rsid w:val="06E32A9B"/>
    <w:rsid w:val="06FB19E8"/>
    <w:rsid w:val="07BA6353"/>
    <w:rsid w:val="07F00E13"/>
    <w:rsid w:val="081278A6"/>
    <w:rsid w:val="0853267A"/>
    <w:rsid w:val="085C4B23"/>
    <w:rsid w:val="08806B54"/>
    <w:rsid w:val="088371B8"/>
    <w:rsid w:val="089577DC"/>
    <w:rsid w:val="08D613F6"/>
    <w:rsid w:val="08E458C1"/>
    <w:rsid w:val="092B05A6"/>
    <w:rsid w:val="09834935"/>
    <w:rsid w:val="09A518AC"/>
    <w:rsid w:val="09CF0D36"/>
    <w:rsid w:val="09D771D4"/>
    <w:rsid w:val="09E5272E"/>
    <w:rsid w:val="09EE0DAA"/>
    <w:rsid w:val="0A2D03B2"/>
    <w:rsid w:val="0A413938"/>
    <w:rsid w:val="0A4360F3"/>
    <w:rsid w:val="0A584D51"/>
    <w:rsid w:val="0A586A4C"/>
    <w:rsid w:val="0AD93787"/>
    <w:rsid w:val="0AFD1A5B"/>
    <w:rsid w:val="0B3E5FBA"/>
    <w:rsid w:val="0B405D9A"/>
    <w:rsid w:val="0B8B03CA"/>
    <w:rsid w:val="0BD920FB"/>
    <w:rsid w:val="0BE92BE7"/>
    <w:rsid w:val="0BFD2BED"/>
    <w:rsid w:val="0C9253BD"/>
    <w:rsid w:val="0CA32463"/>
    <w:rsid w:val="0CAB04F8"/>
    <w:rsid w:val="0CBB359A"/>
    <w:rsid w:val="0CEB7F4E"/>
    <w:rsid w:val="0CF41197"/>
    <w:rsid w:val="0D2208A7"/>
    <w:rsid w:val="0D805498"/>
    <w:rsid w:val="0D884B03"/>
    <w:rsid w:val="0DA21426"/>
    <w:rsid w:val="0DCD38C9"/>
    <w:rsid w:val="0E3746E5"/>
    <w:rsid w:val="0E483C0C"/>
    <w:rsid w:val="0E5F756F"/>
    <w:rsid w:val="0E9508A9"/>
    <w:rsid w:val="0EB97618"/>
    <w:rsid w:val="0EBB63B5"/>
    <w:rsid w:val="0EDE3A9C"/>
    <w:rsid w:val="0F7935CE"/>
    <w:rsid w:val="0F931ED3"/>
    <w:rsid w:val="0FFE0DC0"/>
    <w:rsid w:val="10052F58"/>
    <w:rsid w:val="101C5F8A"/>
    <w:rsid w:val="102B7375"/>
    <w:rsid w:val="10380716"/>
    <w:rsid w:val="10750C5F"/>
    <w:rsid w:val="1089115C"/>
    <w:rsid w:val="10B111B1"/>
    <w:rsid w:val="10D2282C"/>
    <w:rsid w:val="10E16B8A"/>
    <w:rsid w:val="10E90583"/>
    <w:rsid w:val="10EE0F59"/>
    <w:rsid w:val="112E2296"/>
    <w:rsid w:val="113A24FC"/>
    <w:rsid w:val="11B048DC"/>
    <w:rsid w:val="12004DA9"/>
    <w:rsid w:val="12211934"/>
    <w:rsid w:val="12246727"/>
    <w:rsid w:val="12515202"/>
    <w:rsid w:val="126D7189"/>
    <w:rsid w:val="12BB6255"/>
    <w:rsid w:val="12C57F09"/>
    <w:rsid w:val="12F90856"/>
    <w:rsid w:val="1306699C"/>
    <w:rsid w:val="130D5D0A"/>
    <w:rsid w:val="131C06A6"/>
    <w:rsid w:val="13342E31"/>
    <w:rsid w:val="13A9637E"/>
    <w:rsid w:val="13BC34C5"/>
    <w:rsid w:val="140E6362"/>
    <w:rsid w:val="144767A9"/>
    <w:rsid w:val="153261B6"/>
    <w:rsid w:val="1544346D"/>
    <w:rsid w:val="15CC6B39"/>
    <w:rsid w:val="160F3AA8"/>
    <w:rsid w:val="16441A94"/>
    <w:rsid w:val="165A7D76"/>
    <w:rsid w:val="1693745A"/>
    <w:rsid w:val="16AD4E56"/>
    <w:rsid w:val="16C95B9A"/>
    <w:rsid w:val="173418E7"/>
    <w:rsid w:val="18137BAA"/>
    <w:rsid w:val="183021DA"/>
    <w:rsid w:val="183C389D"/>
    <w:rsid w:val="18502EE6"/>
    <w:rsid w:val="186014D9"/>
    <w:rsid w:val="18AA6356"/>
    <w:rsid w:val="18E04ED6"/>
    <w:rsid w:val="192D0F4A"/>
    <w:rsid w:val="194B1E11"/>
    <w:rsid w:val="195F08E7"/>
    <w:rsid w:val="199D0158"/>
    <w:rsid w:val="19FC0E6B"/>
    <w:rsid w:val="1A2C1749"/>
    <w:rsid w:val="1A442678"/>
    <w:rsid w:val="1A4D1D51"/>
    <w:rsid w:val="1AC028F3"/>
    <w:rsid w:val="1AD87250"/>
    <w:rsid w:val="1AF923D7"/>
    <w:rsid w:val="1B4A57A3"/>
    <w:rsid w:val="1B744A4E"/>
    <w:rsid w:val="1BC30450"/>
    <w:rsid w:val="1C037C38"/>
    <w:rsid w:val="1C107735"/>
    <w:rsid w:val="1C3871EB"/>
    <w:rsid w:val="1C49566C"/>
    <w:rsid w:val="1C52017C"/>
    <w:rsid w:val="1C663E4F"/>
    <w:rsid w:val="1C6A1B13"/>
    <w:rsid w:val="1C707260"/>
    <w:rsid w:val="1CBB1806"/>
    <w:rsid w:val="1CD7386C"/>
    <w:rsid w:val="1CE859A5"/>
    <w:rsid w:val="1D054BE8"/>
    <w:rsid w:val="1D0E38C1"/>
    <w:rsid w:val="1D126177"/>
    <w:rsid w:val="1D141BC3"/>
    <w:rsid w:val="1D1C0510"/>
    <w:rsid w:val="1D1C621D"/>
    <w:rsid w:val="1D376C75"/>
    <w:rsid w:val="1D550375"/>
    <w:rsid w:val="1DB46478"/>
    <w:rsid w:val="1DB714F4"/>
    <w:rsid w:val="1DE124ED"/>
    <w:rsid w:val="1E5C3F70"/>
    <w:rsid w:val="1E6C49A2"/>
    <w:rsid w:val="1E906D5F"/>
    <w:rsid w:val="1EC42658"/>
    <w:rsid w:val="1EC54527"/>
    <w:rsid w:val="1F6817B0"/>
    <w:rsid w:val="1FC61C4B"/>
    <w:rsid w:val="20F97FDF"/>
    <w:rsid w:val="21005489"/>
    <w:rsid w:val="211D0D55"/>
    <w:rsid w:val="21A640F0"/>
    <w:rsid w:val="21D6693A"/>
    <w:rsid w:val="21E9698A"/>
    <w:rsid w:val="22070E5E"/>
    <w:rsid w:val="22111363"/>
    <w:rsid w:val="226535E6"/>
    <w:rsid w:val="227E692E"/>
    <w:rsid w:val="22C42BB6"/>
    <w:rsid w:val="23072F9D"/>
    <w:rsid w:val="23C25F24"/>
    <w:rsid w:val="247D31E7"/>
    <w:rsid w:val="249E446A"/>
    <w:rsid w:val="24C90B52"/>
    <w:rsid w:val="24DB1936"/>
    <w:rsid w:val="24DD0EB0"/>
    <w:rsid w:val="250435B7"/>
    <w:rsid w:val="256E6791"/>
    <w:rsid w:val="257B2AC4"/>
    <w:rsid w:val="25990B10"/>
    <w:rsid w:val="25B736B4"/>
    <w:rsid w:val="2610579F"/>
    <w:rsid w:val="261A73D7"/>
    <w:rsid w:val="264E54F0"/>
    <w:rsid w:val="266836D7"/>
    <w:rsid w:val="26994425"/>
    <w:rsid w:val="26B56AEF"/>
    <w:rsid w:val="272E6490"/>
    <w:rsid w:val="27380D32"/>
    <w:rsid w:val="27587CB4"/>
    <w:rsid w:val="279B4DE8"/>
    <w:rsid w:val="27A54D31"/>
    <w:rsid w:val="281A4C25"/>
    <w:rsid w:val="282107A4"/>
    <w:rsid w:val="28374241"/>
    <w:rsid w:val="283E01A2"/>
    <w:rsid w:val="28C63D83"/>
    <w:rsid w:val="29564D09"/>
    <w:rsid w:val="2970453C"/>
    <w:rsid w:val="298E0D65"/>
    <w:rsid w:val="29B50C82"/>
    <w:rsid w:val="29CC4423"/>
    <w:rsid w:val="2A8660A6"/>
    <w:rsid w:val="2B1A50FF"/>
    <w:rsid w:val="2B365567"/>
    <w:rsid w:val="2B3B0A2A"/>
    <w:rsid w:val="2B5A2A2B"/>
    <w:rsid w:val="2B753570"/>
    <w:rsid w:val="2B7B6E5E"/>
    <w:rsid w:val="2B836DE4"/>
    <w:rsid w:val="2B8763D9"/>
    <w:rsid w:val="2BAF0CA7"/>
    <w:rsid w:val="2BBF792A"/>
    <w:rsid w:val="2BD54BC9"/>
    <w:rsid w:val="2BF812A4"/>
    <w:rsid w:val="2BFF288E"/>
    <w:rsid w:val="2C061EA7"/>
    <w:rsid w:val="2C1B0324"/>
    <w:rsid w:val="2C7B21C4"/>
    <w:rsid w:val="2C7C3901"/>
    <w:rsid w:val="2CA41A77"/>
    <w:rsid w:val="2CD648C1"/>
    <w:rsid w:val="2D55028C"/>
    <w:rsid w:val="2D7F155E"/>
    <w:rsid w:val="2D985462"/>
    <w:rsid w:val="2DB655E6"/>
    <w:rsid w:val="2DCC08CE"/>
    <w:rsid w:val="2DCC3E9D"/>
    <w:rsid w:val="2DFB30A4"/>
    <w:rsid w:val="2E01692D"/>
    <w:rsid w:val="2E210753"/>
    <w:rsid w:val="2E634713"/>
    <w:rsid w:val="2EEA0BD0"/>
    <w:rsid w:val="2F724F1A"/>
    <w:rsid w:val="2FC26DD9"/>
    <w:rsid w:val="2FDA339B"/>
    <w:rsid w:val="2FF320DE"/>
    <w:rsid w:val="2FF63A03"/>
    <w:rsid w:val="301B3E4A"/>
    <w:rsid w:val="302E21EB"/>
    <w:rsid w:val="30534510"/>
    <w:rsid w:val="30570ED3"/>
    <w:rsid w:val="30AA5A1A"/>
    <w:rsid w:val="30F027A5"/>
    <w:rsid w:val="310B3732"/>
    <w:rsid w:val="319C4511"/>
    <w:rsid w:val="31AD4156"/>
    <w:rsid w:val="31B82504"/>
    <w:rsid w:val="31BD3B49"/>
    <w:rsid w:val="31CE4C7F"/>
    <w:rsid w:val="323B1509"/>
    <w:rsid w:val="323E6C07"/>
    <w:rsid w:val="32B37F2E"/>
    <w:rsid w:val="32DB77EE"/>
    <w:rsid w:val="330534B1"/>
    <w:rsid w:val="330E04A6"/>
    <w:rsid w:val="33145A7B"/>
    <w:rsid w:val="33671087"/>
    <w:rsid w:val="337F71C0"/>
    <w:rsid w:val="33E0726F"/>
    <w:rsid w:val="33FA4578"/>
    <w:rsid w:val="348D433A"/>
    <w:rsid w:val="34B22A2C"/>
    <w:rsid w:val="34BA7605"/>
    <w:rsid w:val="34C87ED2"/>
    <w:rsid w:val="34E316B2"/>
    <w:rsid w:val="34ED71D7"/>
    <w:rsid w:val="35056C17"/>
    <w:rsid w:val="355C11A8"/>
    <w:rsid w:val="35AF7A0E"/>
    <w:rsid w:val="35D26856"/>
    <w:rsid w:val="35FC0887"/>
    <w:rsid w:val="36232D19"/>
    <w:rsid w:val="3656612E"/>
    <w:rsid w:val="36E43792"/>
    <w:rsid w:val="3774475F"/>
    <w:rsid w:val="380D0A0A"/>
    <w:rsid w:val="38B756A7"/>
    <w:rsid w:val="38EF3C8A"/>
    <w:rsid w:val="38F45BAD"/>
    <w:rsid w:val="394D1B49"/>
    <w:rsid w:val="399565A0"/>
    <w:rsid w:val="39A06F5D"/>
    <w:rsid w:val="39BB361E"/>
    <w:rsid w:val="3A054B51"/>
    <w:rsid w:val="3A117139"/>
    <w:rsid w:val="3A22034B"/>
    <w:rsid w:val="3A600F19"/>
    <w:rsid w:val="3A821C3E"/>
    <w:rsid w:val="3A8F59D7"/>
    <w:rsid w:val="3A9234B1"/>
    <w:rsid w:val="3B0D6799"/>
    <w:rsid w:val="3B500D82"/>
    <w:rsid w:val="3B6369BB"/>
    <w:rsid w:val="3B8272E0"/>
    <w:rsid w:val="3BC55910"/>
    <w:rsid w:val="3C790F8B"/>
    <w:rsid w:val="3D027581"/>
    <w:rsid w:val="3D25087F"/>
    <w:rsid w:val="3D803052"/>
    <w:rsid w:val="3DD16FE1"/>
    <w:rsid w:val="3DEE0024"/>
    <w:rsid w:val="3E020117"/>
    <w:rsid w:val="3E17228D"/>
    <w:rsid w:val="3E4D1686"/>
    <w:rsid w:val="3E6D69A5"/>
    <w:rsid w:val="3E7509F6"/>
    <w:rsid w:val="3E85169A"/>
    <w:rsid w:val="3ED73B8C"/>
    <w:rsid w:val="3F5B0817"/>
    <w:rsid w:val="3F800B39"/>
    <w:rsid w:val="3F9557A9"/>
    <w:rsid w:val="3F9B0D54"/>
    <w:rsid w:val="3FA30D2C"/>
    <w:rsid w:val="3FE231A3"/>
    <w:rsid w:val="3FFD6C8D"/>
    <w:rsid w:val="400F6F8B"/>
    <w:rsid w:val="40451001"/>
    <w:rsid w:val="406E054B"/>
    <w:rsid w:val="40795356"/>
    <w:rsid w:val="409B379A"/>
    <w:rsid w:val="40D043A1"/>
    <w:rsid w:val="40E90FBF"/>
    <w:rsid w:val="414720B4"/>
    <w:rsid w:val="416433DF"/>
    <w:rsid w:val="416837DB"/>
    <w:rsid w:val="41F05667"/>
    <w:rsid w:val="420200B4"/>
    <w:rsid w:val="42037C1F"/>
    <w:rsid w:val="422B6124"/>
    <w:rsid w:val="42305E77"/>
    <w:rsid w:val="4268040F"/>
    <w:rsid w:val="42BC3224"/>
    <w:rsid w:val="42C10446"/>
    <w:rsid w:val="42F37AD7"/>
    <w:rsid w:val="42F96B4D"/>
    <w:rsid w:val="432F47B6"/>
    <w:rsid w:val="43856184"/>
    <w:rsid w:val="439B0C97"/>
    <w:rsid w:val="43A67B7F"/>
    <w:rsid w:val="43B9514A"/>
    <w:rsid w:val="43D1290A"/>
    <w:rsid w:val="43F30039"/>
    <w:rsid w:val="440D70BB"/>
    <w:rsid w:val="44301C44"/>
    <w:rsid w:val="44612A97"/>
    <w:rsid w:val="44971B19"/>
    <w:rsid w:val="44B82F73"/>
    <w:rsid w:val="45074F84"/>
    <w:rsid w:val="45113D65"/>
    <w:rsid w:val="45334F27"/>
    <w:rsid w:val="4588709B"/>
    <w:rsid w:val="46044654"/>
    <w:rsid w:val="46B305C1"/>
    <w:rsid w:val="46C37BCC"/>
    <w:rsid w:val="46CC0BF2"/>
    <w:rsid w:val="46DC44E2"/>
    <w:rsid w:val="46DF5F1A"/>
    <w:rsid w:val="47230B2D"/>
    <w:rsid w:val="47280478"/>
    <w:rsid w:val="4777346C"/>
    <w:rsid w:val="477E7C82"/>
    <w:rsid w:val="47805BDA"/>
    <w:rsid w:val="479F1217"/>
    <w:rsid w:val="47B42327"/>
    <w:rsid w:val="47B6771D"/>
    <w:rsid w:val="47E67328"/>
    <w:rsid w:val="48087BBF"/>
    <w:rsid w:val="4832149E"/>
    <w:rsid w:val="48364887"/>
    <w:rsid w:val="488A2C5E"/>
    <w:rsid w:val="48E9484C"/>
    <w:rsid w:val="49D13B43"/>
    <w:rsid w:val="49F83D05"/>
    <w:rsid w:val="4A216D18"/>
    <w:rsid w:val="4A2A3E5D"/>
    <w:rsid w:val="4A716CA1"/>
    <w:rsid w:val="4A7E74B2"/>
    <w:rsid w:val="4A8133BB"/>
    <w:rsid w:val="4AE66AD0"/>
    <w:rsid w:val="4B191963"/>
    <w:rsid w:val="4B4513A2"/>
    <w:rsid w:val="4B520D24"/>
    <w:rsid w:val="4B5A7AF9"/>
    <w:rsid w:val="4C197F09"/>
    <w:rsid w:val="4C2A0C27"/>
    <w:rsid w:val="4C47771D"/>
    <w:rsid w:val="4C50158E"/>
    <w:rsid w:val="4C8838C2"/>
    <w:rsid w:val="4C8A2707"/>
    <w:rsid w:val="4C9D536F"/>
    <w:rsid w:val="4CA16C8A"/>
    <w:rsid w:val="4CA574E8"/>
    <w:rsid w:val="4CBC4AD0"/>
    <w:rsid w:val="4CED7E15"/>
    <w:rsid w:val="4CF43F0C"/>
    <w:rsid w:val="4CF52BA1"/>
    <w:rsid w:val="4D3B49ED"/>
    <w:rsid w:val="4D7035E7"/>
    <w:rsid w:val="4DA4416E"/>
    <w:rsid w:val="4DB8047D"/>
    <w:rsid w:val="4E6B0453"/>
    <w:rsid w:val="4F1654CD"/>
    <w:rsid w:val="4F6901FC"/>
    <w:rsid w:val="4FCE79DC"/>
    <w:rsid w:val="4FEB3B86"/>
    <w:rsid w:val="50297C71"/>
    <w:rsid w:val="502D2815"/>
    <w:rsid w:val="50652E20"/>
    <w:rsid w:val="50962174"/>
    <w:rsid w:val="50E43464"/>
    <w:rsid w:val="510F5BDD"/>
    <w:rsid w:val="51120152"/>
    <w:rsid w:val="51F26937"/>
    <w:rsid w:val="51FD2E5C"/>
    <w:rsid w:val="520914C1"/>
    <w:rsid w:val="52254DA7"/>
    <w:rsid w:val="523077E3"/>
    <w:rsid w:val="5249609C"/>
    <w:rsid w:val="52A62011"/>
    <w:rsid w:val="52C24A74"/>
    <w:rsid w:val="52CB084D"/>
    <w:rsid w:val="531D39DF"/>
    <w:rsid w:val="533B4F20"/>
    <w:rsid w:val="53427551"/>
    <w:rsid w:val="53F73CC7"/>
    <w:rsid w:val="542802B6"/>
    <w:rsid w:val="5439447E"/>
    <w:rsid w:val="54427E9B"/>
    <w:rsid w:val="54597D81"/>
    <w:rsid w:val="545E2A7B"/>
    <w:rsid w:val="549A5E8E"/>
    <w:rsid w:val="54A27C3C"/>
    <w:rsid w:val="54C75DAD"/>
    <w:rsid w:val="54E62C39"/>
    <w:rsid w:val="54ED3084"/>
    <w:rsid w:val="553703C2"/>
    <w:rsid w:val="556B447A"/>
    <w:rsid w:val="55B8168A"/>
    <w:rsid w:val="55E15FC1"/>
    <w:rsid w:val="560B386C"/>
    <w:rsid w:val="56106AE7"/>
    <w:rsid w:val="567103A5"/>
    <w:rsid w:val="56D71631"/>
    <w:rsid w:val="56E956A3"/>
    <w:rsid w:val="571E1BC7"/>
    <w:rsid w:val="57286189"/>
    <w:rsid w:val="57305472"/>
    <w:rsid w:val="574113CE"/>
    <w:rsid w:val="577E34BE"/>
    <w:rsid w:val="5784316A"/>
    <w:rsid w:val="57861DD5"/>
    <w:rsid w:val="57A64662"/>
    <w:rsid w:val="57A90E93"/>
    <w:rsid w:val="57DB364E"/>
    <w:rsid w:val="57F6482D"/>
    <w:rsid w:val="58143769"/>
    <w:rsid w:val="58187B45"/>
    <w:rsid w:val="582B5C4F"/>
    <w:rsid w:val="58365428"/>
    <w:rsid w:val="589C3D78"/>
    <w:rsid w:val="58B67B5B"/>
    <w:rsid w:val="59040B38"/>
    <w:rsid w:val="590D5DB9"/>
    <w:rsid w:val="5A1F7AD4"/>
    <w:rsid w:val="5A47647E"/>
    <w:rsid w:val="5A536AA1"/>
    <w:rsid w:val="5A7970AB"/>
    <w:rsid w:val="5A8100B3"/>
    <w:rsid w:val="5AF94A0C"/>
    <w:rsid w:val="5B0E1B52"/>
    <w:rsid w:val="5B5B4091"/>
    <w:rsid w:val="5B6C3221"/>
    <w:rsid w:val="5B6C32ED"/>
    <w:rsid w:val="5B7D03F1"/>
    <w:rsid w:val="5B8147BE"/>
    <w:rsid w:val="5B834092"/>
    <w:rsid w:val="5BA7720A"/>
    <w:rsid w:val="5BDB0225"/>
    <w:rsid w:val="5BEF0686"/>
    <w:rsid w:val="5BF78F3C"/>
    <w:rsid w:val="5C3F150E"/>
    <w:rsid w:val="5C8B33E9"/>
    <w:rsid w:val="5D0A5D39"/>
    <w:rsid w:val="5D1A2AA0"/>
    <w:rsid w:val="5D2414EE"/>
    <w:rsid w:val="5DBB60D0"/>
    <w:rsid w:val="5DC32CAC"/>
    <w:rsid w:val="5E604A11"/>
    <w:rsid w:val="5ECB3414"/>
    <w:rsid w:val="5F124873"/>
    <w:rsid w:val="5F461F47"/>
    <w:rsid w:val="5F516F59"/>
    <w:rsid w:val="5F662AD5"/>
    <w:rsid w:val="5F8A08F3"/>
    <w:rsid w:val="5F956183"/>
    <w:rsid w:val="5FA51708"/>
    <w:rsid w:val="5FAB51CF"/>
    <w:rsid w:val="5FAE0B89"/>
    <w:rsid w:val="5FE30B4A"/>
    <w:rsid w:val="602171F9"/>
    <w:rsid w:val="604C44D7"/>
    <w:rsid w:val="604D6AD6"/>
    <w:rsid w:val="607C3DE5"/>
    <w:rsid w:val="60807268"/>
    <w:rsid w:val="60AE0E42"/>
    <w:rsid w:val="60B56548"/>
    <w:rsid w:val="60FE44DF"/>
    <w:rsid w:val="61045C5D"/>
    <w:rsid w:val="61176764"/>
    <w:rsid w:val="613F5F46"/>
    <w:rsid w:val="61481D01"/>
    <w:rsid w:val="618958F4"/>
    <w:rsid w:val="61924D2A"/>
    <w:rsid w:val="61B84CCE"/>
    <w:rsid w:val="61B91E6D"/>
    <w:rsid w:val="61C83926"/>
    <w:rsid w:val="623C4F9B"/>
    <w:rsid w:val="624D7722"/>
    <w:rsid w:val="62711AD0"/>
    <w:rsid w:val="628A5CE5"/>
    <w:rsid w:val="62C60314"/>
    <w:rsid w:val="62F91A8C"/>
    <w:rsid w:val="63004FA6"/>
    <w:rsid w:val="633F4EB4"/>
    <w:rsid w:val="634E21F2"/>
    <w:rsid w:val="63A26D76"/>
    <w:rsid w:val="63B72C36"/>
    <w:rsid w:val="63F05B77"/>
    <w:rsid w:val="640B291E"/>
    <w:rsid w:val="641877BA"/>
    <w:rsid w:val="642264E9"/>
    <w:rsid w:val="64234E33"/>
    <w:rsid w:val="644B616E"/>
    <w:rsid w:val="644F4CCB"/>
    <w:rsid w:val="64683AB9"/>
    <w:rsid w:val="64712A08"/>
    <w:rsid w:val="648107EF"/>
    <w:rsid w:val="650B2CFA"/>
    <w:rsid w:val="65C153FF"/>
    <w:rsid w:val="65CA067E"/>
    <w:rsid w:val="65D126E2"/>
    <w:rsid w:val="660429BB"/>
    <w:rsid w:val="662154D0"/>
    <w:rsid w:val="66676EF2"/>
    <w:rsid w:val="67123F89"/>
    <w:rsid w:val="6719337E"/>
    <w:rsid w:val="671E7B00"/>
    <w:rsid w:val="675E3663"/>
    <w:rsid w:val="67782AAF"/>
    <w:rsid w:val="67852587"/>
    <w:rsid w:val="67EE0E10"/>
    <w:rsid w:val="67FB388E"/>
    <w:rsid w:val="68257D3B"/>
    <w:rsid w:val="683B4486"/>
    <w:rsid w:val="684F727E"/>
    <w:rsid w:val="68582403"/>
    <w:rsid w:val="685C21CF"/>
    <w:rsid w:val="68720E9F"/>
    <w:rsid w:val="6876653C"/>
    <w:rsid w:val="68933211"/>
    <w:rsid w:val="689E1027"/>
    <w:rsid w:val="68B576BB"/>
    <w:rsid w:val="690065E5"/>
    <w:rsid w:val="69313EBA"/>
    <w:rsid w:val="6935375E"/>
    <w:rsid w:val="69507890"/>
    <w:rsid w:val="69553A69"/>
    <w:rsid w:val="697E6529"/>
    <w:rsid w:val="69C165B3"/>
    <w:rsid w:val="69C50C88"/>
    <w:rsid w:val="69E238BC"/>
    <w:rsid w:val="6A274A7B"/>
    <w:rsid w:val="6A3A11B2"/>
    <w:rsid w:val="6A453FD0"/>
    <w:rsid w:val="6A4A4274"/>
    <w:rsid w:val="6A4C58AB"/>
    <w:rsid w:val="6A6F2362"/>
    <w:rsid w:val="6A8057C9"/>
    <w:rsid w:val="6AD641D7"/>
    <w:rsid w:val="6ADB00F6"/>
    <w:rsid w:val="6B1422EA"/>
    <w:rsid w:val="6B373BCC"/>
    <w:rsid w:val="6B5C1213"/>
    <w:rsid w:val="6B920A5F"/>
    <w:rsid w:val="6BBE3C2B"/>
    <w:rsid w:val="6C375915"/>
    <w:rsid w:val="6CB45A5B"/>
    <w:rsid w:val="6CCE680B"/>
    <w:rsid w:val="6D6C1EAA"/>
    <w:rsid w:val="6D792345"/>
    <w:rsid w:val="6DB610CF"/>
    <w:rsid w:val="6DDB6F1B"/>
    <w:rsid w:val="6DF01B62"/>
    <w:rsid w:val="6E420C40"/>
    <w:rsid w:val="6E554B74"/>
    <w:rsid w:val="6E6E44C2"/>
    <w:rsid w:val="6EDF1E29"/>
    <w:rsid w:val="6F3D725D"/>
    <w:rsid w:val="6F740D35"/>
    <w:rsid w:val="6F8D5195"/>
    <w:rsid w:val="6FBFF9C8"/>
    <w:rsid w:val="6FD22FB8"/>
    <w:rsid w:val="6FDF14B2"/>
    <w:rsid w:val="700510C2"/>
    <w:rsid w:val="70496D2C"/>
    <w:rsid w:val="705C311A"/>
    <w:rsid w:val="706C20BF"/>
    <w:rsid w:val="70A41B48"/>
    <w:rsid w:val="70D33722"/>
    <w:rsid w:val="70E356F1"/>
    <w:rsid w:val="70EB753C"/>
    <w:rsid w:val="70F83F7E"/>
    <w:rsid w:val="714E37F7"/>
    <w:rsid w:val="71553C4F"/>
    <w:rsid w:val="71B5414D"/>
    <w:rsid w:val="721B633D"/>
    <w:rsid w:val="721C5489"/>
    <w:rsid w:val="72BB7CC3"/>
    <w:rsid w:val="72CA428C"/>
    <w:rsid w:val="73115A6E"/>
    <w:rsid w:val="7329428F"/>
    <w:rsid w:val="73341315"/>
    <w:rsid w:val="73367339"/>
    <w:rsid w:val="733C28B4"/>
    <w:rsid w:val="735219A9"/>
    <w:rsid w:val="73554228"/>
    <w:rsid w:val="73717C02"/>
    <w:rsid w:val="73A3479D"/>
    <w:rsid w:val="73D378C0"/>
    <w:rsid w:val="73E52173"/>
    <w:rsid w:val="73F56263"/>
    <w:rsid w:val="74017DF2"/>
    <w:rsid w:val="74096883"/>
    <w:rsid w:val="74407D25"/>
    <w:rsid w:val="7444547F"/>
    <w:rsid w:val="744C0D86"/>
    <w:rsid w:val="745E1A23"/>
    <w:rsid w:val="747D487E"/>
    <w:rsid w:val="748F45CE"/>
    <w:rsid w:val="74A50BEC"/>
    <w:rsid w:val="74A74A3A"/>
    <w:rsid w:val="74E81EEF"/>
    <w:rsid w:val="750A160C"/>
    <w:rsid w:val="75167F3E"/>
    <w:rsid w:val="754B164F"/>
    <w:rsid w:val="75500C74"/>
    <w:rsid w:val="755700AB"/>
    <w:rsid w:val="75E550DB"/>
    <w:rsid w:val="762A2132"/>
    <w:rsid w:val="76F2297A"/>
    <w:rsid w:val="777059BB"/>
    <w:rsid w:val="78076276"/>
    <w:rsid w:val="7840058C"/>
    <w:rsid w:val="78627FF4"/>
    <w:rsid w:val="786A4BF6"/>
    <w:rsid w:val="78FF2815"/>
    <w:rsid w:val="79000210"/>
    <w:rsid w:val="793E3EE5"/>
    <w:rsid w:val="79F71A7C"/>
    <w:rsid w:val="7A037C0A"/>
    <w:rsid w:val="7A156EFB"/>
    <w:rsid w:val="7A3E03B2"/>
    <w:rsid w:val="7A5029A6"/>
    <w:rsid w:val="7A601D17"/>
    <w:rsid w:val="7A6117A1"/>
    <w:rsid w:val="7A717F7A"/>
    <w:rsid w:val="7A9E2D06"/>
    <w:rsid w:val="7AC732E4"/>
    <w:rsid w:val="7AEB1FC5"/>
    <w:rsid w:val="7AF617D5"/>
    <w:rsid w:val="7AFB7D27"/>
    <w:rsid w:val="7B667C60"/>
    <w:rsid w:val="7B876BE9"/>
    <w:rsid w:val="7BB054DB"/>
    <w:rsid w:val="7C013249"/>
    <w:rsid w:val="7C0B5372"/>
    <w:rsid w:val="7C4B14C0"/>
    <w:rsid w:val="7C5D16CF"/>
    <w:rsid w:val="7CDA7758"/>
    <w:rsid w:val="7D713F03"/>
    <w:rsid w:val="7D727F67"/>
    <w:rsid w:val="7D896528"/>
    <w:rsid w:val="7D94007E"/>
    <w:rsid w:val="7DA561D5"/>
    <w:rsid w:val="7E006BB8"/>
    <w:rsid w:val="7E727CE5"/>
    <w:rsid w:val="7E9D247D"/>
    <w:rsid w:val="7ECB1729"/>
    <w:rsid w:val="7F172932"/>
    <w:rsid w:val="7F1C3D9B"/>
    <w:rsid w:val="7F537607"/>
    <w:rsid w:val="7F986D6A"/>
    <w:rsid w:val="7FE826E9"/>
    <w:rsid w:val="7FF97B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qFormat/>
    <w:uiPriority w:val="99"/>
    <w:pPr>
      <w:keepNext/>
      <w:keepLines/>
      <w:spacing w:before="340" w:beforeLines="0" w:after="330" w:afterLines="0" w:line="576" w:lineRule="auto"/>
      <w:outlineLvl w:val="0"/>
    </w:pPr>
    <w:rPr>
      <w:b/>
      <w:kern w:val="44"/>
      <w:sz w:val="44"/>
    </w:rPr>
  </w:style>
  <w:style w:type="paragraph" w:styleId="3">
    <w:name w:val="heading 2"/>
    <w:basedOn w:val="1"/>
    <w:next w:val="1"/>
    <w:link w:val="51"/>
    <w:qFormat/>
    <w:uiPriority w:val="9"/>
    <w:pPr>
      <w:keepNext/>
      <w:keepLines/>
      <w:spacing w:before="260" w:beforeLines="0" w:after="260" w:afterLines="0" w:line="413" w:lineRule="auto"/>
      <w:outlineLvl w:val="1"/>
    </w:pPr>
    <w:rPr>
      <w:rFonts w:ascii="Arial" w:hAnsi="Arial" w:eastAsia="黑体"/>
      <w:b/>
      <w:sz w:val="32"/>
    </w:rPr>
  </w:style>
  <w:style w:type="paragraph" w:styleId="4">
    <w:name w:val="heading 3"/>
    <w:basedOn w:val="1"/>
    <w:next w:val="1"/>
    <w:link w:val="52"/>
    <w:qFormat/>
    <w:uiPriority w:val="0"/>
    <w:pPr>
      <w:spacing w:before="100" w:beforeAutospacing="1" w:after="100" w:afterAutospacing="1"/>
      <w:jc w:val="left"/>
      <w:outlineLvl w:val="2"/>
    </w:pPr>
    <w:rPr>
      <w:b/>
      <w:sz w:val="32"/>
    </w:rPr>
  </w:style>
  <w:style w:type="paragraph" w:styleId="5">
    <w:name w:val="heading 4"/>
    <w:basedOn w:val="1"/>
    <w:next w:val="1"/>
    <w:link w:val="53"/>
    <w:qFormat/>
    <w:uiPriority w:val="9"/>
    <w:pPr>
      <w:keepNext/>
      <w:keepLines/>
      <w:adjustRightInd w:val="0"/>
      <w:spacing w:before="280" w:beforeLines="0" w:after="290" w:afterLines="0" w:line="376" w:lineRule="atLeast"/>
      <w:outlineLvl w:val="3"/>
    </w:pPr>
    <w:rPr>
      <w:rFonts w:ascii="Arial" w:hAnsi="Arial" w:eastAsia="黑体"/>
      <w:b/>
      <w:kern w:val="0"/>
      <w:sz w:val="28"/>
    </w:rPr>
  </w:style>
  <w:style w:type="paragraph" w:styleId="6">
    <w:name w:val="heading 5"/>
    <w:basedOn w:val="1"/>
    <w:next w:val="1"/>
    <w:qFormat/>
    <w:uiPriority w:val="0"/>
    <w:pPr>
      <w:keepNext/>
      <w:keepLines/>
      <w:adjustRightInd w:val="0"/>
      <w:spacing w:before="280" w:beforeLines="0" w:after="290" w:afterLines="0" w:line="376" w:lineRule="atLeast"/>
      <w:outlineLvl w:val="4"/>
    </w:pPr>
    <w:rPr>
      <w:b/>
      <w:kern w:val="0"/>
      <w:sz w:val="28"/>
    </w:rPr>
  </w:style>
  <w:style w:type="paragraph" w:styleId="7">
    <w:name w:val="heading 6"/>
    <w:basedOn w:val="1"/>
    <w:next w:val="1"/>
    <w:link w:val="54"/>
    <w:qFormat/>
    <w:uiPriority w:val="0"/>
    <w:pPr>
      <w:keepNext/>
      <w:keepLines/>
      <w:adjustRightInd w:val="0"/>
      <w:spacing w:before="240" w:beforeLines="0" w:after="64" w:afterLines="0" w:line="320" w:lineRule="atLeast"/>
      <w:outlineLvl w:val="5"/>
    </w:pPr>
    <w:rPr>
      <w:rFonts w:ascii="Arial" w:hAnsi="Arial" w:eastAsia="黑体"/>
      <w:b/>
      <w:kern w:val="0"/>
      <w:sz w:val="24"/>
    </w:rPr>
  </w:style>
  <w:style w:type="paragraph" w:styleId="8">
    <w:name w:val="heading 7"/>
    <w:basedOn w:val="1"/>
    <w:next w:val="1"/>
    <w:link w:val="55"/>
    <w:qFormat/>
    <w:uiPriority w:val="0"/>
    <w:pPr>
      <w:keepNext/>
      <w:keepLines/>
      <w:adjustRightInd w:val="0"/>
      <w:spacing w:before="240" w:beforeLines="0" w:after="64" w:afterLines="0" w:line="320" w:lineRule="atLeast"/>
      <w:outlineLvl w:val="6"/>
    </w:pPr>
    <w:rPr>
      <w:b/>
      <w:kern w:val="0"/>
      <w:sz w:val="24"/>
    </w:rPr>
  </w:style>
  <w:style w:type="paragraph" w:styleId="9">
    <w:name w:val="heading 8"/>
    <w:basedOn w:val="1"/>
    <w:next w:val="1"/>
    <w:link w:val="56"/>
    <w:qFormat/>
    <w:uiPriority w:val="0"/>
    <w:pPr>
      <w:keepNext/>
      <w:keepLines/>
      <w:adjustRightInd w:val="0"/>
      <w:spacing w:before="240" w:beforeLines="0" w:after="64" w:afterLines="0" w:line="320" w:lineRule="atLeast"/>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beforeLines="0" w:after="64" w:afterLines="0" w:line="320" w:lineRule="atLeast"/>
      <w:outlineLvl w:val="8"/>
    </w:pPr>
    <w:rPr>
      <w:rFonts w:ascii="Arial" w:hAnsi="Arial" w:eastAsia="黑体"/>
      <w:kern w:val="0"/>
    </w:rPr>
  </w:style>
  <w:style w:type="character" w:default="1" w:styleId="42">
    <w:name w:val="Default Paragraph Font"/>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Normal Indent"/>
    <w:basedOn w:val="1"/>
    <w:next w:val="1"/>
    <w:qFormat/>
    <w:uiPriority w:val="0"/>
    <w:pPr>
      <w:ind w:firstLine="420"/>
    </w:pPr>
  </w:style>
  <w:style w:type="paragraph" w:styleId="13">
    <w:name w:val="Document Map"/>
    <w:basedOn w:val="1"/>
    <w:link w:val="57"/>
    <w:qFormat/>
    <w:uiPriority w:val="99"/>
    <w:pPr>
      <w:shd w:val="clear" w:color="auto" w:fill="000080"/>
    </w:pPr>
  </w:style>
  <w:style w:type="paragraph" w:styleId="14">
    <w:name w:val="annotation text"/>
    <w:basedOn w:val="1"/>
    <w:link w:val="58"/>
    <w:qFormat/>
    <w:uiPriority w:val="0"/>
    <w:pPr>
      <w:adjustRightInd w:val="0"/>
      <w:spacing w:line="360" w:lineRule="atLeast"/>
      <w:jc w:val="left"/>
      <w:textAlignment w:val="baseline"/>
    </w:pPr>
    <w:rPr>
      <w:kern w:val="0"/>
      <w:sz w:val="24"/>
    </w:rPr>
  </w:style>
  <w:style w:type="paragraph" w:styleId="15">
    <w:name w:val="Body Text 3"/>
    <w:basedOn w:val="1"/>
    <w:qFormat/>
    <w:uiPriority w:val="0"/>
    <w:pPr>
      <w:spacing w:after="120" w:afterLines="0"/>
    </w:pPr>
    <w:rPr>
      <w:sz w:val="16"/>
    </w:rPr>
  </w:style>
  <w:style w:type="paragraph" w:styleId="16">
    <w:name w:val="Body Text"/>
    <w:basedOn w:val="1"/>
    <w:next w:val="1"/>
    <w:qFormat/>
    <w:uiPriority w:val="0"/>
    <w:pPr>
      <w:spacing w:after="120" w:afterLines="0"/>
    </w:pPr>
  </w:style>
  <w:style w:type="paragraph" w:styleId="17">
    <w:name w:val="Body Text Indent"/>
    <w:basedOn w:val="1"/>
    <w:link w:val="59"/>
    <w:qFormat/>
    <w:uiPriority w:val="0"/>
    <w:pPr>
      <w:ind w:left="1083" w:leftChars="30" w:hanging="1020" w:hangingChars="425"/>
    </w:pPr>
    <w:rPr>
      <w:rFonts w:ascii="宋体" w:hAnsi="宋体"/>
      <w:sz w:val="24"/>
    </w:rPr>
  </w:style>
  <w:style w:type="paragraph" w:styleId="18">
    <w:name w:val="toc 5"/>
    <w:basedOn w:val="1"/>
    <w:next w:val="1"/>
    <w:qFormat/>
    <w:uiPriority w:val="0"/>
    <w:pPr>
      <w:ind w:left="840"/>
      <w:jc w:val="left"/>
    </w:pPr>
    <w:rPr>
      <w:sz w:val="18"/>
    </w:rPr>
  </w:style>
  <w:style w:type="paragraph" w:styleId="19">
    <w:name w:val="toc 3"/>
    <w:basedOn w:val="1"/>
    <w:next w:val="1"/>
    <w:qFormat/>
    <w:uiPriority w:val="39"/>
    <w:pPr>
      <w:ind w:left="420"/>
      <w:jc w:val="left"/>
    </w:pPr>
    <w:rPr>
      <w:i/>
      <w:sz w:val="20"/>
    </w:rPr>
  </w:style>
  <w:style w:type="paragraph" w:styleId="20">
    <w:name w:val="Plain Text"/>
    <w:basedOn w:val="1"/>
    <w:next w:val="1"/>
    <w:link w:val="60"/>
    <w:qFormat/>
    <w:uiPriority w:val="0"/>
    <w:rPr>
      <w:rFonts w:ascii="宋体" w:hAnsi="Courier New"/>
      <w:sz w:val="24"/>
    </w:rPr>
  </w:style>
  <w:style w:type="paragraph" w:styleId="21">
    <w:name w:val="toc 8"/>
    <w:basedOn w:val="1"/>
    <w:next w:val="1"/>
    <w:qFormat/>
    <w:uiPriority w:val="0"/>
    <w:pPr>
      <w:ind w:left="1470"/>
      <w:jc w:val="left"/>
    </w:pPr>
    <w:rPr>
      <w:sz w:val="18"/>
    </w:rPr>
  </w:style>
  <w:style w:type="paragraph" w:styleId="22">
    <w:name w:val="Date"/>
    <w:basedOn w:val="1"/>
    <w:next w:val="1"/>
    <w:link w:val="61"/>
    <w:qFormat/>
    <w:uiPriority w:val="99"/>
    <w:pPr>
      <w:ind w:left="100" w:leftChars="2500"/>
    </w:pPr>
    <w:rPr>
      <w:b/>
      <w:sz w:val="36"/>
    </w:rPr>
  </w:style>
  <w:style w:type="paragraph" w:styleId="23">
    <w:name w:val="Body Text Indent 2"/>
    <w:basedOn w:val="1"/>
    <w:qFormat/>
    <w:uiPriority w:val="0"/>
    <w:pPr>
      <w:spacing w:line="360" w:lineRule="auto"/>
      <w:ind w:firstLine="480" w:firstLineChars="200"/>
    </w:pPr>
    <w:rPr>
      <w:rFonts w:ascii="幼圆" w:hAnsi="宋体" w:eastAsia="幼圆"/>
      <w:color w:val="FF0000"/>
      <w:sz w:val="24"/>
    </w:rPr>
  </w:style>
  <w:style w:type="paragraph" w:styleId="24">
    <w:name w:val="Balloon Text"/>
    <w:basedOn w:val="1"/>
    <w:link w:val="62"/>
    <w:qFormat/>
    <w:uiPriority w:val="0"/>
    <w:rPr>
      <w:sz w:val="18"/>
    </w:rPr>
  </w:style>
  <w:style w:type="paragraph" w:styleId="25">
    <w:name w:val="footer"/>
    <w:basedOn w:val="1"/>
    <w:link w:val="63"/>
    <w:qFormat/>
    <w:uiPriority w:val="99"/>
    <w:pPr>
      <w:tabs>
        <w:tab w:val="center" w:pos="4153"/>
        <w:tab w:val="right" w:pos="8306"/>
      </w:tabs>
      <w:snapToGrid w:val="0"/>
      <w:jc w:val="left"/>
    </w:pPr>
    <w:rPr>
      <w:sz w:val="18"/>
    </w:rPr>
  </w:style>
  <w:style w:type="paragraph" w:styleId="26">
    <w:name w:val="header"/>
    <w:basedOn w:val="1"/>
    <w:link w:val="64"/>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27">
    <w:name w:val="toc 1"/>
    <w:basedOn w:val="1"/>
    <w:next w:val="1"/>
    <w:qFormat/>
    <w:uiPriority w:val="39"/>
    <w:pPr>
      <w:spacing w:before="120" w:beforeLines="0" w:after="120" w:afterLines="0"/>
      <w:jc w:val="left"/>
    </w:pPr>
    <w:rPr>
      <w:b/>
      <w:caps/>
      <w:sz w:val="20"/>
    </w:rPr>
  </w:style>
  <w:style w:type="paragraph" w:styleId="28">
    <w:name w:val="toc 4"/>
    <w:basedOn w:val="1"/>
    <w:next w:val="1"/>
    <w:qFormat/>
    <w:uiPriority w:val="0"/>
    <w:pPr>
      <w:ind w:left="630"/>
      <w:jc w:val="left"/>
    </w:pPr>
    <w:rPr>
      <w:sz w:val="18"/>
    </w:rPr>
  </w:style>
  <w:style w:type="paragraph" w:styleId="29">
    <w:name w:val="toc 6"/>
    <w:basedOn w:val="1"/>
    <w:next w:val="1"/>
    <w:qFormat/>
    <w:uiPriority w:val="0"/>
    <w:pPr>
      <w:ind w:left="1050"/>
      <w:jc w:val="left"/>
    </w:pPr>
    <w:rPr>
      <w:sz w:val="18"/>
    </w:rPr>
  </w:style>
  <w:style w:type="paragraph" w:styleId="30">
    <w:name w:val="Body Text Indent 3"/>
    <w:basedOn w:val="1"/>
    <w:qFormat/>
    <w:uiPriority w:val="0"/>
    <w:pPr>
      <w:spacing w:after="120" w:afterLines="0"/>
      <w:ind w:left="420" w:leftChars="200"/>
    </w:pPr>
    <w:rPr>
      <w:sz w:val="16"/>
    </w:rPr>
  </w:style>
  <w:style w:type="paragraph" w:styleId="31">
    <w:name w:val="toc 2"/>
    <w:basedOn w:val="1"/>
    <w:next w:val="1"/>
    <w:qFormat/>
    <w:uiPriority w:val="39"/>
    <w:pPr>
      <w:ind w:left="210"/>
      <w:jc w:val="left"/>
    </w:pPr>
    <w:rPr>
      <w:smallCaps/>
      <w:sz w:val="20"/>
    </w:rPr>
  </w:style>
  <w:style w:type="paragraph" w:styleId="32">
    <w:name w:val="toc 9"/>
    <w:basedOn w:val="1"/>
    <w:next w:val="1"/>
    <w:qFormat/>
    <w:uiPriority w:val="0"/>
    <w:pPr>
      <w:ind w:left="1680"/>
      <w:jc w:val="left"/>
    </w:pPr>
    <w:rPr>
      <w:sz w:val="18"/>
    </w:rPr>
  </w:style>
  <w:style w:type="paragraph" w:styleId="33">
    <w:name w:val="Body Text 2"/>
    <w:basedOn w:val="1"/>
    <w:qFormat/>
    <w:uiPriority w:val="0"/>
    <w:pPr>
      <w:spacing w:line="360" w:lineRule="auto"/>
    </w:pPr>
    <w:rPr>
      <w:rFonts w:ascii="幼圆" w:eastAsia="幼圆"/>
      <w:sz w:val="24"/>
      <w:u w:val="single"/>
    </w:rPr>
  </w:style>
  <w:style w:type="paragraph" w:styleId="34">
    <w:name w:val="HTML Preformatted"/>
    <w:basedOn w:val="1"/>
    <w:qFormat/>
    <w:uiPriority w:val="0"/>
    <w:rPr>
      <w:rFonts w:ascii="Courier New" w:hAnsi="Courier New"/>
      <w:sz w:val="20"/>
    </w:rPr>
  </w:style>
  <w:style w:type="paragraph"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36">
    <w:name w:val="index 1"/>
    <w:basedOn w:val="1"/>
    <w:next w:val="1"/>
    <w:qFormat/>
    <w:uiPriority w:val="0"/>
  </w:style>
  <w:style w:type="paragraph" w:styleId="37">
    <w:name w:val="Title"/>
    <w:basedOn w:val="1"/>
    <w:link w:val="65"/>
    <w:qFormat/>
    <w:uiPriority w:val="10"/>
    <w:pPr>
      <w:jc w:val="center"/>
    </w:pPr>
    <w:rPr>
      <w:sz w:val="30"/>
      <w:szCs w:val="24"/>
    </w:rPr>
  </w:style>
  <w:style w:type="paragraph" w:styleId="38">
    <w:name w:val="annotation subject"/>
    <w:basedOn w:val="14"/>
    <w:next w:val="14"/>
    <w:link w:val="66"/>
    <w:semiHidden/>
    <w:qFormat/>
    <w:uiPriority w:val="99"/>
    <w:pPr>
      <w:adjustRightInd/>
      <w:spacing w:line="240" w:lineRule="auto"/>
      <w:textAlignment w:val="auto"/>
    </w:pPr>
    <w:rPr>
      <w:b/>
      <w:bCs/>
      <w:kern w:val="2"/>
      <w:sz w:val="21"/>
    </w:rPr>
  </w:style>
  <w:style w:type="paragraph" w:styleId="39">
    <w:name w:val="Body Text First Indent"/>
    <w:basedOn w:val="16"/>
    <w:next w:val="1"/>
    <w:link w:val="49"/>
    <w:qFormat/>
    <w:uiPriority w:val="0"/>
    <w:pPr>
      <w:adjustRightInd w:val="0"/>
      <w:spacing w:after="0" w:afterLines="0"/>
      <w:ind w:firstLine="420"/>
      <w:jc w:val="left"/>
      <w:textAlignment w:val="baseline"/>
    </w:pPr>
    <w:rPr>
      <w:kern w:val="0"/>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rPr>
  </w:style>
  <w:style w:type="character" w:styleId="44">
    <w:name w:val="page number"/>
    <w:qFormat/>
    <w:uiPriority w:val="0"/>
  </w:style>
  <w:style w:type="character" w:styleId="45">
    <w:name w:val="FollowedHyperlink"/>
    <w:qFormat/>
    <w:uiPriority w:val="99"/>
    <w:rPr>
      <w:color w:val="000000"/>
      <w:sz w:val="18"/>
      <w:szCs w:val="18"/>
      <w:u w:val="none"/>
    </w:rPr>
  </w:style>
  <w:style w:type="character" w:styleId="46">
    <w:name w:val="Emphasis"/>
    <w:qFormat/>
    <w:uiPriority w:val="0"/>
  </w:style>
  <w:style w:type="character" w:styleId="47">
    <w:name w:val="Hyperlink"/>
    <w:qFormat/>
    <w:uiPriority w:val="99"/>
    <w:rPr>
      <w:color w:val="000000"/>
      <w:sz w:val="18"/>
      <w:szCs w:val="18"/>
      <w:u w:val="none"/>
    </w:rPr>
  </w:style>
  <w:style w:type="character" w:styleId="48">
    <w:name w:val="annotation reference"/>
    <w:qFormat/>
    <w:uiPriority w:val="99"/>
    <w:rPr>
      <w:sz w:val="21"/>
      <w:szCs w:val="21"/>
    </w:rPr>
  </w:style>
  <w:style w:type="character" w:customStyle="1" w:styleId="49">
    <w:name w:val="正文首行缩进 Char"/>
    <w:link w:val="39"/>
    <w:qFormat/>
    <w:uiPriority w:val="0"/>
    <w:rPr>
      <w:sz w:val="21"/>
    </w:rPr>
  </w:style>
  <w:style w:type="character" w:customStyle="1" w:styleId="50">
    <w:name w:val="标题 1 Char"/>
    <w:link w:val="2"/>
    <w:qFormat/>
    <w:uiPriority w:val="99"/>
    <w:rPr>
      <w:b/>
      <w:kern w:val="44"/>
      <w:sz w:val="44"/>
    </w:rPr>
  </w:style>
  <w:style w:type="character" w:customStyle="1" w:styleId="51">
    <w:name w:val="标题 2 Char"/>
    <w:link w:val="3"/>
    <w:autoRedefine/>
    <w:qFormat/>
    <w:uiPriority w:val="9"/>
    <w:rPr>
      <w:rFonts w:ascii="Arial" w:hAnsi="Arial" w:eastAsia="黑体"/>
      <w:b/>
      <w:kern w:val="2"/>
      <w:sz w:val="32"/>
    </w:rPr>
  </w:style>
  <w:style w:type="character" w:customStyle="1" w:styleId="52">
    <w:name w:val="标题 3 Char"/>
    <w:link w:val="4"/>
    <w:autoRedefine/>
    <w:qFormat/>
    <w:uiPriority w:val="0"/>
    <w:rPr>
      <w:rFonts w:eastAsia="宋体"/>
      <w:b/>
      <w:kern w:val="2"/>
      <w:sz w:val="32"/>
      <w:lang w:val="en-US" w:eastAsia="zh-CN" w:bidi="ar-SA"/>
    </w:rPr>
  </w:style>
  <w:style w:type="character" w:customStyle="1" w:styleId="53">
    <w:name w:val="标题 4 Char"/>
    <w:link w:val="5"/>
    <w:qFormat/>
    <w:uiPriority w:val="9"/>
    <w:rPr>
      <w:rFonts w:ascii="Arial" w:hAnsi="Arial" w:eastAsia="黑体"/>
      <w:b/>
      <w:sz w:val="28"/>
    </w:rPr>
  </w:style>
  <w:style w:type="character" w:customStyle="1" w:styleId="54">
    <w:name w:val="标题 6 Char"/>
    <w:link w:val="7"/>
    <w:semiHidden/>
    <w:qFormat/>
    <w:uiPriority w:val="0"/>
    <w:rPr>
      <w:rFonts w:ascii="Arial" w:hAnsi="Arial" w:eastAsia="黑体"/>
      <w:b/>
      <w:sz w:val="24"/>
      <w:lang w:val="en-US" w:eastAsia="zh-CN" w:bidi="ar-SA"/>
    </w:rPr>
  </w:style>
  <w:style w:type="character" w:customStyle="1" w:styleId="55">
    <w:name w:val="标题 7 Char"/>
    <w:link w:val="8"/>
    <w:autoRedefine/>
    <w:semiHidden/>
    <w:qFormat/>
    <w:uiPriority w:val="0"/>
    <w:rPr>
      <w:rFonts w:eastAsia="宋体"/>
      <w:b/>
      <w:sz w:val="24"/>
      <w:lang w:val="en-US" w:eastAsia="zh-CN" w:bidi="ar-SA"/>
    </w:rPr>
  </w:style>
  <w:style w:type="character" w:customStyle="1" w:styleId="56">
    <w:name w:val="标题 8 Char"/>
    <w:link w:val="9"/>
    <w:autoRedefine/>
    <w:semiHidden/>
    <w:qFormat/>
    <w:uiPriority w:val="0"/>
    <w:rPr>
      <w:rFonts w:ascii="Arial" w:hAnsi="Arial" w:eastAsia="黑体"/>
      <w:sz w:val="24"/>
      <w:lang w:val="en-US" w:eastAsia="zh-CN" w:bidi="ar-SA"/>
    </w:rPr>
  </w:style>
  <w:style w:type="character" w:customStyle="1" w:styleId="57">
    <w:name w:val="文档结构图 Char"/>
    <w:link w:val="13"/>
    <w:autoRedefine/>
    <w:qFormat/>
    <w:uiPriority w:val="99"/>
    <w:rPr>
      <w:kern w:val="2"/>
      <w:sz w:val="21"/>
      <w:shd w:val="clear" w:color="auto" w:fill="000080"/>
    </w:rPr>
  </w:style>
  <w:style w:type="character" w:customStyle="1" w:styleId="58">
    <w:name w:val="批注文字 Char1"/>
    <w:link w:val="14"/>
    <w:autoRedefine/>
    <w:qFormat/>
    <w:uiPriority w:val="0"/>
    <w:rPr>
      <w:sz w:val="24"/>
    </w:rPr>
  </w:style>
  <w:style w:type="character" w:customStyle="1" w:styleId="59">
    <w:name w:val="正文文本缩进 Char"/>
    <w:link w:val="17"/>
    <w:autoRedefine/>
    <w:qFormat/>
    <w:uiPriority w:val="0"/>
    <w:rPr>
      <w:rFonts w:ascii="宋体" w:hAnsi="宋体" w:eastAsia="宋体"/>
      <w:kern w:val="2"/>
      <w:sz w:val="24"/>
      <w:lang w:val="en-US" w:eastAsia="zh-CN" w:bidi="ar-SA"/>
    </w:rPr>
  </w:style>
  <w:style w:type="character" w:customStyle="1" w:styleId="60">
    <w:name w:val="纯文本 Char"/>
    <w:link w:val="20"/>
    <w:qFormat/>
    <w:uiPriority w:val="0"/>
    <w:rPr>
      <w:rFonts w:ascii="宋体" w:hAnsi="Courier New" w:eastAsia="宋体"/>
      <w:kern w:val="2"/>
      <w:sz w:val="24"/>
      <w:lang w:val="en-US" w:eastAsia="zh-CN" w:bidi="ar-SA"/>
    </w:rPr>
  </w:style>
  <w:style w:type="character" w:customStyle="1" w:styleId="61">
    <w:name w:val="日期 Char"/>
    <w:link w:val="22"/>
    <w:autoRedefine/>
    <w:qFormat/>
    <w:uiPriority w:val="99"/>
    <w:rPr>
      <w:b/>
      <w:kern w:val="2"/>
      <w:sz w:val="36"/>
    </w:rPr>
  </w:style>
  <w:style w:type="character" w:customStyle="1" w:styleId="62">
    <w:name w:val="批注框文本 Char"/>
    <w:link w:val="24"/>
    <w:semiHidden/>
    <w:qFormat/>
    <w:uiPriority w:val="0"/>
    <w:rPr>
      <w:rFonts w:eastAsia="宋体"/>
      <w:kern w:val="2"/>
      <w:sz w:val="18"/>
      <w:lang w:val="en-US" w:eastAsia="zh-CN" w:bidi="ar-SA"/>
    </w:rPr>
  </w:style>
  <w:style w:type="character" w:customStyle="1" w:styleId="63">
    <w:name w:val="页脚 Char"/>
    <w:link w:val="25"/>
    <w:autoRedefine/>
    <w:qFormat/>
    <w:uiPriority w:val="99"/>
    <w:rPr>
      <w:kern w:val="2"/>
      <w:sz w:val="18"/>
    </w:rPr>
  </w:style>
  <w:style w:type="character" w:customStyle="1" w:styleId="64">
    <w:name w:val="页眉 Char"/>
    <w:link w:val="26"/>
    <w:autoRedefine/>
    <w:qFormat/>
    <w:uiPriority w:val="99"/>
    <w:rPr>
      <w:sz w:val="18"/>
    </w:rPr>
  </w:style>
  <w:style w:type="character" w:customStyle="1" w:styleId="65">
    <w:name w:val="标题 Char"/>
    <w:link w:val="37"/>
    <w:qFormat/>
    <w:uiPriority w:val="10"/>
    <w:rPr>
      <w:kern w:val="2"/>
      <w:sz w:val="30"/>
      <w:szCs w:val="24"/>
    </w:rPr>
  </w:style>
  <w:style w:type="character" w:customStyle="1" w:styleId="66">
    <w:name w:val="批注主题 Char"/>
    <w:link w:val="38"/>
    <w:autoRedefine/>
    <w:semiHidden/>
    <w:qFormat/>
    <w:uiPriority w:val="99"/>
    <w:rPr>
      <w:b/>
      <w:bCs/>
      <w:kern w:val="2"/>
      <w:sz w:val="21"/>
    </w:rPr>
  </w:style>
  <w:style w:type="character" w:customStyle="1" w:styleId="67">
    <w:name w:val="biaoti"/>
    <w:autoRedefine/>
    <w:qFormat/>
    <w:uiPriority w:val="0"/>
  </w:style>
  <w:style w:type="character" w:customStyle="1" w:styleId="68">
    <w:name w:val="btn-lnk-alignl"/>
    <w:qFormat/>
    <w:uiPriority w:val="0"/>
  </w:style>
  <w:style w:type="character" w:customStyle="1" w:styleId="69">
    <w:name w:val="delivery-addr"/>
    <w:autoRedefine/>
    <w:qFormat/>
    <w:uiPriority w:val="0"/>
  </w:style>
  <w:style w:type="character" w:customStyle="1" w:styleId="70">
    <w:name w:val="qxdate"/>
    <w:autoRedefine/>
    <w:qFormat/>
    <w:uiPriority w:val="0"/>
    <w:rPr>
      <w:color w:val="333333"/>
      <w:sz w:val="18"/>
      <w:szCs w:val="18"/>
    </w:rPr>
  </w:style>
  <w:style w:type="character" w:customStyle="1" w:styleId="71">
    <w:name w:val="next3"/>
    <w:qFormat/>
    <w:uiPriority w:val="0"/>
    <w:rPr>
      <w:color w:val="888888"/>
    </w:rPr>
  </w:style>
  <w:style w:type="character" w:customStyle="1" w:styleId="72">
    <w:name w:val="para1"/>
    <w:qFormat/>
    <w:uiPriority w:val="0"/>
    <w:rPr>
      <w:rFonts w:hint="default" w:ascii="Arial" w:hAnsi="Arial"/>
      <w:sz w:val="18"/>
    </w:rPr>
  </w:style>
  <w:style w:type="character" w:customStyle="1" w:styleId="73">
    <w:name w:val="prev"/>
    <w:qFormat/>
    <w:uiPriority w:val="0"/>
    <w:rPr>
      <w:rFonts w:ascii="微软雅黑" w:hAnsi="微软雅黑" w:eastAsia="微软雅黑" w:cs="微软雅黑"/>
      <w:sz w:val="21"/>
      <w:szCs w:val="21"/>
    </w:rPr>
  </w:style>
  <w:style w:type="character" w:customStyle="1" w:styleId="74">
    <w:name w:val="unnamed3"/>
    <w:autoRedefine/>
    <w:qFormat/>
    <w:uiPriority w:val="0"/>
  </w:style>
  <w:style w:type="character" w:customStyle="1" w:styleId="75">
    <w:name w:val="caption"/>
    <w:autoRedefine/>
    <w:qFormat/>
    <w:uiPriority w:val="0"/>
  </w:style>
  <w:style w:type="character" w:customStyle="1" w:styleId="76">
    <w:name w:val="NormalCharacter"/>
    <w:qFormat/>
    <w:uiPriority w:val="0"/>
  </w:style>
  <w:style w:type="character" w:customStyle="1" w:styleId="77">
    <w:name w:val="批注文字 Char"/>
    <w:semiHidden/>
    <w:qFormat/>
    <w:uiPriority w:val="99"/>
    <w:rPr>
      <w:rFonts w:ascii="Times New Roman" w:hAnsi="Times New Roman" w:eastAsia="宋体" w:cs="Times New Roman"/>
      <w:szCs w:val="24"/>
    </w:rPr>
  </w:style>
  <w:style w:type="character" w:customStyle="1" w:styleId="78">
    <w:name w:val=" Char Char7"/>
    <w:semiHidden/>
    <w:qFormat/>
    <w:uiPriority w:val="0"/>
    <w:rPr>
      <w:rFonts w:ascii="宋体" w:hAnsi="宋体" w:eastAsia="宋体" w:cs="宋体"/>
      <w:b/>
      <w:bCs/>
      <w:sz w:val="27"/>
      <w:szCs w:val="27"/>
      <w:lang w:val="en-US" w:eastAsia="zh-CN" w:bidi="ar-SA"/>
    </w:rPr>
  </w:style>
  <w:style w:type="character" w:customStyle="1" w:styleId="79">
    <w:name w:val="文档正文 Char"/>
    <w:link w:val="80"/>
    <w:autoRedefine/>
    <w:qFormat/>
    <w:uiPriority w:val="0"/>
    <w:rPr>
      <w:rFonts w:eastAsia="宋体"/>
      <w:sz w:val="24"/>
      <w:lang w:val="en-US" w:eastAsia="zh-CN" w:bidi="ar-SA"/>
    </w:rPr>
  </w:style>
  <w:style w:type="paragraph" w:customStyle="1" w:styleId="80">
    <w:name w:val="文档正文"/>
    <w:basedOn w:val="1"/>
    <w:link w:val="79"/>
    <w:autoRedefine/>
    <w:unhideWhenUsed/>
    <w:qFormat/>
    <w:uiPriority w:val="0"/>
    <w:pPr>
      <w:widowControl/>
      <w:snapToGrid w:val="0"/>
      <w:spacing w:before="60" w:after="60" w:line="360" w:lineRule="atLeast"/>
      <w:ind w:firstLine="482"/>
      <w:jc w:val="left"/>
    </w:pPr>
    <w:rPr>
      <w:kern w:val="0"/>
      <w:sz w:val="24"/>
    </w:rPr>
  </w:style>
  <w:style w:type="character" w:customStyle="1" w:styleId="81">
    <w:name w:val="info"/>
    <w:autoRedefine/>
    <w:qFormat/>
    <w:uiPriority w:val="0"/>
  </w:style>
  <w:style w:type="character" w:customStyle="1" w:styleId="82">
    <w:name w:val="point_normal1"/>
    <w:autoRedefine/>
    <w:qFormat/>
    <w:uiPriority w:val="0"/>
    <w:rPr>
      <w:rFonts w:hint="default" w:ascii="Arial" w:hAnsi="Arial"/>
      <w:sz w:val="18"/>
    </w:rPr>
  </w:style>
  <w:style w:type="character" w:customStyle="1" w:styleId="83">
    <w:name w:val="未处理的提及"/>
    <w:unhideWhenUsed/>
    <w:qFormat/>
    <w:uiPriority w:val="99"/>
    <w:rPr>
      <w:color w:val="605E5C"/>
      <w:shd w:val="clear" w:color="auto" w:fill="E1DFDD"/>
    </w:rPr>
  </w:style>
  <w:style w:type="character" w:customStyle="1" w:styleId="84">
    <w:name w:val="redfilenumber"/>
    <w:autoRedefine/>
    <w:qFormat/>
    <w:uiPriority w:val="0"/>
    <w:rPr>
      <w:color w:val="BA2636"/>
      <w:sz w:val="18"/>
      <w:szCs w:val="18"/>
    </w:rPr>
  </w:style>
  <w:style w:type="character" w:customStyle="1" w:styleId="85">
    <w:name w:val="param-name"/>
    <w:autoRedefine/>
    <w:qFormat/>
    <w:uiPriority w:val="0"/>
  </w:style>
  <w:style w:type="character" w:customStyle="1" w:styleId="86">
    <w:name w:val="prev1"/>
    <w:qFormat/>
    <w:uiPriority w:val="0"/>
    <w:rPr>
      <w:color w:val="888888"/>
    </w:rPr>
  </w:style>
  <w:style w:type="character" w:customStyle="1" w:styleId="87">
    <w:name w:val="limit"/>
    <w:qFormat/>
    <w:uiPriority w:val="0"/>
  </w:style>
  <w:style w:type="character" w:customStyle="1" w:styleId="88">
    <w:name w:val="gjfg"/>
    <w:autoRedefine/>
    <w:qFormat/>
    <w:uiPriority w:val="0"/>
  </w:style>
  <w:style w:type="character" w:customStyle="1" w:styleId="89">
    <w:name w:val="displayarti"/>
    <w:autoRedefine/>
    <w:qFormat/>
    <w:uiPriority w:val="0"/>
    <w:rPr>
      <w:color w:val="FFFFFF"/>
      <w:shd w:val="clear" w:color="auto" w:fill="A00000"/>
    </w:rPr>
  </w:style>
  <w:style w:type="character" w:customStyle="1" w:styleId="90">
    <w:name w:val="cfdate"/>
    <w:autoRedefine/>
    <w:qFormat/>
    <w:uiPriority w:val="0"/>
    <w:rPr>
      <w:color w:val="333333"/>
      <w:sz w:val="18"/>
      <w:szCs w:val="18"/>
    </w:rPr>
  </w:style>
  <w:style w:type="character" w:customStyle="1" w:styleId="91">
    <w:name w:val="text11"/>
    <w:qFormat/>
    <w:uiPriority w:val="0"/>
    <w:rPr>
      <w:rFonts w:hint="default" w:ascii="Verdana" w:hAnsi="Verdana"/>
      <w:color w:val="000000"/>
      <w:sz w:val="18"/>
      <w:szCs w:val="18"/>
    </w:rPr>
  </w:style>
  <w:style w:type="character" w:customStyle="1" w:styleId="92">
    <w:name w:val="纯文本 Char1"/>
    <w:semiHidden/>
    <w:qFormat/>
    <w:locked/>
    <w:uiPriority w:val="0"/>
    <w:rPr>
      <w:rFonts w:ascii="宋体" w:hAnsi="Courier New" w:cs="Courier New"/>
      <w:kern w:val="2"/>
      <w:sz w:val="21"/>
      <w:szCs w:val="21"/>
    </w:rPr>
  </w:style>
  <w:style w:type="character" w:customStyle="1" w:styleId="93">
    <w:name w:val="apple-converted-space"/>
    <w:qFormat/>
    <w:uiPriority w:val="0"/>
  </w:style>
  <w:style w:type="character" w:customStyle="1" w:styleId="94">
    <w:name w:val="列出段落 Char"/>
    <w:link w:val="95"/>
    <w:qFormat/>
    <w:uiPriority w:val="34"/>
    <w:rPr>
      <w:kern w:val="2"/>
      <w:sz w:val="21"/>
    </w:rPr>
  </w:style>
  <w:style w:type="paragraph" w:styleId="95">
    <w:name w:val="List Paragraph"/>
    <w:basedOn w:val="1"/>
    <w:link w:val="94"/>
    <w:qFormat/>
    <w:uiPriority w:val="34"/>
    <w:pPr>
      <w:ind w:firstLine="420" w:firstLineChars="200"/>
    </w:pPr>
  </w:style>
  <w:style w:type="character" w:customStyle="1" w:styleId="96">
    <w:name w:val=" Char Char3"/>
    <w:autoRedefine/>
    <w:qFormat/>
    <w:uiPriority w:val="0"/>
    <w:rPr>
      <w:rFonts w:ascii="宋体" w:hAnsi="Courier New" w:eastAsia="宋体" w:cs="Courier New"/>
      <w:kern w:val="2"/>
      <w:sz w:val="21"/>
      <w:szCs w:val="21"/>
      <w:lang w:val="en-US" w:eastAsia="zh-CN" w:bidi="ar-SA"/>
    </w:rPr>
  </w:style>
  <w:style w:type="character" w:customStyle="1" w:styleId="97">
    <w:name w:val="fenyebiaoti1"/>
    <w:autoRedefine/>
    <w:qFormat/>
    <w:uiPriority w:val="0"/>
    <w:rPr>
      <w:rFonts w:hint="default" w:ascii="ˎ̥" w:hAnsi="ˎ̥"/>
      <w:sz w:val="24"/>
      <w:szCs w:val="24"/>
    </w:rPr>
  </w:style>
  <w:style w:type="character" w:customStyle="1" w:styleId="98">
    <w:name w:val="wryh12"/>
    <w:autoRedefine/>
    <w:qFormat/>
    <w:uiPriority w:val="0"/>
  </w:style>
  <w:style w:type="character" w:customStyle="1" w:styleId="99">
    <w:name w:val="表格内文字 Char"/>
    <w:link w:val="100"/>
    <w:qFormat/>
    <w:uiPriority w:val="0"/>
    <w:rPr>
      <w:kern w:val="2"/>
      <w:sz w:val="18"/>
    </w:rPr>
  </w:style>
  <w:style w:type="paragraph" w:customStyle="1" w:styleId="100">
    <w:name w:val="表格内文字"/>
    <w:basedOn w:val="1"/>
    <w:link w:val="99"/>
    <w:autoRedefine/>
    <w:qFormat/>
    <w:uiPriority w:val="0"/>
    <w:pPr>
      <w:spacing w:line="300" w:lineRule="atLeast"/>
    </w:pPr>
    <w:rPr>
      <w:sz w:val="18"/>
    </w:rPr>
  </w:style>
  <w:style w:type="character" w:customStyle="1" w:styleId="101">
    <w:name w:val="next2"/>
    <w:autoRedefine/>
    <w:qFormat/>
    <w:uiPriority w:val="0"/>
    <w:rPr>
      <w:rFonts w:hint="eastAsia" w:ascii="微软雅黑" w:hAnsi="微软雅黑" w:eastAsia="微软雅黑" w:cs="微软雅黑"/>
      <w:sz w:val="21"/>
      <w:szCs w:val="21"/>
    </w:rPr>
  </w:style>
  <w:style w:type="character" w:customStyle="1" w:styleId="102">
    <w:name w:val="redfilefwwh"/>
    <w:autoRedefine/>
    <w:qFormat/>
    <w:uiPriority w:val="0"/>
    <w:rPr>
      <w:color w:val="BA2636"/>
      <w:sz w:val="18"/>
      <w:szCs w:val="18"/>
    </w:rPr>
  </w:style>
  <w:style w:type="character" w:customStyle="1" w:styleId="103">
    <w:name w:val="last"/>
    <w:autoRedefine/>
    <w:qFormat/>
    <w:uiPriority w:val="0"/>
  </w:style>
  <w:style w:type="character" w:customStyle="1" w:styleId="104">
    <w:name w:val="title_emph1"/>
    <w:qFormat/>
    <w:uiPriority w:val="0"/>
    <w:rPr>
      <w:rFonts w:hint="default" w:ascii="Arial" w:hAnsi="Arial"/>
      <w:b/>
      <w:sz w:val="18"/>
    </w:rPr>
  </w:style>
  <w:style w:type="paragraph" w:customStyle="1" w:styleId="105">
    <w:name w:val="列出段落2"/>
    <w:basedOn w:val="1"/>
    <w:qFormat/>
    <w:uiPriority w:val="34"/>
    <w:pPr>
      <w:ind w:firstLine="420" w:firstLineChars="200"/>
    </w:pPr>
  </w:style>
  <w:style w:type="paragraph" w:customStyle="1" w:styleId="106">
    <w:name w:val=" Char1"/>
    <w:basedOn w:val="1"/>
    <w:autoRedefine/>
    <w:qFormat/>
    <w:uiPriority w:val="0"/>
  </w:style>
  <w:style w:type="paragraph" w:customStyle="1" w:styleId="1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08">
    <w:name w:val="delivery-detai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9">
    <w:name w:val="二级条标题"/>
    <w:basedOn w:val="1"/>
    <w:next w:val="110"/>
    <w:autoRedefine/>
    <w:qFormat/>
    <w:uiPriority w:val="0"/>
    <w:pPr>
      <w:widowControl/>
      <w:spacing w:before="50" w:after="50"/>
      <w:jc w:val="left"/>
      <w:outlineLvl w:val="3"/>
    </w:pPr>
    <w:rPr>
      <w:rFonts w:ascii="黑体" w:hAnsi="Times New Roman" w:eastAsia="黑体" w:cs="Times New Roman"/>
      <w:kern w:val="0"/>
      <w:sz w:val="20"/>
      <w:szCs w:val="24"/>
    </w:rPr>
  </w:style>
  <w:style w:type="paragraph" w:customStyle="1" w:styleId="11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12">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14">
    <w:name w:val="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15">
    <w:name w:val="三级条标题"/>
    <w:basedOn w:val="109"/>
    <w:next w:val="110"/>
    <w:autoRedefine/>
    <w:qFormat/>
    <w:uiPriority w:val="0"/>
    <w:pPr>
      <w:outlineLvl w:val="4"/>
    </w:pPr>
  </w:style>
  <w:style w:type="paragraph" w:customStyle="1" w:styleId="116">
    <w:name w:val="_Style 131"/>
    <w:basedOn w:val="13"/>
    <w:autoRedefine/>
    <w:qFormat/>
    <w:uiPriority w:val="0"/>
    <w:rPr>
      <w:rFonts w:ascii="Tahoma" w:hAnsi="Tahoma"/>
      <w:sz w:val="24"/>
      <w:szCs w:val="24"/>
    </w:rPr>
  </w:style>
  <w:style w:type="paragraph" w:customStyle="1" w:styleId="117">
    <w:name w:val="我的征文"/>
    <w:basedOn w:val="1"/>
    <w:autoRedefine/>
    <w:qFormat/>
    <w:uiPriority w:val="0"/>
    <w:pPr>
      <w:tabs>
        <w:tab w:val="left" w:pos="851"/>
      </w:tabs>
      <w:spacing w:before="360" w:beforeLines="0" w:after="360" w:afterLines="0"/>
      <w:ind w:left="851" w:right="113" w:hanging="851"/>
    </w:pPr>
  </w:style>
  <w:style w:type="paragraph" w:customStyle="1" w:styleId="118">
    <w:name w:val="5"/>
    <w:basedOn w:val="1"/>
    <w:next w:val="20"/>
    <w:qFormat/>
    <w:uiPriority w:val="0"/>
    <w:rPr>
      <w:rFonts w:ascii="宋体" w:hAnsi="Courier New"/>
    </w:rPr>
  </w:style>
  <w:style w:type="paragraph" w:customStyle="1" w:styleId="11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0"/>
    </w:rPr>
  </w:style>
  <w:style w:type="paragraph" w:customStyle="1" w:styleId="120">
    <w:name w:val="font8"/>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1">
    <w:name w:val="unnamed1"/>
    <w:basedOn w:val="1"/>
    <w:autoRedefine/>
    <w:qFormat/>
    <w:uiPriority w:val="0"/>
    <w:pPr>
      <w:widowControl/>
      <w:spacing w:before="100" w:beforeLines="0" w:beforeAutospacing="1" w:after="100" w:afterLines="0" w:afterAutospacing="1" w:line="288" w:lineRule="auto"/>
      <w:jc w:val="left"/>
    </w:pPr>
    <w:rPr>
      <w:rFonts w:hint="eastAsia" w:ascii="宋体" w:hAnsi="宋体"/>
      <w:kern w:val="0"/>
      <w:szCs w:val="21"/>
    </w:rPr>
  </w:style>
  <w:style w:type="paragraph" w:customStyle="1" w:styleId="122">
    <w:name w:val="p0"/>
    <w:basedOn w:val="1"/>
    <w:autoRedefine/>
    <w:qFormat/>
    <w:uiPriority w:val="0"/>
    <w:pPr>
      <w:widowControl/>
    </w:pPr>
    <w:rPr>
      <w:kern w:val="0"/>
      <w:szCs w:val="21"/>
    </w:rPr>
  </w:style>
  <w:style w:type="paragraph" w:customStyle="1" w:styleId="123">
    <w:name w:val="xl63"/>
    <w:basedOn w:val="1"/>
    <w:qFormat/>
    <w:uiPriority w:val="0"/>
    <w:pPr>
      <w:widowControl/>
      <w:pBdr>
        <w:top w:val="single" w:color="auto" w:sz="4" w:space="0"/>
        <w:left w:val="double" w:color="auto" w:sz="6"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24">
    <w:name w:val="表头"/>
    <w:basedOn w:val="1"/>
    <w:autoRedefine/>
    <w:qFormat/>
    <w:uiPriority w:val="0"/>
    <w:pPr>
      <w:spacing w:before="160" w:after="60" w:line="312" w:lineRule="exact"/>
      <w:jc w:val="center"/>
    </w:pPr>
    <w:rPr>
      <w:rFonts w:ascii="EU-F1" w:hAnsi="Times New Roman" w:eastAsia="黑体" w:cs="Times New Roman"/>
      <w:szCs w:val="24"/>
    </w:rPr>
  </w:style>
  <w:style w:type="paragraph" w:customStyle="1" w:styleId="1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2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27">
    <w:name w:val=" Char Char4"/>
    <w:basedOn w:val="13"/>
    <w:autoRedefine/>
    <w:qFormat/>
    <w:uiPriority w:val="0"/>
    <w:rPr>
      <w:rFonts w:ascii="Tahoma" w:hAnsi="Tahoma"/>
      <w:sz w:val="24"/>
      <w:szCs w:val="24"/>
    </w:rPr>
  </w:style>
  <w:style w:type="paragraph" w:customStyle="1" w:styleId="128">
    <w:name w:val="font11"/>
    <w:basedOn w:val="1"/>
    <w:autoRedefine/>
    <w:qFormat/>
    <w:uiPriority w:val="0"/>
    <w:pPr>
      <w:widowControl/>
      <w:spacing w:before="100" w:beforeLines="0" w:beforeAutospacing="1" w:after="100" w:afterLines="0" w:afterAutospacing="1"/>
      <w:jc w:val="left"/>
    </w:pPr>
    <w:rPr>
      <w:kern w:val="0"/>
      <w:sz w:val="22"/>
    </w:rPr>
  </w:style>
  <w:style w:type="paragraph" w:customStyle="1" w:styleId="12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3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rPr>
  </w:style>
  <w:style w:type="paragraph" w:customStyle="1" w:styleId="132">
    <w:name w:val="xl73"/>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33">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34">
    <w:name w:val="样式2"/>
    <w:basedOn w:val="1"/>
    <w:qFormat/>
    <w:uiPriority w:val="0"/>
    <w:pPr>
      <w:widowControl/>
      <w:spacing w:line="312" w:lineRule="exact"/>
    </w:pPr>
    <w:rPr>
      <w:rFonts w:ascii="EU-F1" w:hAnsi="Times New Roman" w:eastAsia="黑体" w:cs="Times New Roman"/>
      <w:color w:val="000000"/>
      <w:kern w:val="44"/>
      <w:szCs w:val="24"/>
    </w:rPr>
  </w:style>
  <w:style w:type="paragraph" w:customStyle="1" w:styleId="135">
    <w:name w:val="font9"/>
    <w:basedOn w:val="1"/>
    <w:autoRedefine/>
    <w:qFormat/>
    <w:uiPriority w:val="0"/>
    <w:pPr>
      <w:widowControl/>
      <w:spacing w:before="100" w:beforeLines="0" w:beforeAutospacing="1" w:after="100" w:afterLines="0" w:afterAutospacing="1"/>
      <w:jc w:val="left"/>
    </w:pPr>
    <w:rPr>
      <w:rFonts w:hint="eastAsia" w:ascii="宋体" w:hAnsi="宋体"/>
      <w:b/>
      <w:kern w:val="0"/>
      <w:sz w:val="40"/>
    </w:rPr>
  </w:style>
  <w:style w:type="paragraph" w:customStyle="1" w:styleId="136">
    <w:name w:val="Char Char Char"/>
    <w:basedOn w:val="1"/>
    <w:autoRedefine/>
    <w:qFormat/>
    <w:uiPriority w:val="0"/>
    <w:pPr>
      <w:widowControl/>
      <w:spacing w:before="60" w:after="60"/>
      <w:jc w:val="left"/>
    </w:pPr>
    <w:rPr>
      <w:rFonts w:ascii="Calibri" w:hAnsi="Calibri"/>
      <w:kern w:val="0"/>
      <w:sz w:val="20"/>
      <w:szCs w:val="22"/>
      <w:lang w:val="it-IT"/>
    </w:rPr>
  </w:style>
  <w:style w:type="paragraph" w:styleId="13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xl27"/>
    <w:basedOn w:val="1"/>
    <w:autoRedefine/>
    <w:qFormat/>
    <w:uiPriority w:val="0"/>
    <w:pPr>
      <w:widowControl/>
      <w:spacing w:before="100" w:beforeLines="0" w:beforeAutospacing="1" w:after="100" w:afterLines="0" w:afterAutospacing="1"/>
      <w:jc w:val="center"/>
      <w:textAlignment w:val="center"/>
    </w:pPr>
    <w:rPr>
      <w:rFonts w:ascii="宋体" w:hAnsi="宋体"/>
      <w:kern w:val="0"/>
      <w:sz w:val="24"/>
    </w:rPr>
  </w:style>
  <w:style w:type="paragraph" w:customStyle="1" w:styleId="139">
    <w:name w:val="font7"/>
    <w:basedOn w:val="1"/>
    <w:autoRedefine/>
    <w:qFormat/>
    <w:uiPriority w:val="0"/>
    <w:pPr>
      <w:widowControl/>
      <w:spacing w:before="100" w:beforeLines="0" w:beforeAutospacing="1" w:after="100" w:afterLines="0" w:afterAutospacing="1"/>
      <w:jc w:val="left"/>
    </w:pPr>
    <w:rPr>
      <w:kern w:val="0"/>
      <w:sz w:val="24"/>
    </w:rPr>
  </w:style>
  <w:style w:type="paragraph" w:customStyle="1" w:styleId="140">
    <w:name w:val="xl68"/>
    <w:basedOn w:val="1"/>
    <w:qFormat/>
    <w:uiPriority w:val="0"/>
    <w:pPr>
      <w:widowControl/>
      <w:spacing w:before="100" w:beforeLines="0" w:beforeAutospacing="1" w:after="100" w:afterLines="0" w:afterAutospacing="1"/>
      <w:jc w:val="left"/>
      <w:textAlignment w:val="center"/>
    </w:pPr>
    <w:rPr>
      <w:rFonts w:ascii="Arial" w:hAnsi="Arial"/>
      <w:kern w:val="0"/>
      <w:sz w:val="20"/>
    </w:rPr>
  </w:style>
  <w:style w:type="paragraph" w:customStyle="1" w:styleId="14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42">
    <w:name w:val="xl8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43">
    <w:name w:val="_Style 10"/>
    <w:basedOn w:val="1"/>
    <w:autoRedefine/>
    <w:qFormat/>
    <w:uiPriority w:val="0"/>
  </w:style>
  <w:style w:type="paragraph" w:customStyle="1" w:styleId="14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Arial" w:hAnsi="Arial"/>
      <w:kern w:val="0"/>
      <w:sz w:val="22"/>
    </w:rPr>
  </w:style>
  <w:style w:type="paragraph" w:customStyle="1" w:styleId="145">
    <w:name w:val="_Style 43"/>
    <w:basedOn w:val="13"/>
    <w:qFormat/>
    <w:uiPriority w:val="0"/>
    <w:rPr>
      <w:rFonts w:ascii="Tahoma" w:hAnsi="Tahoma"/>
      <w:sz w:val="24"/>
      <w:szCs w:val="24"/>
    </w:rPr>
  </w:style>
  <w:style w:type="paragraph" w:customStyle="1" w:styleId="146">
    <w:name w:val="xl33"/>
    <w:basedOn w:val="1"/>
    <w:autoRedefine/>
    <w:qFormat/>
    <w:uiPriority w:val="0"/>
    <w:pPr>
      <w:widowControl/>
      <w:pBdr>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kern w:val="0"/>
      <w:sz w:val="20"/>
    </w:rPr>
  </w:style>
  <w:style w:type="paragraph" w:customStyle="1" w:styleId="14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49">
    <w:name w:val="xl7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0">
    <w:name w:val="1"/>
    <w:basedOn w:val="1"/>
    <w:next w:val="35"/>
    <w:autoRedefine/>
    <w:qFormat/>
    <w:uiPriority w:val="0"/>
    <w:pPr>
      <w:widowControl/>
      <w:spacing w:before="100" w:beforeAutospacing="1" w:after="100" w:afterAutospacing="1"/>
      <w:jc w:val="left"/>
    </w:pPr>
    <w:rPr>
      <w:rFonts w:ascii="宋体" w:hAnsi="宋体"/>
      <w:kern w:val="0"/>
      <w:sz w:val="24"/>
    </w:rPr>
  </w:style>
  <w:style w:type="paragraph" w:customStyle="1" w:styleId="151">
    <w:name w:val=" Char Char Char Char Char Char1 Char"/>
    <w:basedOn w:val="13"/>
    <w:qFormat/>
    <w:uiPriority w:val="0"/>
    <w:rPr>
      <w:rFonts w:ascii="Tahoma" w:hAnsi="Tahoma"/>
      <w:sz w:val="24"/>
    </w:rPr>
  </w:style>
  <w:style w:type="paragraph" w:customStyle="1" w:styleId="152">
    <w:name w:val="xl81"/>
    <w:basedOn w:val="1"/>
    <w:autoRedefine/>
    <w:qFormat/>
    <w:uiPriority w:val="0"/>
    <w:pPr>
      <w:widowControl/>
      <w:spacing w:before="100" w:beforeLines="0" w:beforeAutospacing="1" w:after="100" w:afterLines="0" w:afterAutospacing="1"/>
      <w:jc w:val="center"/>
      <w:textAlignment w:val="center"/>
    </w:pPr>
    <w:rPr>
      <w:rFonts w:ascii="宋体" w:hAnsi="宋体"/>
      <w:b/>
      <w:kern w:val="0"/>
      <w:sz w:val="44"/>
    </w:rPr>
  </w:style>
  <w:style w:type="paragraph" w:customStyle="1" w:styleId="153">
    <w:name w:val=" Char"/>
    <w:basedOn w:val="1"/>
    <w:qFormat/>
    <w:uiPriority w:val="0"/>
  </w:style>
  <w:style w:type="paragraph" w:customStyle="1" w:styleId="154">
    <w:name w:val="xl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55">
    <w:name w:val=" Char Char1 Char"/>
    <w:basedOn w:val="1"/>
    <w:autoRedefine/>
    <w:qFormat/>
    <w:uiPriority w:val="0"/>
  </w:style>
  <w:style w:type="paragraph" w:customStyle="1" w:styleId="156">
    <w:name w:val="_Style 155"/>
    <w:autoRedefine/>
    <w:unhideWhenUsed/>
    <w:qFormat/>
    <w:uiPriority w:val="99"/>
    <w:rPr>
      <w:rFonts w:ascii="Times New Roman" w:hAnsi="Times New Roman" w:eastAsia="宋体" w:cs="Times New Roman"/>
      <w:kern w:val="2"/>
      <w:sz w:val="21"/>
      <w:lang w:val="en-US" w:eastAsia="zh-CN" w:bidi="ar-SA"/>
    </w:rPr>
  </w:style>
  <w:style w:type="paragraph" w:customStyle="1" w:styleId="157">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rPr>
  </w:style>
  <w:style w:type="paragraph" w:customStyle="1" w:styleId="159">
    <w:name w:val="xl82"/>
    <w:basedOn w:val="1"/>
    <w:qFormat/>
    <w:uiPriority w:val="0"/>
    <w:pPr>
      <w:widowControl/>
      <w:spacing w:before="100" w:beforeLines="0" w:beforeAutospacing="1" w:after="100" w:afterLines="0" w:afterAutospacing="1"/>
      <w:jc w:val="center"/>
      <w:textAlignment w:val="center"/>
    </w:pPr>
    <w:rPr>
      <w:rFonts w:ascii="宋体" w:hAnsi="宋体"/>
      <w:b/>
      <w:kern w:val="0"/>
      <w:sz w:val="40"/>
    </w:rPr>
  </w:style>
  <w:style w:type="paragraph" w:customStyle="1" w:styleId="16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161">
    <w:name w:val="Char Char Char Char Char Char Char Char Char Char"/>
    <w:basedOn w:val="1"/>
    <w:qFormat/>
    <w:uiPriority w:val="0"/>
    <w:rPr>
      <w:szCs w:val="24"/>
    </w:rPr>
  </w:style>
  <w:style w:type="paragraph" w:customStyle="1" w:styleId="16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rPr>
  </w:style>
  <w:style w:type="paragraph" w:customStyle="1" w:styleId="163">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rPr>
  </w:style>
  <w:style w:type="paragraph" w:customStyle="1" w:styleId="164">
    <w:name w:val="xl39"/>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b/>
      <w:kern w:val="0"/>
      <w:sz w:val="24"/>
    </w:rPr>
  </w:style>
  <w:style w:type="paragraph" w:customStyle="1" w:styleId="165">
    <w:name w:val="xl36"/>
    <w:basedOn w:val="1"/>
    <w:autoRedefine/>
    <w:qFormat/>
    <w:uiPriority w:val="0"/>
    <w:pPr>
      <w:widowControl/>
      <w:spacing w:before="100" w:beforeLines="0" w:after="100" w:afterLines="0"/>
      <w:jc w:val="center"/>
    </w:pPr>
    <w:rPr>
      <w:rFonts w:hint="eastAsia" w:ascii="宋体" w:hAnsi="宋体"/>
      <w:kern w:val="0"/>
      <w:sz w:val="24"/>
    </w:rPr>
  </w:style>
  <w:style w:type="paragraph" w:customStyle="1" w:styleId="166">
    <w:name w:val="正文缩进1"/>
    <w:basedOn w:val="1"/>
    <w:autoRedefine/>
    <w:qFormat/>
    <w:uiPriority w:val="0"/>
    <w:pPr>
      <w:widowControl/>
      <w:overflowPunct w:val="0"/>
      <w:autoSpaceDE w:val="0"/>
      <w:autoSpaceDN w:val="0"/>
      <w:adjustRightInd w:val="0"/>
      <w:ind w:firstLine="420"/>
    </w:pPr>
    <w:rPr>
      <w:rFonts w:hint="eastAsia" w:ascii="宋体"/>
      <w:kern w:val="0"/>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4"/>
    </w:rPr>
  </w:style>
  <w:style w:type="paragraph" w:customStyle="1" w:styleId="169">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70">
    <w:name w:val="中等深浅网格 1 - 强调文字颜色 21"/>
    <w:basedOn w:val="1"/>
    <w:autoRedefine/>
    <w:qFormat/>
    <w:uiPriority w:val="0"/>
    <w:pPr>
      <w:ind w:firstLine="420" w:firstLineChars="200"/>
    </w:pPr>
    <w:rPr>
      <w:rFonts w:ascii="Calibri" w:hAnsi="Calibri"/>
      <w:szCs w:val="22"/>
    </w:rPr>
  </w:style>
  <w:style w:type="paragraph" w:customStyle="1" w:styleId="171">
    <w:name w:val="xl83"/>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宋体" w:hAnsi="宋体"/>
      <w:b/>
      <w:kern w:val="0"/>
      <w:sz w:val="32"/>
    </w:rPr>
  </w:style>
  <w:style w:type="paragraph" w:customStyle="1" w:styleId="172">
    <w:name w:val="xl72"/>
    <w:basedOn w:val="1"/>
    <w:autoRedefine/>
    <w:qFormat/>
    <w:uiPriority w:val="0"/>
    <w:pPr>
      <w:widowControl/>
      <w:spacing w:before="100" w:beforeLines="0" w:beforeAutospacing="1" w:after="100" w:afterLines="0" w:afterAutospacing="1"/>
      <w:jc w:val="left"/>
      <w:textAlignment w:val="center"/>
    </w:pPr>
    <w:rPr>
      <w:rFonts w:ascii="Arial" w:hAnsi="Arial"/>
      <w:kern w:val="0"/>
      <w:sz w:val="20"/>
    </w:rPr>
  </w:style>
  <w:style w:type="paragraph" w:customStyle="1" w:styleId="173">
    <w:name w:val="page_section_2"/>
    <w:basedOn w:val="1"/>
    <w:autoRedefine/>
    <w:qFormat/>
    <w:uiPriority w:val="0"/>
    <w:pPr>
      <w:widowControl/>
      <w:spacing w:before="100" w:beforeAutospacing="1" w:after="100" w:afterAutospacing="1"/>
      <w:ind w:firstLine="420"/>
      <w:jc w:val="left"/>
    </w:pPr>
    <w:rPr>
      <w:rFonts w:ascii="宋体" w:hAnsi="宋体" w:cs="宋体"/>
      <w:kern w:val="0"/>
      <w:szCs w:val="21"/>
    </w:rPr>
  </w:style>
  <w:style w:type="paragraph" w:customStyle="1" w:styleId="174">
    <w:name w:val=" Char Char1 Char Char Char Char Char Char"/>
    <w:basedOn w:val="1"/>
    <w:qFormat/>
    <w:uiPriority w:val="0"/>
    <w:pPr>
      <w:widowControl/>
      <w:spacing w:after="160" w:afterLines="0" w:line="240" w:lineRule="exact"/>
      <w:jc w:val="left"/>
    </w:pPr>
  </w:style>
  <w:style w:type="paragraph" w:customStyle="1" w:styleId="175">
    <w:name w:val="font12"/>
    <w:basedOn w:val="1"/>
    <w:qFormat/>
    <w:uiPriority w:val="0"/>
    <w:pPr>
      <w:widowControl/>
      <w:spacing w:before="100" w:beforeLines="0" w:beforeAutospacing="1" w:after="100" w:afterLines="0" w:afterAutospacing="1"/>
      <w:jc w:val="left"/>
    </w:pPr>
    <w:rPr>
      <w:rFonts w:ascii="Arial" w:hAnsi="Arial"/>
      <w:kern w:val="0"/>
      <w:sz w:val="22"/>
    </w:rPr>
  </w:style>
  <w:style w:type="paragraph" w:customStyle="1" w:styleId="17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rPr>
  </w:style>
  <w:style w:type="paragraph" w:customStyle="1" w:styleId="177">
    <w:name w:val="Char Char Char Char"/>
    <w:basedOn w:val="1"/>
    <w:qFormat/>
    <w:uiPriority w:val="0"/>
  </w:style>
  <w:style w:type="paragraph" w:customStyle="1" w:styleId="178">
    <w:name w:val="xl7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rPr>
  </w:style>
  <w:style w:type="paragraph" w:customStyle="1" w:styleId="1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81">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83">
    <w:name w:val="样式3"/>
    <w:basedOn w:val="20"/>
    <w:qFormat/>
    <w:uiPriority w:val="0"/>
    <w:pPr>
      <w:spacing w:line="0" w:lineRule="atLeast"/>
      <w:outlineLvl w:val="0"/>
    </w:pPr>
    <w:rPr>
      <w:rFonts w:hint="default"/>
      <w:sz w:val="28"/>
    </w:rPr>
  </w:style>
  <w:style w:type="paragraph" w:customStyle="1" w:styleId="184">
    <w:name w:val="xl6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185">
    <w:name w:val="font10"/>
    <w:basedOn w:val="1"/>
    <w:qFormat/>
    <w:uiPriority w:val="0"/>
    <w:pPr>
      <w:widowControl/>
      <w:spacing w:before="100" w:beforeLines="0" w:beforeAutospacing="1" w:after="100" w:afterLines="0" w:afterAutospacing="1"/>
      <w:jc w:val="left"/>
    </w:pPr>
    <w:rPr>
      <w:rFonts w:hint="eastAsia" w:ascii="宋体" w:hAnsi="宋体"/>
      <w:kern w:val="0"/>
      <w:sz w:val="22"/>
    </w:rPr>
  </w:style>
  <w:style w:type="paragraph" w:customStyle="1" w:styleId="186">
    <w:name w:val="xl66"/>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rPr>
  </w:style>
  <w:style w:type="paragraph" w:customStyle="1" w:styleId="187">
    <w:name w:val="xl7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textAlignment w:val="center"/>
    </w:pPr>
    <w:rPr>
      <w:rFonts w:ascii="宋体" w:hAnsi="宋体"/>
      <w:kern w:val="0"/>
      <w:sz w:val="22"/>
    </w:rPr>
  </w:style>
  <w:style w:type="paragraph" w:customStyle="1" w:styleId="188">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kern w:val="0"/>
      <w:sz w:val="22"/>
    </w:rPr>
  </w:style>
  <w:style w:type="paragraph" w:customStyle="1" w:styleId="19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Arial" w:hAnsi="Arial"/>
      <w:kern w:val="0"/>
      <w:sz w:val="22"/>
    </w:rPr>
  </w:style>
  <w:style w:type="paragraph" w:customStyle="1" w:styleId="191">
    <w:name w:val="xl67"/>
    <w:basedOn w:val="1"/>
    <w:qFormat/>
    <w:uiPriority w:val="0"/>
    <w:pPr>
      <w:widowControl/>
      <w:spacing w:before="100" w:beforeLines="0" w:beforeAutospacing="1" w:after="100" w:afterLines="0" w:afterAutospacing="1"/>
      <w:jc w:val="left"/>
      <w:textAlignment w:val="center"/>
    </w:pPr>
    <w:rPr>
      <w:rFonts w:ascii="宋体" w:hAnsi="宋体"/>
      <w:kern w:val="0"/>
      <w:sz w:val="24"/>
    </w:rPr>
  </w:style>
  <w:style w:type="paragraph" w:customStyle="1" w:styleId="19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kern w:val="0"/>
      <w:sz w:val="22"/>
    </w:rPr>
  </w:style>
  <w:style w:type="paragraph" w:customStyle="1" w:styleId="193">
    <w:name w:val="列出段落1"/>
    <w:basedOn w:val="1"/>
    <w:qFormat/>
    <w:uiPriority w:val="26"/>
    <w:pPr>
      <w:ind w:firstLine="420" w:firstLineChars="200"/>
    </w:pPr>
    <w:rPr>
      <w:szCs w:val="24"/>
    </w:rPr>
  </w:style>
  <w:style w:type="paragraph" w:customStyle="1" w:styleId="194">
    <w:name w:val="Char Char Char Char Char Char Char"/>
    <w:basedOn w:val="13"/>
    <w:autoRedefine/>
    <w:qFormat/>
    <w:uiPriority w:val="0"/>
    <w:pPr>
      <w:widowControl/>
    </w:pPr>
  </w:style>
  <w:style w:type="paragraph" w:customStyle="1" w:styleId="1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196">
    <w:name w:val=" Char Char Char Char Char Char Char Char Char Char"/>
    <w:basedOn w:val="1"/>
    <w:qFormat/>
    <w:uiPriority w:val="0"/>
    <w:pPr>
      <w:tabs>
        <w:tab w:val="left" w:pos="360"/>
      </w:tabs>
      <w:ind w:left="360" w:hanging="360" w:hangingChars="200"/>
    </w:pPr>
    <w:rPr>
      <w:sz w:val="24"/>
      <w:szCs w:val="24"/>
    </w:rPr>
  </w:style>
  <w:style w:type="paragraph" w:customStyle="1" w:styleId="197">
    <w:name w:val="xl69"/>
    <w:basedOn w:val="1"/>
    <w:qFormat/>
    <w:uiPriority w:val="0"/>
    <w:pPr>
      <w:widowControl/>
      <w:spacing w:before="100" w:beforeLines="0" w:beforeAutospacing="1" w:after="100" w:afterLines="0" w:afterAutospacing="1"/>
      <w:jc w:val="left"/>
      <w:textAlignment w:val="center"/>
    </w:pPr>
    <w:rPr>
      <w:rFonts w:ascii="Arial" w:hAnsi="Arial"/>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1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kern w:val="0"/>
      <w:sz w:val="22"/>
    </w:rPr>
  </w:style>
  <w:style w:type="paragraph" w:customStyle="1" w:styleId="200">
    <w:name w:val="xl6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textAlignment w:val="center"/>
    </w:pPr>
    <w:rPr>
      <w:rFonts w:ascii="Arial" w:hAnsi="Arial"/>
      <w:kern w:val="0"/>
      <w:sz w:val="22"/>
    </w:rPr>
  </w:style>
  <w:style w:type="paragraph" w:customStyle="1" w:styleId="201">
    <w:name w:val="Date"/>
    <w:basedOn w:val="1"/>
    <w:next w:val="1"/>
    <w:qFormat/>
    <w:uiPriority w:val="0"/>
    <w:pPr>
      <w:adjustRightInd w:val="0"/>
      <w:spacing w:line="312" w:lineRule="atLeast"/>
      <w:jc w:val="right"/>
      <w:textAlignment w:val="baseline"/>
    </w:pPr>
    <w:rPr>
      <w:b/>
      <w:kern w:val="0"/>
      <w:sz w:val="36"/>
    </w:rPr>
  </w:style>
  <w:style w:type="paragraph" w:customStyle="1" w:styleId="20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203">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204">
    <w:name w:val="xl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2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w:hAnsi="Arial"/>
      <w:kern w:val="0"/>
      <w:sz w:val="22"/>
    </w:rPr>
  </w:style>
  <w:style w:type="paragraph" w:customStyle="1" w:styleId="20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rPr>
  </w:style>
  <w:style w:type="paragraph" w:customStyle="1" w:styleId="207">
    <w:name w:val="_Style 49"/>
    <w:basedOn w:val="13"/>
    <w:qFormat/>
    <w:uiPriority w:val="0"/>
    <w:rPr>
      <w:rFonts w:ascii="Tahoma" w:hAnsi="Tahoma"/>
      <w:sz w:val="24"/>
      <w:szCs w:val="24"/>
    </w:rPr>
  </w:style>
  <w:style w:type="paragraph" w:customStyle="1" w:styleId="20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kern w:val="0"/>
      <w:sz w:val="24"/>
    </w:rPr>
  </w:style>
  <w:style w:type="paragraph" w:customStyle="1" w:styleId="209">
    <w:name w:val="xl71"/>
    <w:basedOn w:val="1"/>
    <w:qFormat/>
    <w:uiPriority w:val="0"/>
    <w:pPr>
      <w:widowControl/>
      <w:spacing w:before="100" w:beforeLines="0" w:beforeAutospacing="1" w:after="100" w:afterLines="0" w:afterAutospacing="1"/>
      <w:jc w:val="left"/>
      <w:textAlignment w:val="center"/>
    </w:pPr>
    <w:rPr>
      <w:rFonts w:ascii="Arial" w:hAnsi="Arial"/>
      <w:kern w:val="0"/>
      <w:sz w:val="24"/>
    </w:rPr>
  </w:style>
  <w:style w:type="table" w:customStyle="1" w:styleId="210">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211">
    <w:name w:val="font21"/>
    <w:basedOn w:val="42"/>
    <w:qFormat/>
    <w:uiPriority w:val="0"/>
    <w:rPr>
      <w:rFonts w:hint="eastAsia" w:ascii="宋体" w:hAnsi="宋体" w:eastAsia="宋体" w:cs="宋体"/>
      <w:color w:val="000000"/>
      <w:sz w:val="22"/>
      <w:szCs w:val="22"/>
      <w:u w:val="none"/>
    </w:rPr>
  </w:style>
  <w:style w:type="character" w:customStyle="1" w:styleId="212">
    <w:name w:val="font41"/>
    <w:basedOn w:val="42"/>
    <w:qFormat/>
    <w:uiPriority w:val="0"/>
    <w:rPr>
      <w:rFonts w:hint="eastAsia" w:ascii="宋体" w:hAnsi="宋体" w:eastAsia="宋体" w:cs="宋体"/>
      <w:color w:val="000000"/>
      <w:sz w:val="22"/>
      <w:szCs w:val="22"/>
      <w:u w:val="none"/>
    </w:rPr>
  </w:style>
  <w:style w:type="paragraph" w:customStyle="1" w:styleId="213">
    <w:name w:val="Table Text"/>
    <w:basedOn w:val="1"/>
    <w:semiHidden/>
    <w:qFormat/>
    <w:uiPriority w:val="0"/>
    <w:rPr>
      <w:rFonts w:ascii="宋体" w:hAnsi="宋体" w:eastAsia="宋体" w:cs="宋体"/>
      <w:sz w:val="21"/>
      <w:szCs w:val="21"/>
      <w:lang w:val="en-US" w:eastAsia="en-US" w:bidi="ar-SA"/>
    </w:rPr>
  </w:style>
  <w:style w:type="paragraph" w:customStyle="1" w:styleId="2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2323</Words>
  <Characters>2724</Characters>
  <Lines>254</Lines>
  <Paragraphs>71</Paragraphs>
  <TotalTime>14</TotalTime>
  <ScaleCrop>false</ScaleCrop>
  <LinksUpToDate>false</LinksUpToDate>
  <CharactersWithSpaces>2945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2023-07-03T18:05:00Z</dcterms:created>
  <dc:creator>Administrator</dc:creator>
  <cp:lastModifiedBy>zzh</cp:lastModifiedBy>
  <cp:lastPrinted>2023-06-15T17:04:00Z</cp:lastPrinted>
  <dcterms:modified xsi:type="dcterms:W3CDTF">2025-06-04T11:05:12Z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_DocHome">
    <vt:r8>-1741142890</vt:r8>
  </property>
  <property fmtid="{D5CDD505-2E9C-101B-9397-08002B2CF9AE}" pid="4" name="ICV">
    <vt:lpwstr>F4DBFAE9E6EF47DB9CA5C1CBDF826714_13</vt:lpwstr>
  </property>
  <property fmtid="{D5CDD505-2E9C-101B-9397-08002B2CF9AE}" pid="5" name="commondata">
    <vt:lpwstr>eyJoZGlkIjoiMjYwZDJiNDExMjgxYjA2ZWQ2YWVkN2M0YWJmMzYzMTMifQ==</vt:lpwstr>
  </property>
  <property fmtid="{D5CDD505-2E9C-101B-9397-08002B2CF9AE}" pid="6" name="KSOTemplateDocerSaveRecord">
    <vt:lpwstr>eyJoZGlkIjoiNzAwZGQ5MzY1ZTcxMzdhMzY4MmE4MTViNDBkM2ZhMjgiLCJ1c2VySWQiOiIzMjAyNzg0MDcifQ==</vt:lpwstr>
  </property>
</Properties>
</file>