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版本号：SZT2025-SN-XC-ZC-FW-027020250520001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就业服务项目(二次)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SZT2025-SN-XC-ZC-FW-0270</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就业服务项目(二次)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就业服务项目(二次)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我院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采购包1（招生就业宣传品采购项目）：属于专门面向中小企业采购。</w:t>
      </w:r>
    </w:p>
    <w:p>
      <w:pPr>
        <w:pStyle w:val="null3"/>
      </w:pPr>
      <w:r>
        <w:rPr>
          <w:rFonts w:ascii="仿宋_GB2312" w:hAnsi="仿宋_GB2312" w:cs="仿宋_GB2312" w:eastAsia="仿宋_GB2312"/>
        </w:rPr>
        <w:t>采购包2（校园招聘会服务项目）：属于专门面向null采购。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029-84492916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我院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就业宣传品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校园招聘会服务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标的名称：就业宣传品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1.招生就业宣传品采购项目，具体内容为：</w:t>
            </w:r>
          </w:p>
          <w:tbl>
            <w:tblPr>
              <w:tblInd w:type="dxa" w:w="240"/>
              <w:tblBorders>
                <w:top w:val="none" w:color="000000" w:sz="4"/>
                <w:left w:val="none" w:color="000000" w:sz="4"/>
                <w:bottom w:val="none" w:color="000000" w:sz="4"/>
                <w:right w:val="none" w:color="000000" w:sz="4"/>
                <w:insideH w:val="none"/>
                <w:insideV w:val="none"/>
              </w:tblBorders>
            </w:tblPr>
            <w:tblGrid>
              <w:gridCol w:w="553"/>
              <w:gridCol w:w="342"/>
              <w:gridCol w:w="251"/>
              <w:gridCol w:w="1407"/>
            </w:tblGrid>
            <w:tr>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参数要求</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定制宣传套装</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套装包含：品牌双层玻璃水杯，容量不小于</w:t>
                  </w:r>
                  <w:r>
                    <w:rPr>
                      <w:rFonts w:ascii="仿宋_GB2312" w:hAnsi="仿宋_GB2312" w:cs="仿宋_GB2312" w:eastAsia="仿宋_GB2312"/>
                      <w:sz w:val="20"/>
                      <w:color w:val="000000"/>
                    </w:rPr>
                    <w:t>400ML；品牌伞；带学院LOGO及宣传内容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U盘</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品牌</w:t>
                  </w:r>
                  <w:r>
                    <w:rPr>
                      <w:rFonts w:ascii="仿宋_GB2312" w:hAnsi="仿宋_GB2312" w:cs="仿宋_GB2312" w:eastAsia="仿宋_GB2312"/>
                      <w:sz w:val="20"/>
                      <w:color w:val="000000"/>
                    </w:rPr>
                    <w:t>U盘128G,带学院LOGO</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无纺布袋</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:无纺布</w:t>
                  </w:r>
                  <w:r>
                    <w:br/>
                  </w:r>
                  <w:r>
                    <w:rPr>
                      <w:rFonts w:ascii="仿宋_GB2312" w:hAnsi="仿宋_GB2312" w:cs="仿宋_GB2312" w:eastAsia="仿宋_GB2312"/>
                      <w:sz w:val="20"/>
                      <w:color w:val="000000"/>
                    </w:rPr>
                    <w:t>尺寸：高</w:t>
                  </w:r>
                  <w:r>
                    <w:rPr>
                      <w:rFonts w:ascii="仿宋_GB2312" w:hAnsi="仿宋_GB2312" w:cs="仿宋_GB2312" w:eastAsia="仿宋_GB2312"/>
                      <w:sz w:val="20"/>
                      <w:color w:val="000000"/>
                    </w:rPr>
                    <w:t>35cm*宽25cm*侧10cm,带学院LOGO及宣传内容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中性笔（</w:t>
                  </w:r>
                  <w:r>
                    <w:rPr>
                      <w:rFonts w:ascii="仿宋_GB2312" w:hAnsi="仿宋_GB2312" w:cs="仿宋_GB2312" w:eastAsia="仿宋_GB2312"/>
                      <w:sz w:val="20"/>
                      <w:color w:val="000000"/>
                    </w:rPr>
                    <w:t>0.5）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笔头：</w:t>
                  </w:r>
                  <w:r>
                    <w:rPr>
                      <w:rFonts w:ascii="仿宋_GB2312" w:hAnsi="仿宋_GB2312" w:cs="仿宋_GB2312" w:eastAsia="仿宋_GB2312"/>
                      <w:sz w:val="20"/>
                      <w:color w:val="000000"/>
                    </w:rPr>
                    <w:t>0.5mm中性芯</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:长14.5cm,直径1cm</w:t>
                  </w:r>
                  <w:r>
                    <w:br/>
                  </w:r>
                  <w:r>
                    <w:rPr>
                      <w:rFonts w:ascii="仿宋_GB2312" w:hAnsi="仿宋_GB2312" w:cs="仿宋_GB2312" w:eastAsia="仿宋_GB2312"/>
                      <w:sz w:val="20"/>
                      <w:color w:val="000000"/>
                    </w:rPr>
                    <w:t>材质：塑料，带学院</w:t>
                  </w:r>
                  <w:r>
                    <w:rPr>
                      <w:rFonts w:ascii="仿宋_GB2312" w:hAnsi="仿宋_GB2312" w:cs="仿宋_GB2312" w:eastAsia="仿宋_GB2312"/>
                      <w:sz w:val="20"/>
                      <w:color w:val="000000"/>
                    </w:rPr>
                    <w:t>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折扇</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PP塑料</w:t>
                  </w:r>
                  <w:r>
                    <w:br/>
                  </w:r>
                  <w:r>
                    <w:rPr>
                      <w:rFonts w:ascii="仿宋_GB2312" w:hAnsi="仿宋_GB2312" w:cs="仿宋_GB2312" w:eastAsia="仿宋_GB2312"/>
                      <w:sz w:val="20"/>
                      <w:color w:val="000000"/>
                    </w:rPr>
                    <w:t>扇柄：七折</w:t>
                  </w:r>
                  <w:r>
                    <w:br/>
                  </w: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:3.5*18.5cm(含手柄),带学院LOGO及宣传内容</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帆布袋</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材质：帆布</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38cm*34cm,厚度16安，带学院LOGO</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毕业生纪念品</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欧式酷卡杯</w:t>
                  </w:r>
                  <w:r>
                    <w:rPr>
                      <w:rFonts w:ascii="仿宋_GB2312" w:hAnsi="仿宋_GB2312" w:cs="仿宋_GB2312" w:eastAsia="仿宋_GB2312"/>
                      <w:sz w:val="20"/>
                      <w:color w:val="000000"/>
                    </w:rPr>
                    <w:t>,容量不小于400ML，材质:纳钙玻璃,带学院LOGO</w:t>
                  </w:r>
                </w:p>
              </w:tc>
            </w:tr>
          </w:tbl>
          <w:p>
            <w:pPr>
              <w:pStyle w:val="null3"/>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自合同签订之日起至</w:t>
            </w:r>
            <w:r>
              <w:rPr>
                <w:rFonts w:ascii="仿宋_GB2312" w:hAnsi="仿宋_GB2312" w:cs="仿宋_GB2312" w:eastAsia="仿宋_GB2312"/>
                <w:sz w:val="20"/>
              </w:rPr>
              <w:t>2025年7月前完成。</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标的名称：校园招聘会服务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标段</w:t>
            </w:r>
            <w:r>
              <w:rPr>
                <w:rFonts w:ascii="仿宋_GB2312" w:hAnsi="仿宋_GB2312" w:cs="仿宋_GB2312" w:eastAsia="仿宋_GB2312"/>
                <w:sz w:val="20"/>
              </w:rPr>
              <w:t>4.</w:t>
            </w:r>
            <w:r>
              <w:rPr>
                <w:rFonts w:ascii="仿宋_GB2312" w:hAnsi="仿宋_GB2312" w:cs="仿宋_GB2312" w:eastAsia="仿宋_GB2312"/>
              </w:rPr>
              <w:t xml:space="preserve"> </w:t>
            </w:r>
            <w:r>
              <w:rPr>
                <w:rFonts w:ascii="仿宋_GB2312" w:hAnsi="仿宋_GB2312" w:cs="仿宋_GB2312" w:eastAsia="仿宋_GB2312"/>
                <w:sz w:val="20"/>
              </w:rPr>
              <w:t>校园招聘会服务项目，预算金额</w:t>
            </w:r>
            <w:r>
              <w:rPr>
                <w:rFonts w:ascii="仿宋_GB2312" w:hAnsi="仿宋_GB2312" w:cs="仿宋_GB2312" w:eastAsia="仿宋_GB2312"/>
                <w:sz w:val="20"/>
              </w:rPr>
              <w:t>25万元，主要内容如下：</w:t>
            </w:r>
          </w:p>
          <w:tbl>
            <w:tblPr>
              <w:tblInd w:type="dxa" w:w="255"/>
              <w:tblBorders>
                <w:top w:val="none" w:color="000000" w:sz="4"/>
                <w:left w:val="none" w:color="000000" w:sz="4"/>
                <w:bottom w:val="none" w:color="000000" w:sz="4"/>
                <w:right w:val="none" w:color="000000" w:sz="4"/>
                <w:insideH w:val="none"/>
                <w:insideV w:val="none"/>
              </w:tblBorders>
            </w:tblPr>
            <w:tblGrid>
              <w:gridCol w:w="383"/>
              <w:gridCol w:w="1726"/>
              <w:gridCol w:w="222"/>
              <w:gridCol w:w="222"/>
            </w:tblGrid>
            <w:tr>
              <w:tc>
                <w:tcPr>
                  <w:tcW w:type="dxa" w:w="38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主要内容</w:t>
                  </w:r>
                </w:p>
              </w:tc>
              <w:tc>
                <w:tcPr>
                  <w:tcW w:type="dxa" w:w="17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规格型号</w:t>
                  </w:r>
                </w:p>
              </w:tc>
              <w:tc>
                <w:tcPr>
                  <w:tcW w:type="dxa" w:w="2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单位</w:t>
                  </w:r>
                </w:p>
              </w:tc>
              <w:tc>
                <w:tcPr>
                  <w:tcW w:type="dxa" w:w="2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数量</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现场双选会</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定制与学院相符的招聘会方案，进行会场布置和现场管理服务；举办</w:t>
                  </w:r>
                  <w:r>
                    <w:rPr>
                      <w:rFonts w:ascii="仿宋_GB2312" w:hAnsi="仿宋_GB2312" w:cs="仿宋_GB2312" w:eastAsia="仿宋_GB2312"/>
                      <w:sz w:val="20"/>
                    </w:rPr>
                    <w:t>2025年春季校园综合类双选会、2025届未就业毕业生校园招聘会暨2026届毕业生预定会，要求每场参与企业不少于120家，提供就业岗位每场不少于1500个。</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网络视频双选会</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通过线上组织双选会，完全模拟现场招聘流程，投递简历、即时沟通、线上面试等。分阶段举办综合类网络招聘会</w:t>
                  </w:r>
                  <w:r>
                    <w:rPr>
                      <w:rFonts w:ascii="仿宋_GB2312" w:hAnsi="仿宋_GB2312" w:cs="仿宋_GB2312" w:eastAsia="仿宋_GB2312"/>
                      <w:sz w:val="20"/>
                    </w:rPr>
                    <w:t>4场；离校未就业毕业生专场2场；百日冲刺促就业专场2场；毕业生精准帮扶专场1场；高职扩招毕业生专场1场。要求每场参参与企业不少于100家。</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8</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毕业生就业管理系统服务</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实现学生就业签约的全面信息化管理，实时统计全校就业数据，同步上传省厅和教育部系统。多维度分析</w:t>
                  </w:r>
                  <w:r>
                    <w:rPr>
                      <w:rFonts w:ascii="仿宋_GB2312" w:hAnsi="仿宋_GB2312" w:cs="仿宋_GB2312" w:eastAsia="仿宋_GB2312"/>
                      <w:sz w:val="20"/>
                    </w:rPr>
                    <w:t>2025届毕业生就业质量；制作2025届毕业生就业质量年报；针对2025年的就业服务落实情况及取得的实际成效，对2026年就业工作提出建设性意见。</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r>
            <w:tr>
              <w:tc>
                <w:tcPr>
                  <w:tcW w:type="dxa" w:w="3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职业规划大赛的组织及前期培训</w:t>
                  </w:r>
                </w:p>
              </w:tc>
              <w:tc>
                <w:tcPr>
                  <w:tcW w:type="dxa" w:w="17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组织校级职业规划大赛活动，邀请校内外具有丰富经验的业界专家对参赛师生进行全方位的讲座、培训、赛前辅导、校级训练营指导省赛作品；组织开展校外专家培训讲座</w:t>
                  </w:r>
                  <w:r>
                    <w:rPr>
                      <w:rFonts w:ascii="仿宋_GB2312" w:hAnsi="仿宋_GB2312" w:cs="仿宋_GB2312" w:eastAsia="仿宋_GB2312"/>
                      <w:sz w:val="20"/>
                    </w:rPr>
                    <w:t>6场，作品打磨训练4次。组织我院10名老师外出培训学习，提升职业发展与就业指导课程教学能力。</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场</w:t>
                  </w:r>
                </w:p>
              </w:tc>
              <w:tc>
                <w:tcPr>
                  <w:tcW w:type="dxa" w:w="2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w:t>
                  </w:r>
                </w:p>
              </w:tc>
            </w:tr>
          </w:tbl>
          <w:p>
            <w:pPr>
              <w:pStyle w:val="null3"/>
              <w:ind w:firstLine="402"/>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服务商须熟悉国家教育考试招生政策、陕西省教育考试招生相关规定及高校就业政策，在招生就业季安排专人提供各项服务。</w:t>
            </w:r>
          </w:p>
          <w:p>
            <w:pPr>
              <w:pStyle w:val="null3"/>
              <w:ind w:firstLine="402"/>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自合同签订之日起至</w:t>
            </w:r>
            <w:r>
              <w:rPr>
                <w:rFonts w:ascii="仿宋_GB2312" w:hAnsi="仿宋_GB2312" w:cs="仿宋_GB2312" w:eastAsia="仿宋_GB2312"/>
                <w:sz w:val="20"/>
              </w:rPr>
              <w:t>2025年10月31日前完成。</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自合同签订之日起至2025年7月前完成。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按标段顺序进行评审，同一家供应商不得同时中标两个及以上标段。即：前一标段排名第一的中标候选人，不再作为后续标段中标候选人推荐。2、涉及样品展示的采购包，供应商需将样品在开标截止时间前交至采购代理机构处并进行现场签到（不接受邮寄）；开标地址：西安市高新区高新四路1号高科广场A座5楼0503第五会议室 3、涉及现场演示的采购包，供应商需在开标截止时间前至采购代理机构处并进行现场签到；开标地址：西安市高新区高新四路1号高科广场A座5楼0503第五会议室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供应商需提供定制产品的设计服务方案，以传播学院文化，塑造学院形象，扩大学院影响力，提升毕业生对母校的满意度为方向和题材； （1）提供所有产品的彩页或设计图，设计方案内容丰富、设计生动并满足采购需求，得10分； （2）提供大部分产品的描述、彩页或设计图，方案内容较完整、且基本满足采购需求，得7分； （3）提供小部分产品的描述、彩页或设计图，方案内容一般、且大体满足采购需求，得4分；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供应商提供的产品质量均符合磋商文件规定的规格参数、质量标准、包装标准等要求，以上内容证明材料需提供有效的证明材料。： （1）产品质量上乘、包装精美且符合本项目需求、针对性强，得10分； （2）产品质量良好、包装良好且基本符合本项目需求、针对性较强，得7分； （3）产品外观质量一般、包装一般且大体符合本项目需求、针对性一般，得4分；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供应商根据本次采购内容制定合理、完整、详尽的实施方案，含投入项目人员、供货时间保障、货物运输、组织进度计划、配套质量管理等各项措施。 （1）方案完整、科学、可行，满足采购人实际需求，描述条理清晰，有较高针对性，得10分； （2）方案较完整、较科学、较可行，且基本满足采购人实际需求，得7分； （3）方案较为一般、且大体满足采购人实际需求，得4分；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样品展示</w:t>
            </w:r>
          </w:p>
        </w:tc>
        <w:tc>
          <w:tcPr>
            <w:tcW w:type="dxa" w:w="2492"/>
          </w:tcPr>
          <w:p>
            <w:pPr>
              <w:pStyle w:val="null3"/>
            </w:pPr>
            <w:r>
              <w:rPr>
                <w:rFonts w:ascii="仿宋_GB2312" w:hAnsi="仿宋_GB2312" w:cs="仿宋_GB2312" w:eastAsia="仿宋_GB2312"/>
              </w:rPr>
              <w:t>实物展示样品： 1、定制宣传套装：品牌双层玻璃水杯，容量不小于400ML；品牌伞；带学院LOGO及宣传内容，产品包装规范、标识齐全、符合规格参数要求内容进行评审，全部满足得4分，基本满足得2分，一般满足得1分；未提供实物样品的，本项得0分。 2、定制文具用品组合：U盘、无纺布袋、中性笔（0.5）、折扇、帆布袋；产品包装规范、标识齐全、符合规格参数要求内容进行评审，全部满足得4分，基本满足得2分，一般满足得1分；未提供实物样品的，本项得0分。 3、毕业生纪念品 （1）欧式酷卡杯,容量不小于400ML、带学院LOGO；（2）材质为纳钙玻璃；以上2项内容进行评审，全部满足得2分；基本满足得1分；未提供实物样品的，本项得0分。 （注：若未响应或者不满足有负偏离的，每有一项扣1分；未提供实物样品的，本项得0分。）（开标地址：西安市高新区高新四路1号高科广场A座5楼0503第五会议室）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产品供应渠道正规，确保供应的产品无假货、水货、翻新货、不良市场反馈，检验手续合法有效，且无产权纠纷，须具有相关的质量保证承诺，并提供产品渠道来源合法的证明文件，视响应情况综合赋分。 完全满足要求且资料提供齐全得5分； 基本满足要求且提供部分资料得3分； 一般满足要求且提供资料不全得1分；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具有项目执行保障能力，与项目相关的经营体系协调配合得力，能够保证产品购置及供货。提出项目在特殊情况条件下的应对措施和应急保障措施，视响应情况综合赋分。 措施内容全面、详细，完全满足要求得7分； 措施内容较全面、详细，基本满足要求得5分； 措施内容一般，但能基本满足要求得3分；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针对本项目及采购人实际需要，提供详细具体可行的售后服务方案，具备合理的售后服务流程和售后服务承诺，视响应情况综合赋分。 有具体详细的售后服务方案，售后服务方案措施科学完善得8分； 售后服务方案措施较详细，可行性一般得5分。 售后服务方案措施简单粗略，可行性较差得3分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要求提供2022年1月1日以后的同类服务业绩，需提供合同扫描盖章件；每提供一份得2分，最高得10分，未提供得0分； （注：合同扫描盖章件至少具备首页、内容页及签字盖章页）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需求理解和分析</w:t>
            </w:r>
          </w:p>
        </w:tc>
        <w:tc>
          <w:tcPr>
            <w:tcW w:type="dxa" w:w="2492"/>
          </w:tcPr>
          <w:p>
            <w:pPr>
              <w:pStyle w:val="null3"/>
            </w:pPr>
            <w:r>
              <w:rPr>
                <w:rFonts w:ascii="仿宋_GB2312" w:hAnsi="仿宋_GB2312" w:cs="仿宋_GB2312" w:eastAsia="仿宋_GB2312"/>
              </w:rPr>
              <w:t>对项目需求的理解和分析程度：对项目的难点、要点及重点工作理解深入透彻，分析准确到位，思路清晰且充分考虑本项目实际情况，根据响应程度对比计分： 理解透彻，思路清晰，计5分； 理解基本到位，理念及思路基本可行，计3分； 理解不透彻或不合理，计1分。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根据大型现场双选会的企业邀请、物料设计、会务服务、会场流程、数据统计及资源整理的详细执行方案。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根据大型网络视频双选会所用软件的功能叙述、具体的组织执行方案。 服务方案详实、具体、切实可行、科学合理，针对性强，软件功能完全满足服务要求，赋分6分； 服务方案较细致、大部分响应内容切实可行、合理，软件功能基本满足服务要求，赋分4分； 服务方案模糊、目标不明确，软件功能不完整或叙述模糊，赋分2分；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根据毕业生就业管理系统服务的详细执行方案。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根据职业生涯体验周服务、职业规划大赛的组织及前期培训的详细执行方案。 服务方案详实、具体、切实可行、科学合理，针对性强，赋分6分； 服务方案较细致、大部分响应内容切实可行、合理，赋分4分； 服务方案模糊、目标不明确，赋分2分；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针对本项目提供的人员配备。 在满足采购文件人员要求的基础上（5人），每增加一人得1分，最高得3分，未提供得0分。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有完善的项目实施团队及管理方案，针对本项目特点提供包括人员组织架构、职业技术配置、技术人员素质标准，服务团队满足软件开发及维护、文本及物料的设计、编辑、美工、培训基本岗位设置，团队有相关的专业资质及从业经验，分工合理、责任明确，根据方案的响应程度对比得分： 1.有明确的项目团队人员，分工合理，管理方案完善，得10分； 2.项目团队人员较明确，分工较合理，管理方案基本完善，得7分； 3.无明确的团队人员，分工不合理或无相应的管理方案，得4分；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针对本项目服务内容提供会场设备租赁、布置、使用等。 提供软硬件设备齐全，使用部位叙述清晰详细，证明材料完整，赋分5分； 提供软硬件设备基本满足服务，使用部位叙述内容详细程度一般，有部分证明材料，赋分3分； 提供软硬件设备不足，使用部位叙述缺项，无证明材料，赋分1分。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有明确的应急方案及补救措施，根据方案响应程度对比得分： 1.有明确的应急方案与补救措施，方案完善具体可行，得6分； 2.有比较明确的应急方案与补救措施，方案比较完善具体可行，得4分； 3.应急预案或救措施方案不明确不完善的，得2分；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依据本项目采购内容及要求，供应商需提供企业资源及平台资源具备情况。 叙述详实、内容丰富、要点突出，体现实力强，证明资料齐全，赋分6分； 叙述内容体现实力一般，证明资料不全，基本满足服务要求，赋分4分； 叙述内容无法体现实力，无证明资料，内容简单，赋分2分；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售后及承诺</w:t>
            </w:r>
          </w:p>
        </w:tc>
        <w:tc>
          <w:tcPr>
            <w:tcW w:type="dxa" w:w="2492"/>
          </w:tcPr>
          <w:p>
            <w:pPr>
              <w:pStyle w:val="null3"/>
            </w:pPr>
            <w:r>
              <w:rPr>
                <w:rFonts w:ascii="仿宋_GB2312" w:hAnsi="仿宋_GB2312" w:cs="仿宋_GB2312" w:eastAsia="仿宋_GB2312"/>
              </w:rPr>
              <w:t>服务人员与采购人能有良好工作配合的承诺。 承诺内容详尽全面，具体内容合理得当，赋分6分； 承诺比较全面，具体内容比较合理，赋分4分； 承诺不充分，具体内容有欠妥当，赋分2分；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要求提供2022年1月1日以后的同类服务项目业绩，需提供合同扫描盖章件；每提供一份得1分，最高得5分，未提供得0分；（注：合同扫描盖章件至少具备首页、内容页及签字盖章页）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