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版本号：SZT2025-SN-SC-ZC-GC-04220250527001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2025年临渭校区4号公寓楼改造项目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SZT2025-SN-SC-ZC-GC-042</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2025年临渭校区4号公寓楼改造项目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SZT2025-SN-SC-ZC-GC-042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2025年临渭校区4号公寓楼改造项目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陕西铁路工程职业技术学院临渭校区4号学生公寓157间宿舍进行改造，具体内容包括：翻新楼道墙面、墙裙、步梯及楼道扶手；将一楼值班室信号柜机挪机，按大厅风格重新设计装修一楼小卖部（拆除原有门窗）；搬移拆除宿舍内部原有家具；宿舍门采用钢制门加透视窗并加装智能锁；翻修宿舍地面；更换卫生间门；更换阳台、卫生间灯具；空调挪机并调换位置，拆除原有风扇；改造宿舍顶柜，更换晾衣架；改造宿舍床位和书桌的插座线路，更换室内开关；在洗漱区安装双人位面池、洗漱镜、洗漱用品置物架、活动置物架；重做卫生间；更换楼内全部暖气管道、暖气片及进楼主暖气管道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采购包1（2025年临渭校区4号公寓楼改造项目）：属于专门面向中小企业采购。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1、供应商资格要求：具备有效的建筑装修装饰工程专业承包二级及以上（含二级）资质，并具备有效的安全生产许可证。</w:t>
      </w:r>
    </w:p>
    <w:p>
      <w:pPr>
        <w:pStyle w:val="null3"/>
      </w:pPr>
      <w:r>
        <w:rPr>
          <w:rFonts w:ascii="仿宋_GB2312" w:hAnsi="仿宋_GB2312" w:cs="仿宋_GB2312" w:eastAsia="仿宋_GB2312"/>
        </w:rPr>
        <w:t>2、拟派项目经理资质和专业要求：拟派项目经理具备有效的建筑工程专业二级及以上注册建造师资格，具备有效的安全生产考核合格证，在本单位注册且无在建工程（承诺书）。</w:t>
      </w:r>
    </w:p>
    <w:p>
      <w:pPr>
        <w:pStyle w:val="null3"/>
      </w:pPr>
      <w:r>
        <w:rPr>
          <w:rFonts w:ascii="仿宋_GB2312" w:hAnsi="仿宋_GB2312" w:cs="仿宋_GB2312" w:eastAsia="仿宋_GB2312"/>
        </w:rPr>
        <w:t>3、全国建筑市场监管公共服务平台：供应商及供应商拟派项目经理须在“全国建筑市场监管公共服务平台（https://jzsc.mohurd.gov.cn/home）”可查询。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赵倩、杨艳、李毓菲、单博、李娜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029-88364979-873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说明：1、供应商成交后凭成交通知书，在合同签订前向学校缴纳成交金额5%的履约保证金，待项目竣工验收合格后无息退还。 2、交纳形式：电汇、网银、银行保函等非现金形式。 3、收款账户 单位名称：陕西铁路工程职业技术学院 纳税人识别号：126100004369070259 地址及电话：陕西省渭南市站北街东段一号0913-2221152 开户行及账号：建设银行陕西省渭南市站北路支行61001641208052501776</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成交人应向采购代理机构交纳招标代理服务费。招标代理服务费的收取参见国家计委颁布的《招标代理服务收费管理暂行办法》（计价格[2002]1980号）和（发改办价格[2003]857号）中工程类收费标准下浮20%收取。 2、在领取成交通知书时向采购代理机构一次性交纳。 开户名称：陕西中技招标有限公司 开户行名称：招商银行西安分行营业部 账 号：1299 1681 2810 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踏勘时间：2025-06-05 14:00:00</w:t>
            </w:r>
          </w:p>
          <w:p>
            <w:pPr>
              <w:pStyle w:val="null3"/>
              <w:ind w:firstLine="975"/>
            </w:pPr>
            <w:r>
              <w:rPr>
                <w:rFonts w:ascii="仿宋_GB2312" w:hAnsi="仿宋_GB2312" w:cs="仿宋_GB2312" w:eastAsia="仿宋_GB2312"/>
              </w:rPr>
              <w:t>踏勘地点：陕西铁路工程职业技术学院临渭校区4号公寓（供应商应充分踏勘现场，充分了解现场情况和尺寸进行报价，成交不再因为不了解现场情况而予以调整报价）</w:t>
            </w:r>
          </w:p>
          <w:p>
            <w:pPr>
              <w:pStyle w:val="null3"/>
              <w:ind w:firstLine="975"/>
            </w:pPr>
            <w:r>
              <w:rPr>
                <w:rFonts w:ascii="仿宋_GB2312" w:hAnsi="仿宋_GB2312" w:cs="仿宋_GB2312" w:eastAsia="仿宋_GB2312"/>
              </w:rPr>
              <w:t>联系人：梅老师</w:t>
            </w:r>
          </w:p>
          <w:p>
            <w:pPr>
              <w:pStyle w:val="null3"/>
              <w:ind w:firstLine="975"/>
            </w:pPr>
            <w:r>
              <w:rPr>
                <w:rFonts w:ascii="仿宋_GB2312" w:hAnsi="仿宋_GB2312" w:cs="仿宋_GB2312" w:eastAsia="仿宋_GB2312"/>
              </w:rPr>
              <w:t>联系电话号码：17735127705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按照磋商文件、响应文件、合同文本要求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3,450,000.00</w:t>
      </w:r>
    </w:p>
    <w:p>
      <w:pPr>
        <w:pStyle w:val="null3"/>
      </w:pPr>
      <w:r>
        <w:rPr>
          <w:rFonts w:ascii="仿宋_GB2312" w:hAnsi="仿宋_GB2312" w:cs="仿宋_GB2312" w:eastAsia="仿宋_GB2312"/>
        </w:rPr>
        <w:t>采购包最高限价（元）: 3,448,311.32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详见该项目随附上传的采购清单</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rPr>
              <w:t>项目建设功能目标</w:t>
            </w:r>
          </w:p>
          <w:p>
            <w:pPr>
              <w:pStyle w:val="null3"/>
            </w:pPr>
            <w:r>
              <w:rPr>
                <w:rFonts w:ascii="仿宋_GB2312" w:hAnsi="仿宋_GB2312" w:cs="仿宋_GB2312" w:eastAsia="仿宋_GB2312"/>
              </w:rPr>
              <w:t>本项目拟对临渭校区4号学生公寓进行改造，由8人间改成6人间，同时对157间宿舍的硬件设施进行提升改造。通过本次改造，提升4号学生公寓的整体环境，为学生提供良好的居住条件，避免因公寓设施老化等问题带来的潜在安全隐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1"/>
              </w:numPr>
              <w:jc w:val="both"/>
            </w:pPr>
            <w:r>
              <w:rPr>
                <w:rFonts w:ascii="仿宋_GB2312" w:hAnsi="仿宋_GB2312" w:cs="仿宋_GB2312" w:eastAsia="仿宋_GB2312"/>
              </w:rPr>
              <w:t>施工范围及工程内容</w:t>
            </w:r>
          </w:p>
          <w:p>
            <w:pPr>
              <w:pStyle w:val="null3"/>
            </w:pPr>
            <w:r>
              <w:rPr>
                <w:rFonts w:ascii="仿宋_GB2312" w:hAnsi="仿宋_GB2312" w:cs="仿宋_GB2312" w:eastAsia="仿宋_GB2312"/>
              </w:rPr>
              <w:t>本项目针对临渭校区4号公寓改造：</w:t>
            </w:r>
          </w:p>
          <w:p>
            <w:pPr>
              <w:pStyle w:val="null3"/>
            </w:pPr>
            <w:r>
              <w:rPr>
                <w:rFonts w:ascii="仿宋_GB2312" w:hAnsi="仿宋_GB2312" w:cs="仿宋_GB2312" w:eastAsia="仿宋_GB2312"/>
              </w:rPr>
              <w:t>1.样板间制作：按照要求在合同签订之日起10日内完成样板间的制作，样板间验收后，其余房间的验收参照样板间。</w:t>
            </w:r>
          </w:p>
          <w:p>
            <w:pPr>
              <w:pStyle w:val="null3"/>
            </w:pPr>
            <w:r>
              <w:rPr>
                <w:rFonts w:ascii="仿宋_GB2312" w:hAnsi="仿宋_GB2312" w:cs="仿宋_GB2312" w:eastAsia="仿宋_GB2312"/>
              </w:rPr>
              <w:t>2.拆除过程按国家现行施工规范进行拆除，不得随意破坏承重结构，拆除工程完毕后，甲方进行验收。施工过程中要对楼宇整体做变形监测，竣工后提交变形监测报告。</w:t>
            </w:r>
          </w:p>
          <w:p>
            <w:pPr>
              <w:pStyle w:val="null3"/>
            </w:pPr>
            <w:r>
              <w:rPr>
                <w:rFonts w:ascii="仿宋_GB2312" w:hAnsi="仿宋_GB2312" w:cs="仿宋_GB2312" w:eastAsia="仿宋_GB2312"/>
              </w:rPr>
              <w:t>3.一楼大厅（2个厅）</w:t>
            </w:r>
          </w:p>
          <w:p>
            <w:pPr>
              <w:pStyle w:val="null3"/>
            </w:pPr>
            <w:r>
              <w:rPr>
                <w:rFonts w:ascii="仿宋_GB2312" w:hAnsi="仿宋_GB2312" w:cs="仿宋_GB2312" w:eastAsia="仿宋_GB2312"/>
              </w:rPr>
              <w:t>1）大厅和一楼走廊吊顶、线路改造、更换灯具、墙裙护墙板设计（1.7m）、踢脚线（10cm）。</w:t>
            </w:r>
          </w:p>
          <w:p>
            <w:pPr>
              <w:pStyle w:val="null3"/>
            </w:pPr>
            <w:r>
              <w:rPr>
                <w:rFonts w:ascii="仿宋_GB2312" w:hAnsi="仿宋_GB2312" w:cs="仿宋_GB2312" w:eastAsia="仿宋_GB2312"/>
              </w:rPr>
              <w:t>2）值班室内信号柜机挪到走廊，挂在墙上。</w:t>
            </w:r>
          </w:p>
          <w:p>
            <w:pPr>
              <w:pStyle w:val="null3"/>
            </w:pPr>
            <w:r>
              <w:rPr>
                <w:rFonts w:ascii="仿宋_GB2312" w:hAnsi="仿宋_GB2312" w:cs="仿宋_GB2312" w:eastAsia="仿宋_GB2312"/>
              </w:rPr>
              <w:t>3）一楼小卖部（2个）拆除原有门窗，跟大厅设计保持统一风格进行设计并施工。</w:t>
            </w:r>
          </w:p>
          <w:p>
            <w:pPr>
              <w:pStyle w:val="null3"/>
            </w:pPr>
            <w:r>
              <w:rPr>
                <w:rFonts w:ascii="仿宋_GB2312" w:hAnsi="仿宋_GB2312" w:cs="仿宋_GB2312" w:eastAsia="仿宋_GB2312"/>
              </w:rPr>
              <w:t>4. 楼道区域</w:t>
            </w:r>
          </w:p>
          <w:p>
            <w:pPr>
              <w:pStyle w:val="null3"/>
            </w:pPr>
            <w:r>
              <w:rPr>
                <w:rFonts w:ascii="仿宋_GB2312" w:hAnsi="仿宋_GB2312" w:cs="仿宋_GB2312" w:eastAsia="仿宋_GB2312"/>
              </w:rPr>
              <w:t>1）楼道、楼梯墙裙安装踢脚线（10cm）、护墙板（1.7m）。</w:t>
            </w:r>
          </w:p>
          <w:p>
            <w:pPr>
              <w:pStyle w:val="null3"/>
            </w:pPr>
            <w:r>
              <w:rPr>
                <w:rFonts w:ascii="仿宋_GB2312" w:hAnsi="仿宋_GB2312" w:cs="仿宋_GB2312" w:eastAsia="仿宋_GB2312"/>
              </w:rPr>
              <w:t>2）楼道步梯铺设瓷砖。</w:t>
            </w:r>
          </w:p>
          <w:p>
            <w:pPr>
              <w:pStyle w:val="null3"/>
            </w:pPr>
            <w:r>
              <w:rPr>
                <w:rFonts w:ascii="仿宋_GB2312" w:hAnsi="仿宋_GB2312" w:cs="仿宋_GB2312" w:eastAsia="仿宋_GB2312"/>
              </w:rPr>
              <w:t>3）楼道扶手刷漆翻新。</w:t>
            </w:r>
          </w:p>
          <w:p>
            <w:pPr>
              <w:pStyle w:val="null3"/>
            </w:pPr>
            <w:r>
              <w:rPr>
                <w:rFonts w:ascii="仿宋_GB2312" w:hAnsi="仿宋_GB2312" w:cs="仿宋_GB2312" w:eastAsia="仿宋_GB2312"/>
              </w:rPr>
              <w:t>4）楼道走廊灯光增加光控和声控模块。</w:t>
            </w:r>
          </w:p>
          <w:p>
            <w:pPr>
              <w:pStyle w:val="null3"/>
            </w:pPr>
            <w:r>
              <w:rPr>
                <w:rFonts w:ascii="仿宋_GB2312" w:hAnsi="仿宋_GB2312" w:cs="仿宋_GB2312" w:eastAsia="仿宋_GB2312"/>
              </w:rPr>
              <w:t>5）楼道墙面粉刷。</w:t>
            </w:r>
          </w:p>
          <w:p>
            <w:pPr>
              <w:pStyle w:val="null3"/>
            </w:pPr>
            <w:r>
              <w:rPr>
                <w:rFonts w:ascii="仿宋_GB2312" w:hAnsi="仿宋_GB2312" w:cs="仿宋_GB2312" w:eastAsia="仿宋_GB2312"/>
              </w:rPr>
              <w:t>6）楼道线路整理。</w:t>
            </w:r>
          </w:p>
          <w:p>
            <w:pPr>
              <w:pStyle w:val="null3"/>
            </w:pPr>
            <w:r>
              <w:rPr>
                <w:rFonts w:ascii="仿宋_GB2312" w:hAnsi="仿宋_GB2312" w:cs="仿宋_GB2312" w:eastAsia="仿宋_GB2312"/>
              </w:rPr>
              <w:t>5. 宿舍门</w:t>
            </w:r>
          </w:p>
          <w:p>
            <w:pPr>
              <w:pStyle w:val="null3"/>
            </w:pPr>
            <w:r>
              <w:rPr>
                <w:rFonts w:ascii="仿宋_GB2312" w:hAnsi="仿宋_GB2312" w:cs="仿宋_GB2312" w:eastAsia="仿宋_GB2312"/>
              </w:rPr>
              <w:t>材质：钢制门+透视窗+门牌。</w:t>
            </w:r>
          </w:p>
          <w:p>
            <w:pPr>
              <w:pStyle w:val="null3"/>
            </w:pPr>
            <w:r>
              <w:rPr>
                <w:rFonts w:ascii="仿宋_GB2312" w:hAnsi="仿宋_GB2312" w:cs="仿宋_GB2312" w:eastAsia="仿宋_GB2312"/>
              </w:rPr>
              <w:t>功能：加装智能锁，与学校一卡通绑定。</w:t>
            </w:r>
          </w:p>
          <w:p>
            <w:pPr>
              <w:pStyle w:val="null3"/>
            </w:pPr>
            <w:r>
              <w:rPr>
                <w:rFonts w:ascii="仿宋_GB2312" w:hAnsi="仿宋_GB2312" w:cs="仿宋_GB2312" w:eastAsia="仿宋_GB2312"/>
              </w:rPr>
              <w:t>6. 宿舍内部</w:t>
            </w:r>
          </w:p>
          <w:p>
            <w:pPr>
              <w:pStyle w:val="null3"/>
            </w:pPr>
            <w:r>
              <w:rPr>
                <w:rFonts w:ascii="仿宋_GB2312" w:hAnsi="仿宋_GB2312" w:cs="仿宋_GB2312" w:eastAsia="仿宋_GB2312"/>
              </w:rPr>
              <w:t>1）地面铺设塑胶地板，要求在墙角做卷边处理，用瓷砖踢脚线压边。</w:t>
            </w:r>
          </w:p>
          <w:p>
            <w:pPr>
              <w:pStyle w:val="null3"/>
            </w:pPr>
            <w:r>
              <w:rPr>
                <w:rFonts w:ascii="仿宋_GB2312" w:hAnsi="仿宋_GB2312" w:cs="仿宋_GB2312" w:eastAsia="仿宋_GB2312"/>
              </w:rPr>
              <w:t>2）卫生间门更换钛镁合金门。</w:t>
            </w:r>
          </w:p>
          <w:p>
            <w:pPr>
              <w:pStyle w:val="null3"/>
            </w:pPr>
            <w:r>
              <w:rPr>
                <w:rFonts w:ascii="仿宋_GB2312" w:hAnsi="仿宋_GB2312" w:cs="仿宋_GB2312" w:eastAsia="仿宋_GB2312"/>
              </w:rPr>
              <w:t>3）空调挪机，挪到靠近阳台的横梁中间，保证电路顺畅，空调插座采用带有开关的插座，方便后期维修。</w:t>
            </w:r>
          </w:p>
          <w:p>
            <w:pPr>
              <w:pStyle w:val="null3"/>
            </w:pPr>
            <w:r>
              <w:rPr>
                <w:rFonts w:ascii="仿宋_GB2312" w:hAnsi="仿宋_GB2312" w:cs="仿宋_GB2312" w:eastAsia="仿宋_GB2312"/>
              </w:rPr>
              <w:t>4）每个床位安装一个20w的四孔USB+typeC口插座（每间宿舍共6个）。</w:t>
            </w:r>
          </w:p>
          <w:p>
            <w:pPr>
              <w:pStyle w:val="null3"/>
            </w:pPr>
            <w:r>
              <w:rPr>
                <w:rFonts w:ascii="仿宋_GB2312" w:hAnsi="仿宋_GB2312" w:cs="仿宋_GB2312" w:eastAsia="仿宋_GB2312"/>
              </w:rPr>
              <w:t>5）每个桌位安装一个三联十五孔插座（每间宿舍共6个）。</w:t>
            </w:r>
          </w:p>
          <w:p>
            <w:pPr>
              <w:pStyle w:val="null3"/>
            </w:pPr>
            <w:r>
              <w:rPr>
                <w:rFonts w:ascii="仿宋_GB2312" w:hAnsi="仿宋_GB2312" w:cs="仿宋_GB2312" w:eastAsia="仿宋_GB2312"/>
              </w:rPr>
              <w:t>6）插座安装要求刻槽走暗线。</w:t>
            </w:r>
          </w:p>
          <w:p>
            <w:pPr>
              <w:pStyle w:val="null3"/>
            </w:pPr>
            <w:r>
              <w:rPr>
                <w:rFonts w:ascii="仿宋_GB2312" w:hAnsi="仿宋_GB2312" w:cs="仿宋_GB2312" w:eastAsia="仿宋_GB2312"/>
              </w:rPr>
              <w:t>7）宿舍内线路布设完毕后要求恢复墙面。保证全屋墙面整洁、统一。</w:t>
            </w:r>
          </w:p>
          <w:p>
            <w:pPr>
              <w:pStyle w:val="null3"/>
            </w:pPr>
            <w:r>
              <w:rPr>
                <w:rFonts w:ascii="仿宋_GB2312" w:hAnsi="仿宋_GB2312" w:cs="仿宋_GB2312" w:eastAsia="仿宋_GB2312"/>
              </w:rPr>
              <w:t>8）宿舍南北两个横梁共做6个柜门，其中靠近门口的横梁做4个柜门，靠近窗户的横梁做2个柜门，合理规划预留空调位置。</w:t>
            </w:r>
          </w:p>
          <w:p>
            <w:pPr>
              <w:pStyle w:val="null3"/>
            </w:pPr>
            <w:r>
              <w:rPr>
                <w:rFonts w:ascii="仿宋_GB2312" w:hAnsi="仿宋_GB2312" w:cs="仿宋_GB2312" w:eastAsia="仿宋_GB2312"/>
              </w:rPr>
              <w:t>9）空调上方空余位置做格栅。</w:t>
            </w:r>
          </w:p>
          <w:p>
            <w:pPr>
              <w:pStyle w:val="null3"/>
            </w:pPr>
            <w:r>
              <w:rPr>
                <w:rFonts w:ascii="仿宋_GB2312" w:hAnsi="仿宋_GB2312" w:cs="仿宋_GB2312" w:eastAsia="仿宋_GB2312"/>
              </w:rPr>
              <w:t>10）宿舍内的灯光开关安装（大灯、阳台灯、卫生间灯共计3个开关）。</w:t>
            </w:r>
          </w:p>
          <w:p>
            <w:pPr>
              <w:pStyle w:val="null3"/>
            </w:pPr>
            <w:r>
              <w:rPr>
                <w:rFonts w:ascii="仿宋_GB2312" w:hAnsi="仿宋_GB2312" w:cs="仿宋_GB2312" w:eastAsia="仿宋_GB2312"/>
              </w:rPr>
              <w:t>11）阳台安装两人位洗漱台，洗漱台上方安装洗漱镜，洗漱镜两侧各安装3个洗漱用品转角置物架（不锈钢），洗漱台下方安装6人位洗脸盆活动置物架（不锈钢）。</w:t>
            </w:r>
          </w:p>
          <w:p>
            <w:pPr>
              <w:pStyle w:val="null3"/>
            </w:pPr>
            <w:r>
              <w:rPr>
                <w:rFonts w:ascii="仿宋_GB2312" w:hAnsi="仿宋_GB2312" w:cs="仿宋_GB2312" w:eastAsia="仿宋_GB2312"/>
              </w:rPr>
              <w:t>13）阳台地面做防水处理。</w:t>
            </w:r>
          </w:p>
          <w:p>
            <w:pPr>
              <w:pStyle w:val="null3"/>
            </w:pPr>
            <w:r>
              <w:rPr>
                <w:rFonts w:ascii="仿宋_GB2312" w:hAnsi="仿宋_GB2312" w:cs="仿宋_GB2312" w:eastAsia="仿宋_GB2312"/>
              </w:rPr>
              <w:t>14）阳台、卫生间灯具更换。</w:t>
            </w:r>
          </w:p>
          <w:p>
            <w:pPr>
              <w:pStyle w:val="null3"/>
            </w:pPr>
            <w:r>
              <w:rPr>
                <w:rFonts w:ascii="仿宋_GB2312" w:hAnsi="仿宋_GB2312" w:cs="仿宋_GB2312" w:eastAsia="仿宋_GB2312"/>
              </w:rPr>
              <w:t>15）晾衣架换新（不锈钢）。</w:t>
            </w:r>
          </w:p>
          <w:p>
            <w:pPr>
              <w:pStyle w:val="null3"/>
            </w:pPr>
            <w:r>
              <w:rPr>
                <w:rFonts w:ascii="仿宋_GB2312" w:hAnsi="仿宋_GB2312" w:cs="仿宋_GB2312" w:eastAsia="仿宋_GB2312"/>
              </w:rPr>
              <w:t>16）窗帘拆洗安装，并对损坏轨道进行维修，确保窗帘干净，正常使用。</w:t>
            </w:r>
          </w:p>
          <w:p>
            <w:pPr>
              <w:pStyle w:val="null3"/>
            </w:pPr>
            <w:r>
              <w:rPr>
                <w:rFonts w:ascii="仿宋_GB2312" w:hAnsi="仿宋_GB2312" w:cs="仿宋_GB2312" w:eastAsia="仿宋_GB2312"/>
              </w:rPr>
              <w:t>7.宿舍内卫生间</w:t>
            </w:r>
          </w:p>
          <w:p>
            <w:pPr>
              <w:pStyle w:val="null3"/>
            </w:pPr>
            <w:r>
              <w:rPr>
                <w:rFonts w:ascii="仿宋_GB2312" w:hAnsi="仿宋_GB2312" w:cs="仿宋_GB2312" w:eastAsia="仿宋_GB2312"/>
              </w:rPr>
              <w:t>1）拆除原卫生间地面和墙面瓷砖，重新做满足洗浴条件的防水（1.8m以上）。</w:t>
            </w:r>
          </w:p>
          <w:p>
            <w:pPr>
              <w:pStyle w:val="null3"/>
            </w:pPr>
            <w:r>
              <w:rPr>
                <w:rFonts w:ascii="仿宋_GB2312" w:hAnsi="仿宋_GB2312" w:cs="仿宋_GB2312" w:eastAsia="仿宋_GB2312"/>
              </w:rPr>
              <w:t>2）安装新便池。</w:t>
            </w:r>
          </w:p>
          <w:p>
            <w:pPr>
              <w:pStyle w:val="null3"/>
            </w:pPr>
            <w:r>
              <w:rPr>
                <w:rFonts w:ascii="仿宋_GB2312" w:hAnsi="仿宋_GB2312" w:cs="仿宋_GB2312" w:eastAsia="仿宋_GB2312"/>
              </w:rPr>
              <w:t>3）墙面和地面瓷砖贴面，地面坡度保证卫生间的排水都能进到便池。</w:t>
            </w:r>
          </w:p>
          <w:p>
            <w:pPr>
              <w:pStyle w:val="null3"/>
            </w:pPr>
            <w:r>
              <w:rPr>
                <w:rFonts w:ascii="仿宋_GB2312" w:hAnsi="仿宋_GB2312" w:cs="仿宋_GB2312" w:eastAsia="仿宋_GB2312"/>
              </w:rPr>
              <w:t>4）加装卫生间喷水枪。</w:t>
            </w:r>
          </w:p>
          <w:p>
            <w:pPr>
              <w:pStyle w:val="null3"/>
            </w:pPr>
            <w:r>
              <w:rPr>
                <w:rFonts w:ascii="仿宋_GB2312" w:hAnsi="仿宋_GB2312" w:cs="仿宋_GB2312" w:eastAsia="仿宋_GB2312"/>
              </w:rPr>
              <w:t>5）铝扣板吊顶。</w:t>
            </w:r>
          </w:p>
          <w:p>
            <w:pPr>
              <w:pStyle w:val="null3"/>
            </w:pPr>
            <w:r>
              <w:rPr>
                <w:rFonts w:ascii="仿宋_GB2312" w:hAnsi="仿宋_GB2312" w:cs="仿宋_GB2312" w:eastAsia="仿宋_GB2312"/>
              </w:rPr>
              <w:t>8暖气管道，从楼外的第一个阀门井开始更换楼内的全部暖气管道，包含但不限于进楼的主暖气管道、支管和暖气片等。</w:t>
            </w:r>
          </w:p>
          <w:p>
            <w:pPr>
              <w:pStyle w:val="null3"/>
            </w:pPr>
            <w:r>
              <w:rPr>
                <w:rFonts w:ascii="仿宋_GB2312" w:hAnsi="仿宋_GB2312" w:cs="仿宋_GB2312" w:eastAsia="仿宋_GB2312"/>
              </w:rPr>
              <w:t>9.拆除158间宿舍内所有的家具，包括但不限于门、床、桌子、柜子、风扇、顶柜、洗漱台、拖把池等，卫生间全部铲掉，将建筑垃圾全部运走，将学校资产门、床、桌子、风扇保持完好并全搬到指定位置。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需执行的国家相关标准、行业标准、地方标准或者其他标准、规范；</w:t>
            </w:r>
          </w:p>
          <w:p>
            <w:pPr>
              <w:pStyle w:val="null3"/>
            </w:pPr>
            <w:r>
              <w:rPr>
                <w:rFonts w:ascii="仿宋_GB2312" w:hAnsi="仿宋_GB2312" w:cs="仿宋_GB2312" w:eastAsia="仿宋_GB2312"/>
              </w:rPr>
              <w:t>项目施工需执行现行国家标准，包含但不限于以下规范：《建筑装饰装修工程质量验收标准》（GB 50210）、《建筑地面工程施工质量验收规范》（GB 50209 ）、《建筑电气工程施工质量验收规范》（GB 50303）、《建筑电气与智能化通用规范》（GB 55024）、《民用建筑电气设计标准》（GB 51348）、《建筑给水排水及采暖工程施工质量验收规范》（GB 50242）、《建筑给水排水设计标准》（GB 50015）、《智能建筑工程质量验收规范》（GB 50339）、《建筑防火通用规范》（GB 55037）、《民用建筑工程室内环境污染控制标准》（GB 50325）、《建筑节能与可再生能源利用通用规范》（GB 55015）等相关规范标准。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实施要求（包括但不限于项目实施需满足的质量、安全、文明施工、工期等要求）</w:t>
            </w:r>
          </w:p>
          <w:p>
            <w:pPr>
              <w:pStyle w:val="null3"/>
            </w:pPr>
            <w:r>
              <w:rPr>
                <w:rFonts w:ascii="仿宋_GB2312" w:hAnsi="仿宋_GB2312" w:cs="仿宋_GB2312" w:eastAsia="仿宋_GB2312"/>
              </w:rPr>
              <w:t xml:space="preserve"> （一）乙方权利义务</w:t>
            </w:r>
          </w:p>
          <w:p>
            <w:pPr>
              <w:pStyle w:val="null3"/>
            </w:pPr>
            <w:r>
              <w:rPr>
                <w:rFonts w:ascii="仿宋_GB2312" w:hAnsi="仿宋_GB2312" w:cs="仿宋_GB2312" w:eastAsia="仿宋_GB2312"/>
              </w:rPr>
              <w:t>1．按照甲方现场交底和工程内容及要求，进行施工安排，并做好雨季施工的防汛应对措施，不得影响施工进度。</w:t>
            </w:r>
          </w:p>
          <w:p>
            <w:pPr>
              <w:pStyle w:val="null3"/>
            </w:pPr>
            <w:r>
              <w:rPr>
                <w:rFonts w:ascii="仿宋_GB2312" w:hAnsi="仿宋_GB2312" w:cs="仿宋_GB2312" w:eastAsia="仿宋_GB2312"/>
              </w:rPr>
              <w:t>2．不得进行债权转让。</w:t>
            </w:r>
          </w:p>
          <w:p>
            <w:pPr>
              <w:pStyle w:val="null3"/>
            </w:pPr>
            <w:r>
              <w:rPr>
                <w:rFonts w:ascii="仿宋_GB2312" w:hAnsi="仿宋_GB2312" w:cs="仿宋_GB2312" w:eastAsia="仿宋_GB2312"/>
              </w:rPr>
              <w:t>3．乙方施工全过程必须接受由甲方对其施工质量实施监理。</w:t>
            </w:r>
          </w:p>
          <w:p>
            <w:pPr>
              <w:pStyle w:val="null3"/>
            </w:pPr>
            <w:r>
              <w:rPr>
                <w:rFonts w:ascii="仿宋_GB2312" w:hAnsi="仿宋_GB2312" w:cs="仿宋_GB2312" w:eastAsia="仿宋_GB2312"/>
              </w:rPr>
              <w:t>4．完成竣工验收及审计，并在质保期内承担维修责任（质保期：除防水工程为竣工验收合格之日起五年外，其余工程为竣工验收合格之日起二年）。</w:t>
            </w:r>
          </w:p>
          <w:p>
            <w:pPr>
              <w:pStyle w:val="null3"/>
            </w:pPr>
            <w:r>
              <w:rPr>
                <w:rFonts w:ascii="仿宋_GB2312" w:hAnsi="仿宋_GB2312" w:cs="仿宋_GB2312" w:eastAsia="仿宋_GB2312"/>
              </w:rPr>
              <w:t>5．项目乙方包工包料，乙方必须对其现场人员、设备及财产的安全负责。在施工及材料的运输等过程中发生的一切人身安全、财产损失、损害、意外事故及对第三方造成的损失，均由乙方承担，甲方不承担任何经济及连带责任。</w:t>
            </w:r>
          </w:p>
          <w:p>
            <w:pPr>
              <w:pStyle w:val="null3"/>
            </w:pPr>
            <w:r>
              <w:rPr>
                <w:rFonts w:ascii="仿宋_GB2312" w:hAnsi="仿宋_GB2312" w:cs="仿宋_GB2312" w:eastAsia="仿宋_GB2312"/>
              </w:rPr>
              <w:t>6．按有关部门的规定和甲方要求做好文明施工管理，并接受各级环保、市政等主管部门的监督管理。</w:t>
            </w:r>
          </w:p>
          <w:p>
            <w:pPr>
              <w:pStyle w:val="null3"/>
            </w:pPr>
            <w:r>
              <w:rPr>
                <w:rFonts w:ascii="仿宋_GB2312" w:hAnsi="仿宋_GB2312" w:cs="仿宋_GB2312" w:eastAsia="仿宋_GB2312"/>
              </w:rPr>
              <w:t>7．乙方在施工期间需做好对已有工程的保护，如有损坏，自行免费修补。施工完成后必须将现场打扫干净、垃圾运出校外。所有设施设备回归原位。</w:t>
            </w:r>
          </w:p>
          <w:p>
            <w:pPr>
              <w:pStyle w:val="null3"/>
            </w:pPr>
            <w:r>
              <w:rPr>
                <w:rFonts w:ascii="仿宋_GB2312" w:hAnsi="仿宋_GB2312" w:cs="仿宋_GB2312" w:eastAsia="仿宋_GB2312"/>
              </w:rPr>
              <w:t>8．全权负责协调外围关系，做好与质量监督、综合执法、周边村民等的沟通、协调工作，产生的费用自行承担。</w:t>
            </w:r>
          </w:p>
          <w:p>
            <w:pPr>
              <w:pStyle w:val="null3"/>
            </w:pPr>
            <w:r>
              <w:rPr>
                <w:rFonts w:ascii="仿宋_GB2312" w:hAnsi="仿宋_GB2312" w:cs="仿宋_GB2312" w:eastAsia="仿宋_GB2312"/>
              </w:rPr>
              <w:t>9．做好竣工资料的整理归档工作，竣工前交完整竣工资料两套。</w:t>
            </w:r>
          </w:p>
          <w:p>
            <w:pPr>
              <w:pStyle w:val="null3"/>
            </w:pPr>
            <w:r>
              <w:rPr>
                <w:rFonts w:ascii="仿宋_GB2312" w:hAnsi="仿宋_GB2312" w:cs="仿宋_GB2312" w:eastAsia="仿宋_GB2312"/>
              </w:rPr>
              <w:t>10．隐蔽工程及其他各项施工严格按工序开展，各道工序必须经监理和甲方的验收签字认可后方可进行下道工序，否则，甲方将不予认可。所导致的工期延长由乙方自行负责。</w:t>
            </w:r>
          </w:p>
          <w:p>
            <w:pPr>
              <w:pStyle w:val="null3"/>
            </w:pPr>
            <w:r>
              <w:rPr>
                <w:rFonts w:ascii="仿宋_GB2312" w:hAnsi="仿宋_GB2312" w:cs="仿宋_GB2312" w:eastAsia="仿宋_GB2312"/>
              </w:rPr>
              <w:t>11．乙方的项目经理、技术负责人和安全员不得随意更换，如确需更换，须向甲方提出变更申请，由甲方同意后方可更换，否则甲方有权按照违约责任第3条进行罚款。</w:t>
            </w:r>
          </w:p>
          <w:p>
            <w:pPr>
              <w:pStyle w:val="null3"/>
            </w:pPr>
            <w:r>
              <w:rPr>
                <w:rFonts w:ascii="仿宋_GB2312" w:hAnsi="仿宋_GB2312" w:cs="仿宋_GB2312" w:eastAsia="仿宋_GB2312"/>
              </w:rPr>
              <w:t>12．工程完工后及时缴纳水电费，按照合同总价的 0.4% 收取。</w:t>
            </w:r>
          </w:p>
          <w:p>
            <w:pPr>
              <w:pStyle w:val="null3"/>
            </w:pPr>
            <w:r>
              <w:rPr>
                <w:rFonts w:ascii="仿宋_GB2312" w:hAnsi="仿宋_GB2312" w:cs="仿宋_GB2312" w:eastAsia="仿宋_GB2312"/>
              </w:rPr>
              <w:t>（二）安全文明施工</w:t>
            </w:r>
          </w:p>
          <w:p>
            <w:pPr>
              <w:pStyle w:val="null3"/>
            </w:pPr>
            <w:r>
              <w:rPr>
                <w:rFonts w:ascii="仿宋_GB2312" w:hAnsi="仿宋_GB2312" w:cs="仿宋_GB2312" w:eastAsia="仿宋_GB2312"/>
              </w:rPr>
              <w:t>1．乙方在施工过程中施工现场须满足文明施工要求，符合陕西省及渭南市“铁腕治霾”的相关约定，符合扬尘治理“6个百分百”的要求，相关费用已包含于合同总价，因施工现场未达到文明施工的相关要求造成的工期延误及经济损失责任均由乙方承担。</w:t>
            </w:r>
          </w:p>
          <w:p>
            <w:pPr>
              <w:pStyle w:val="null3"/>
            </w:pPr>
            <w:r>
              <w:rPr>
                <w:rFonts w:ascii="仿宋_GB2312" w:hAnsi="仿宋_GB2312" w:cs="仿宋_GB2312" w:eastAsia="仿宋_GB2312"/>
              </w:rPr>
              <w:t>2．项目安全生产应达到国家、地方政府有关安全生产的各项条款规定。若发生工伤事故，有关费用全部由乙方承担，因此给甲方造成损失的，还应按照甲方的实际损失承担赔偿责任。乙方应按照《中华人民共和国安全生产法》，《建设过程安全质量管理条例》和建设部建办《建筑工程安全防护、文明施工措施费用及使用管理规定》中关于创建安全文明施工作业环境的规定执行，所需全部费用已包含在合同价款中，甲方无需另行支付。乙方承担由于自身措施不力造成事故的全部责任和费用。</w:t>
            </w:r>
          </w:p>
          <w:p>
            <w:pPr>
              <w:pStyle w:val="null3"/>
            </w:pPr>
            <w:r>
              <w:rPr>
                <w:rFonts w:ascii="仿宋_GB2312" w:hAnsi="仿宋_GB2312" w:cs="仿宋_GB2312" w:eastAsia="仿宋_GB2312"/>
              </w:rPr>
              <w:t>（三）违约责任</w:t>
            </w:r>
          </w:p>
          <w:p>
            <w:pPr>
              <w:pStyle w:val="null3"/>
            </w:pPr>
            <w:r>
              <w:rPr>
                <w:rFonts w:ascii="仿宋_GB2312" w:hAnsi="仿宋_GB2312" w:cs="仿宋_GB2312" w:eastAsia="仿宋_GB2312"/>
              </w:rPr>
              <w:t>1．因乙方原因造成工期推迟，不能按时交付使用，按3000元/天进行处罚。</w:t>
            </w:r>
          </w:p>
          <w:p>
            <w:pPr>
              <w:pStyle w:val="null3"/>
            </w:pPr>
            <w:r>
              <w:rPr>
                <w:rFonts w:ascii="仿宋_GB2312" w:hAnsi="仿宋_GB2312" w:cs="仿宋_GB2312" w:eastAsia="仿宋_GB2312"/>
              </w:rPr>
              <w:t>2．现场所有施工工艺环节均需严格清单及规范要求进行施工，不得随意减少、调整、变更工序、做法，未施作或未按标准进行施作的，甲方将按2000元/次进行处罚并扣减相关工程量和费用。</w:t>
            </w:r>
          </w:p>
          <w:p>
            <w:pPr>
              <w:pStyle w:val="null3"/>
            </w:pPr>
            <w:r>
              <w:rPr>
                <w:rFonts w:ascii="仿宋_GB2312" w:hAnsi="仿宋_GB2312" w:cs="仿宋_GB2312" w:eastAsia="仿宋_GB2312"/>
              </w:rPr>
              <w:t>3．未经甲方许可不得擅自变更项目经理及主要管理人员，在本项目合同履行期间，乙方不得擅自变更投标文件中承诺的项目经理及主要管理人员，否则按20000元/人进行处罚。对于项目经理或管理人员履职不力的，否则按10000元/人进行处罚，甲方有权要求更换同等条件的人员，乙方应在3日内更换到位。因变更人员导致工程延误的，工期不顺延，乙方应按照合同约定承担逾期竣工的违约责任；若因变更行为造成工程质量问题或安全事故，乙方承担全部责任，并赔偿由此给甲方造成的所有损失。</w:t>
            </w:r>
          </w:p>
          <w:p>
            <w:pPr>
              <w:pStyle w:val="null3"/>
            </w:pPr>
            <w:r>
              <w:rPr>
                <w:rFonts w:ascii="仿宋_GB2312" w:hAnsi="仿宋_GB2312" w:cs="仿宋_GB2312" w:eastAsia="仿宋_GB2312"/>
              </w:rPr>
              <w:t>4.乙方在施工过程中应服从甲方代表下发的现场指令，若无故不服从或者拖延不整改的，视情节轻重处以1000元/次（或天）的罚款。</w:t>
            </w:r>
          </w:p>
          <w:p>
            <w:pPr>
              <w:pStyle w:val="null3"/>
            </w:pPr>
            <w:r>
              <w:rPr>
                <w:rFonts w:ascii="仿宋_GB2312" w:hAnsi="仿宋_GB2312" w:cs="仿宋_GB2312" w:eastAsia="仿宋_GB2312"/>
              </w:rPr>
              <w:t>5．未能及时支付农民工工资造成工期延误和恶劣影响的，工期不予顺延，如发生围堵甲方或影响甲方正常办公时，甲方有权对乙方处以1万元/次（或天）的处罚；若类似事件发生超过2次，甲方有权解除合同并扣除已完成工程量20%的工程款。</w:t>
            </w:r>
          </w:p>
          <w:p>
            <w:pPr>
              <w:pStyle w:val="null3"/>
            </w:pPr>
            <w:r>
              <w:rPr>
                <w:rFonts w:ascii="仿宋_GB2312" w:hAnsi="仿宋_GB2312" w:cs="仿宋_GB2312" w:eastAsia="仿宋_GB2312"/>
              </w:rPr>
              <w:t>6．工程质量验收若一次性达不到现行国家施工验收规范要求，乙方必须返工以达到约定的质量标准，返工费用由乙方承担；若返工后仍达不到约定的质量标准，乙方继续完善该部分工程直至合格，同时处以该分部分项工程造价5%的罚款；若造成永久质量缺陷但不影响正常使用时处以该分部分项工程造价20%至50%的罚款。由此导致工程延误的，工期不顺延。</w:t>
            </w:r>
          </w:p>
          <w:p>
            <w:pPr>
              <w:pStyle w:val="null3"/>
            </w:pPr>
            <w:r>
              <w:rPr>
                <w:rFonts w:ascii="仿宋_GB2312" w:hAnsi="仿宋_GB2312" w:cs="仿宋_GB2312" w:eastAsia="仿宋_GB2312"/>
              </w:rPr>
              <w:t>7．如甲方在工程交付使用后，发现工程存在质量问题或乙方未按规范要求进行施工的，乙方须免费维修，同时甲方保留对乙方追诉、处罚等权利。</w:t>
            </w:r>
          </w:p>
          <w:p>
            <w:pPr>
              <w:pStyle w:val="null3"/>
            </w:pPr>
            <w:r>
              <w:rPr>
                <w:rFonts w:ascii="仿宋_GB2312" w:hAnsi="仿宋_GB2312" w:cs="仿宋_GB2312" w:eastAsia="仿宋_GB2312"/>
              </w:rPr>
              <w:t>8．乙方未履行合同义务或未按照合同约定履行义务而导致合同终止，乙方须向甲方赔偿100%的合同额，且甲方保有由乙方施工引发的校内建筑、设施安全问题进行追责的权力。</w:t>
            </w:r>
          </w:p>
          <w:p>
            <w:pPr>
              <w:pStyle w:val="null3"/>
            </w:pPr>
            <w:r>
              <w:rPr>
                <w:rFonts w:ascii="仿宋_GB2312" w:hAnsi="仿宋_GB2312" w:cs="仿宋_GB2312" w:eastAsia="仿宋_GB2312"/>
              </w:rPr>
              <w:t>（四）其他事项</w:t>
            </w:r>
          </w:p>
          <w:p>
            <w:pPr>
              <w:pStyle w:val="null3"/>
            </w:pPr>
            <w:r>
              <w:rPr>
                <w:rFonts w:ascii="仿宋_GB2312" w:hAnsi="仿宋_GB2312" w:cs="仿宋_GB2312" w:eastAsia="仿宋_GB2312"/>
              </w:rPr>
              <w:t>1．乙方必须自行施工，不得转包、分包。</w:t>
            </w:r>
          </w:p>
          <w:p>
            <w:pPr>
              <w:pStyle w:val="null3"/>
            </w:pPr>
            <w:r>
              <w:rPr>
                <w:rFonts w:ascii="仿宋_GB2312" w:hAnsi="仿宋_GB2312" w:cs="仿宋_GB2312" w:eastAsia="仿宋_GB2312"/>
              </w:rPr>
              <w:t>2．施工配合费以及乙方与本工程其他相关施工单位间彼此协调所产生的各项费用均已包含于合同总价。</w:t>
            </w:r>
          </w:p>
          <w:p>
            <w:pPr>
              <w:pStyle w:val="null3"/>
            </w:pPr>
            <w:r>
              <w:rPr>
                <w:rFonts w:ascii="仿宋_GB2312" w:hAnsi="仿宋_GB2312" w:cs="仿宋_GB2312" w:eastAsia="仿宋_GB2312"/>
              </w:rPr>
              <w:t>3．乙方必须为进场施工人员办理人身安全保险并报甲方备案。在进场前，乙方应完善安全组织架构，加强现场安全管理。</w:t>
            </w:r>
          </w:p>
          <w:p>
            <w:pPr>
              <w:pStyle w:val="null3"/>
            </w:pPr>
            <w:r>
              <w:rPr>
                <w:rFonts w:ascii="仿宋_GB2312" w:hAnsi="仿宋_GB2312" w:cs="仿宋_GB2312" w:eastAsia="仿宋_GB2312"/>
              </w:rPr>
              <w:t>4．对于变更和工程签证，双方除按照合同相关约定办理外，在办理过程中，乙方不得以任何理由拒绝、拖延施工，否则乙方除承担经济损失外</w:t>
            </w:r>
          </w:p>
          <w:p>
            <w:pPr>
              <w:pStyle w:val="null3"/>
            </w:pPr>
            <w:r>
              <w:rPr>
                <w:rFonts w:ascii="仿宋_GB2312" w:hAnsi="仿宋_GB2312" w:cs="仿宋_GB2312" w:eastAsia="仿宋_GB2312"/>
              </w:rPr>
              <w:t>，并承担违约责任。</w:t>
            </w:r>
          </w:p>
          <w:p>
            <w:pPr>
              <w:pStyle w:val="null3"/>
            </w:pPr>
            <w:r>
              <w:rPr>
                <w:rFonts w:ascii="仿宋_GB2312" w:hAnsi="仿宋_GB2312" w:cs="仿宋_GB2312" w:eastAsia="仿宋_GB2312"/>
              </w:rPr>
              <w:t>5．工程资料的整编必须与工程同步实施，乙方不得以任何理由推卸与缓报工程资料。</w:t>
            </w:r>
          </w:p>
          <w:p>
            <w:pPr>
              <w:pStyle w:val="null3"/>
            </w:pPr>
            <w:r>
              <w:rPr>
                <w:rFonts w:ascii="仿宋_GB2312" w:hAnsi="仿宋_GB2312" w:cs="仿宋_GB2312" w:eastAsia="仿宋_GB2312"/>
              </w:rPr>
              <w:t>6．乙方应严格按照磋商文件、合同以及其他双方明确的造价计算依据，准确编制竣工结算，报甲方审计部门或委托的第三方审计机构进行审计。</w:t>
            </w:r>
          </w:p>
          <w:p>
            <w:pPr>
              <w:pStyle w:val="null3"/>
            </w:pPr>
            <w:r>
              <w:rPr>
                <w:rFonts w:ascii="仿宋_GB2312" w:hAnsi="仿宋_GB2312" w:cs="仿宋_GB2312" w:eastAsia="仿宋_GB2312"/>
              </w:rPr>
              <w:t>7．因本工程所产生的建筑垃圾清理费用，已包含在合同总价中，乙方应根据现场实际情况或甲方现场部署，及时清理建筑垃圾。若甲方发现乙方现场建筑垃圾未及时清理的，甲方将及时书面通知乙方在两天内清理，超过两天仍未清理的，甲方有权直接委托第三方清理，费用从乙方工程款中直接扣除。</w:t>
            </w:r>
          </w:p>
          <w:p>
            <w:pPr>
              <w:pStyle w:val="null3"/>
            </w:pPr>
            <w:r>
              <w:rPr>
                <w:rFonts w:ascii="仿宋_GB2312" w:hAnsi="仿宋_GB2312" w:cs="仿宋_GB2312" w:eastAsia="仿宋_GB2312"/>
              </w:rPr>
              <w:t>8．乙方应严格落实甲方的各项部署、指令和安排，甲方临时安排的整改、维修等项目，乙方应在两天内完成，未按时完成或消极推诿，甲方有权直接处理，费用从乙方工程款中直接扣除。</w:t>
            </w:r>
          </w:p>
          <w:p>
            <w:pPr>
              <w:pStyle w:val="null3"/>
            </w:pPr>
            <w:r>
              <w:rPr>
                <w:rFonts w:ascii="仿宋_GB2312" w:hAnsi="仿宋_GB2312" w:cs="仿宋_GB2312" w:eastAsia="仿宋_GB2312"/>
              </w:rPr>
              <w:t>9．乙方施工过程中如对市政和校园的绿化、道路等既有设施造成破坏的，需恢复至原状，费用自理。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质量保证及验收标准</w:t>
            </w:r>
          </w:p>
          <w:p>
            <w:pPr>
              <w:pStyle w:val="null3"/>
            </w:pPr>
            <w:r>
              <w:rPr>
                <w:rFonts w:ascii="仿宋_GB2312" w:hAnsi="仿宋_GB2312" w:cs="仿宋_GB2312" w:eastAsia="仿宋_GB2312"/>
              </w:rPr>
              <w:t>1.达到国家规范及行业要求标准，工程为合格工程。主材、辅材规格、品种必须符合施工规范及室内环保管规范要求。漆胶、管道、吊顶进场须经甲方认质，符合国标要求。</w:t>
            </w:r>
          </w:p>
          <w:p>
            <w:pPr>
              <w:pStyle w:val="null3"/>
            </w:pPr>
            <w:r>
              <w:rPr>
                <w:rFonts w:ascii="仿宋_GB2312" w:hAnsi="仿宋_GB2312" w:cs="仿宋_GB2312" w:eastAsia="仿宋_GB2312"/>
              </w:rPr>
              <w:t>2.供应商提供的所有材料写明产品品牌、规格等。所有管道要求为国标产品，产品应有出厂合格证及检测报告。</w:t>
            </w:r>
          </w:p>
          <w:p>
            <w:pPr>
              <w:pStyle w:val="null3"/>
            </w:pPr>
            <w:r>
              <w:rPr>
                <w:rFonts w:ascii="仿宋_GB2312" w:hAnsi="仿宋_GB2312" w:cs="仿宋_GB2312" w:eastAsia="仿宋_GB2312"/>
              </w:rPr>
              <w:t xml:space="preserve">3.施工所用材料均需达到环保标准，最后施工完后房间要开展甲醛检测，并达到国家标准。   </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支付方式</w:t>
            </w:r>
          </w:p>
          <w:p>
            <w:pPr>
              <w:pStyle w:val="null3"/>
            </w:pPr>
            <w:r>
              <w:rPr>
                <w:rFonts w:ascii="仿宋_GB2312" w:hAnsi="仿宋_GB2312" w:cs="仿宋_GB2312" w:eastAsia="仿宋_GB2312"/>
              </w:rPr>
              <w:t>1.本工程无预付款。</w:t>
            </w:r>
          </w:p>
          <w:p>
            <w:pPr>
              <w:pStyle w:val="null3"/>
            </w:pPr>
            <w:r>
              <w:rPr>
                <w:rFonts w:ascii="仿宋_GB2312" w:hAnsi="仿宋_GB2312" w:cs="仿宋_GB2312" w:eastAsia="仿宋_GB2312"/>
              </w:rPr>
              <w:t>2.项目完工经甲方验收合格后付至合同总价的80%；待甲方工程审计结算完成后付至审计最终价的97%，剩余3%待工程保修期满后一次性付清。</w:t>
            </w:r>
          </w:p>
          <w:p>
            <w:pPr>
              <w:pStyle w:val="null3"/>
            </w:pPr>
            <w:r>
              <w:rPr>
                <w:rFonts w:ascii="仿宋_GB2312" w:hAnsi="仿宋_GB2312" w:cs="仿宋_GB2312" w:eastAsia="仿宋_GB2312"/>
              </w:rPr>
              <w:t>3.工程审价审减额在5%以上时，审计基本费和审计成果费均由乙方承担；工程审价审减额在5%以内时（含5%），审计基本费和审计成果费均由甲方承担。</w:t>
            </w:r>
          </w:p>
          <w:p>
            <w:pPr>
              <w:pStyle w:val="null3"/>
            </w:pPr>
            <w:r>
              <w:rPr>
                <w:rFonts w:ascii="仿宋_GB2312" w:hAnsi="仿宋_GB2312" w:cs="仿宋_GB2312" w:eastAsia="仿宋_GB2312"/>
              </w:rPr>
              <w:t>4.乙方须在甲方第一次付款前，按合同总价0.4%支付水电费。</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质量保修</w:t>
            </w:r>
          </w:p>
          <w:p>
            <w:pPr>
              <w:pStyle w:val="null3"/>
            </w:pPr>
            <w:r>
              <w:rPr>
                <w:rFonts w:ascii="仿宋_GB2312" w:hAnsi="仿宋_GB2312" w:cs="仿宋_GB2312" w:eastAsia="仿宋_GB2312"/>
              </w:rPr>
              <w:t>1.本项目质保期：除防水工程为竣工验收合格之日起五年外，其余工程为竣工验收合格之日起二年</w:t>
            </w:r>
          </w:p>
          <w:p>
            <w:pPr>
              <w:pStyle w:val="null3"/>
            </w:pPr>
            <w:r>
              <w:rPr>
                <w:rFonts w:ascii="仿宋_GB2312" w:hAnsi="仿宋_GB2312" w:cs="仿宋_GB2312" w:eastAsia="仿宋_GB2312"/>
              </w:rPr>
              <w:t>2.质保期内出现质量问题，乙方应当在接到保修通知之日起48小时内派人维修，且乙方负责承担修理和替换费用，以及由此产生的税费等所有的成本和费用，修理或替换部件保修期为从修理或替换部件完工日期后1年。维修不及时，影响正常使用，甲方可另行组织其他单位进行维修，产生的费用由乙方承担。</w:t>
            </w:r>
          </w:p>
          <w:p>
            <w:pPr>
              <w:pStyle w:val="null3"/>
            </w:pPr>
            <w:r>
              <w:rPr>
                <w:rFonts w:ascii="仿宋_GB2312" w:hAnsi="仿宋_GB2312" w:cs="仿宋_GB2312" w:eastAsia="仿宋_GB2312"/>
              </w:rPr>
              <w:t>3.发生紧急事故需抢修的，乙方在接到事故通知后，应当2小时内立即到达事故现场抢修。</w:t>
            </w:r>
          </w:p>
          <w:p>
            <w:pPr>
              <w:pStyle w:val="null3"/>
            </w:pPr>
            <w:r>
              <w:rPr>
                <w:rFonts w:ascii="仿宋_GB2312" w:hAnsi="仿宋_GB2312" w:cs="仿宋_GB2312" w:eastAsia="仿宋_GB2312"/>
              </w:rPr>
              <w:t>4.乙方质量保修完成后，由甲方组织验收。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rPr>
              <w:t>清单及限价编制说明</w:t>
            </w:r>
          </w:p>
          <w:p>
            <w:pPr>
              <w:pStyle w:val="null3"/>
            </w:pPr>
            <w:r>
              <w:rPr>
                <w:rFonts w:ascii="仿宋_GB2312" w:hAnsi="仿宋_GB2312" w:cs="仿宋_GB2312" w:eastAsia="仿宋_GB2312"/>
              </w:rPr>
              <w:t>一）工程名称</w:t>
            </w:r>
          </w:p>
          <w:p>
            <w:pPr>
              <w:pStyle w:val="null3"/>
            </w:pPr>
            <w:r>
              <w:rPr>
                <w:rFonts w:ascii="仿宋_GB2312" w:hAnsi="仿宋_GB2312" w:cs="仿宋_GB2312" w:eastAsia="仿宋_GB2312"/>
              </w:rPr>
              <w:t>陕西铁路工程职业技术学院2025年临渭校区4号公寓楼改造项目</w:t>
            </w:r>
          </w:p>
          <w:p>
            <w:pPr>
              <w:pStyle w:val="null3"/>
            </w:pPr>
            <w:r>
              <w:rPr>
                <w:rFonts w:ascii="仿宋_GB2312" w:hAnsi="仿宋_GB2312" w:cs="仿宋_GB2312" w:eastAsia="仿宋_GB2312"/>
              </w:rPr>
              <w:t>二）工程地址</w:t>
            </w:r>
          </w:p>
          <w:p>
            <w:pPr>
              <w:pStyle w:val="null3"/>
            </w:pPr>
            <w:r>
              <w:rPr>
                <w:rFonts w:ascii="仿宋_GB2312" w:hAnsi="仿宋_GB2312" w:cs="仿宋_GB2312" w:eastAsia="仿宋_GB2312"/>
              </w:rPr>
              <w:t>陕西省渭南市临渭区站北路东段1号陕西铁路工程职业技术学院</w:t>
            </w:r>
          </w:p>
          <w:p>
            <w:pPr>
              <w:pStyle w:val="null3"/>
            </w:pPr>
            <w:r>
              <w:rPr>
                <w:rFonts w:ascii="仿宋_GB2312" w:hAnsi="仿宋_GB2312" w:cs="仿宋_GB2312" w:eastAsia="仿宋_GB2312"/>
              </w:rPr>
              <w:t>三）工程概况</w:t>
            </w:r>
          </w:p>
          <w:p>
            <w:pPr>
              <w:pStyle w:val="null3"/>
            </w:pPr>
            <w:r>
              <w:rPr>
                <w:rFonts w:ascii="仿宋_GB2312" w:hAnsi="仿宋_GB2312" w:cs="仿宋_GB2312" w:eastAsia="仿宋_GB2312"/>
              </w:rPr>
              <w:t>本项目为综合改造项目，改造范围主要包括室内装饰改造。主要内容包含宿舍内部改造、走廊公共区域改造、卫生间改造、盥洗室改造、新增公寓服务站(简称小卖部)及其他改造项目。涉及电气、暖通、给排水、消防、结构加固等专业工程。</w:t>
            </w:r>
          </w:p>
          <w:p>
            <w:pPr>
              <w:pStyle w:val="null3"/>
            </w:pPr>
            <w:r>
              <w:rPr>
                <w:rFonts w:ascii="仿宋_GB2312" w:hAnsi="仿宋_GB2312" w:cs="仿宋_GB2312" w:eastAsia="仿宋_GB2312"/>
              </w:rPr>
              <w:t>四）编制依据</w:t>
            </w:r>
          </w:p>
          <w:p>
            <w:pPr>
              <w:pStyle w:val="null3"/>
            </w:pPr>
            <w:r>
              <w:rPr>
                <w:rFonts w:ascii="仿宋_GB2312" w:hAnsi="仿宋_GB2312" w:cs="仿宋_GB2312" w:eastAsia="仿宋_GB2312"/>
              </w:rPr>
              <w:t>1、《陕西省建筑、装饰、安装、市政工程消耗量定额》（2004）及定额相配套使用的《陕西省建筑装饰工程价目表》（2009）、《陕西省建设工程工程量清单计价费率》（2009）及其他相关的计价依据和办法以及《全统修缮定额土建工程陕西省价目表（2001）》等及其配套文件中的计价依据和办法；</w:t>
            </w:r>
          </w:p>
          <w:p>
            <w:pPr>
              <w:pStyle w:val="null3"/>
            </w:pPr>
            <w:r>
              <w:rPr>
                <w:rFonts w:ascii="仿宋_GB2312" w:hAnsi="仿宋_GB2312" w:cs="仿宋_GB2312" w:eastAsia="仿宋_GB2312"/>
              </w:rPr>
              <w:t>2、执行陕建发[2017]270号文件《关于增加建设工程扬尘治理专项措施费的通知》；</w:t>
            </w:r>
          </w:p>
          <w:p>
            <w:pPr>
              <w:pStyle w:val="null3"/>
            </w:pPr>
            <w:r>
              <w:rPr>
                <w:rFonts w:ascii="仿宋_GB2312" w:hAnsi="仿宋_GB2312" w:cs="仿宋_GB2312" w:eastAsia="仿宋_GB2312"/>
              </w:rPr>
              <w:t>3、执行陕建发[2019]45号文件《关于调整陕西省建设工程计价依据的通知》；</w:t>
            </w:r>
          </w:p>
          <w:p>
            <w:pPr>
              <w:pStyle w:val="null3"/>
            </w:pPr>
            <w:r>
              <w:rPr>
                <w:rFonts w:ascii="仿宋_GB2312" w:hAnsi="仿宋_GB2312" w:cs="仿宋_GB2312" w:eastAsia="仿宋_GB2312"/>
              </w:rPr>
              <w:t>4、执行陕建发[2019]1246号文件《关于发布我省落实建筑工人实名制管理计价依据的通知》；</w:t>
            </w:r>
          </w:p>
          <w:p>
            <w:pPr>
              <w:pStyle w:val="null3"/>
            </w:pPr>
            <w:r>
              <w:rPr>
                <w:rFonts w:ascii="仿宋_GB2312" w:hAnsi="仿宋_GB2312" w:cs="仿宋_GB2312" w:eastAsia="仿宋_GB2312"/>
              </w:rPr>
              <w:t>5、执行陕建发[2020]1097号文件《陕西省住房和城乡建设厅关于建筑施工安全生产责任保险费用计价的通知》；</w:t>
            </w:r>
          </w:p>
          <w:p>
            <w:pPr>
              <w:pStyle w:val="null3"/>
            </w:pPr>
            <w:r>
              <w:rPr>
                <w:rFonts w:ascii="仿宋_GB2312" w:hAnsi="仿宋_GB2312" w:cs="仿宋_GB2312" w:eastAsia="仿宋_GB2312"/>
              </w:rPr>
              <w:t>6、执行陕建发[2021]1097号文件《关于调整房屋建筑和市政基础设施工程工程量清单计价综合人工单价的通知》；</w:t>
            </w:r>
          </w:p>
          <w:p>
            <w:pPr>
              <w:pStyle w:val="null3"/>
            </w:pPr>
            <w:r>
              <w:rPr>
                <w:rFonts w:ascii="仿宋_GB2312" w:hAnsi="仿宋_GB2312" w:cs="仿宋_GB2312" w:eastAsia="仿宋_GB2312"/>
              </w:rPr>
              <w:t>7、劳保统筹执行陕西省住房和城乡建设厅《关于全省统一停止收缴建筑业劳保费用的通知》陕建发[2021]1021号文件；</w:t>
            </w:r>
          </w:p>
          <w:p>
            <w:pPr>
              <w:pStyle w:val="null3"/>
            </w:pPr>
            <w:r>
              <w:rPr>
                <w:rFonts w:ascii="仿宋_GB2312" w:hAnsi="仿宋_GB2312" w:cs="仿宋_GB2312" w:eastAsia="仿宋_GB2312"/>
              </w:rPr>
              <w:t>8、《关于加强建筑行业养老保险缴费用和养老保险费用计价监管有事项的通知》（陕建发[2021]61号）；</w:t>
            </w:r>
          </w:p>
          <w:p>
            <w:pPr>
              <w:pStyle w:val="null3"/>
            </w:pPr>
            <w:r>
              <w:rPr>
                <w:rFonts w:ascii="仿宋_GB2312" w:hAnsi="仿宋_GB2312" w:cs="仿宋_GB2312" w:eastAsia="仿宋_GB2312"/>
              </w:rPr>
              <w:t>9、常规施工组织设计及施工方法；</w:t>
            </w:r>
          </w:p>
          <w:p>
            <w:pPr>
              <w:pStyle w:val="null3"/>
            </w:pPr>
            <w:r>
              <w:rPr>
                <w:rFonts w:ascii="仿宋_GB2312" w:hAnsi="仿宋_GB2312" w:cs="仿宋_GB2312" w:eastAsia="仿宋_GB2312"/>
              </w:rPr>
              <w:t>10、材料价参陕西省2025年4月份《陕西省工程造价信息》、2025年第一期造价信息以及专业测定价,工程造价信息没有发布的参照市场价；</w:t>
            </w:r>
          </w:p>
          <w:p>
            <w:pPr>
              <w:pStyle w:val="null3"/>
            </w:pPr>
            <w:r>
              <w:rPr>
                <w:rFonts w:ascii="仿宋_GB2312" w:hAnsi="仿宋_GB2312" w:cs="仿宋_GB2312" w:eastAsia="仿宋_GB2312"/>
              </w:rPr>
              <w:t>五）编制范围</w:t>
            </w:r>
          </w:p>
          <w:p>
            <w:pPr>
              <w:pStyle w:val="null3"/>
            </w:pPr>
            <w:r>
              <w:rPr>
                <w:rFonts w:ascii="仿宋_GB2312" w:hAnsi="仿宋_GB2312" w:cs="仿宋_GB2312" w:eastAsia="仿宋_GB2312"/>
              </w:rPr>
              <w:t>编制范围具体以工程量清单为准。</w:t>
            </w:r>
          </w:p>
          <w:p>
            <w:pPr>
              <w:pStyle w:val="null3"/>
            </w:pPr>
            <w:r>
              <w:rPr>
                <w:rFonts w:ascii="仿宋_GB2312" w:hAnsi="仿宋_GB2312" w:cs="仿宋_GB2312" w:eastAsia="仿宋_GB2312"/>
              </w:rPr>
              <w:t>六）其他说明</w:t>
            </w:r>
          </w:p>
          <w:p>
            <w:pPr>
              <w:pStyle w:val="null3"/>
            </w:pPr>
            <w:r>
              <w:rPr>
                <w:rFonts w:ascii="仿宋_GB2312" w:hAnsi="仿宋_GB2312" w:cs="仿宋_GB2312" w:eastAsia="仿宋_GB2312"/>
              </w:rPr>
              <w:t>★1、本工程其他项目费中暂列金额设置为5万元。</w:t>
            </w:r>
          </w:p>
          <w:p>
            <w:pPr>
              <w:pStyle w:val="null3"/>
            </w:pPr>
            <w:r>
              <w:rPr>
                <w:rFonts w:ascii="仿宋_GB2312" w:hAnsi="仿宋_GB2312" w:cs="仿宋_GB2312" w:eastAsia="仿宋_GB2312"/>
              </w:rPr>
              <w:t>2、供应商需根据现场现有情况和相关要求计价，清单未列明且可能发生的费用，需在措施费计价中进行考虑，包含解决施工用水水源费用、解决施工用电电源费用及完成本工程所需要的全部措施费用。</w:t>
            </w:r>
          </w:p>
          <w:p>
            <w:pPr>
              <w:pStyle w:val="null3"/>
            </w:pPr>
            <w:r>
              <w:rPr>
                <w:rFonts w:ascii="仿宋_GB2312" w:hAnsi="仿宋_GB2312" w:cs="仿宋_GB2312" w:eastAsia="仿宋_GB2312"/>
              </w:rPr>
              <w:t>3、编制软件采用广联达云计价平台GCCP6.0软件，版本号为6.4100.23.122。</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本项目工期为：2025年8月10日前</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rPr>
              <w:t>材料暂估价，以下材料为工程暂估价，为不可竞争价格。供应商在报价中以下材料如未按照暂估价进行报价，则其响应文件无效。</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材料名称</w:t>
                  </w:r>
                </w:p>
              </w:tc>
              <w:tc>
                <w:tcPr>
                  <w:tcW w:type="dxa" w:w="511"/>
                </w:tcPr>
                <w:p>
                  <w:pPr>
                    <w:pStyle w:val="null3"/>
                  </w:pPr>
                  <w:r>
                    <w:rPr>
                      <w:rFonts w:ascii="仿宋_GB2312" w:hAnsi="仿宋_GB2312" w:cs="仿宋_GB2312" w:eastAsia="仿宋_GB2312"/>
                    </w:rPr>
                    <w:t>规格型号</w:t>
                  </w:r>
                </w:p>
              </w:tc>
              <w:tc>
                <w:tcPr>
                  <w:tcW w:type="dxa" w:w="511"/>
                </w:tcPr>
                <w:p>
                  <w:pPr>
                    <w:pStyle w:val="null3"/>
                  </w:pPr>
                  <w:r>
                    <w:rPr>
                      <w:rFonts w:ascii="仿宋_GB2312" w:hAnsi="仿宋_GB2312" w:cs="仿宋_GB2312" w:eastAsia="仿宋_GB2312"/>
                    </w:rPr>
                    <w:t>价格</w:t>
                  </w:r>
                </w:p>
              </w:tc>
              <w:tc>
                <w:tcPr>
                  <w:tcW w:type="dxa" w:w="511"/>
                </w:tcPr>
                <w:p>
                  <w:pPr>
                    <w:pStyle w:val="null3"/>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防盗门</w:t>
                  </w:r>
                </w:p>
              </w:tc>
              <w:tc>
                <w:tcPr>
                  <w:tcW w:type="dxa" w:w="511"/>
                </w:tcPr>
                <w:p>
                  <w:pPr>
                    <w:pStyle w:val="null3"/>
                  </w:pPr>
                  <w:r>
                    <w:rPr>
                      <w:rFonts w:ascii="仿宋_GB2312" w:hAnsi="仿宋_GB2312" w:cs="仿宋_GB2312" w:eastAsia="仿宋_GB2312"/>
                    </w:rPr>
                    <w:t>1000*2400</w:t>
                  </w:r>
                </w:p>
              </w:tc>
              <w:tc>
                <w:tcPr>
                  <w:tcW w:type="dxa" w:w="511"/>
                </w:tcPr>
                <w:p>
                  <w:pPr>
                    <w:pStyle w:val="null3"/>
                  </w:pPr>
                  <w:r>
                    <w:rPr>
                      <w:rFonts w:ascii="仿宋_GB2312" w:hAnsi="仿宋_GB2312" w:cs="仿宋_GB2312" w:eastAsia="仿宋_GB2312"/>
                    </w:rPr>
                    <w:t>1560元/樘</w:t>
                  </w:r>
                </w:p>
              </w:tc>
              <w:tc>
                <w:tcPr>
                  <w:tcW w:type="dxa" w:w="511"/>
                </w:tcPr>
                <w:p>
                  <w:pPr>
                    <w:pStyle w:val="null3"/>
                  </w:pPr>
                  <w:r>
                    <w:rPr>
                      <w:rFonts w:ascii="仿宋_GB2312" w:hAnsi="仿宋_GB2312" w:cs="仿宋_GB2312" w:eastAsia="仿宋_GB2312"/>
                    </w:rPr>
                    <w:t>认质认价（综合单价，含税落地含安装）</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智能门锁</w:t>
                  </w:r>
                </w:p>
              </w:tc>
              <w:tc>
                <w:tcPr>
                  <w:tcW w:type="dxa" w:w="511"/>
                </w:tcPr>
                <w:p>
                  <w:pPr>
                    <w:pStyle w:val="null3"/>
                  </w:pPr>
                  <w:r>
                    <w:rPr>
                      <w:rFonts w:ascii="仿宋_GB2312" w:hAnsi="仿宋_GB2312" w:cs="仿宋_GB2312" w:eastAsia="仿宋_GB2312"/>
                    </w:rPr>
                    <w:t>与门匹配</w:t>
                  </w:r>
                </w:p>
              </w:tc>
              <w:tc>
                <w:tcPr>
                  <w:tcW w:type="dxa" w:w="511"/>
                </w:tcPr>
                <w:p>
                  <w:pPr>
                    <w:pStyle w:val="null3"/>
                  </w:pPr>
                  <w:r>
                    <w:rPr>
                      <w:rFonts w:ascii="仿宋_GB2312" w:hAnsi="仿宋_GB2312" w:cs="仿宋_GB2312" w:eastAsia="仿宋_GB2312"/>
                    </w:rPr>
                    <w:t>996元/把</w:t>
                  </w:r>
                </w:p>
              </w:tc>
              <w:tc>
                <w:tcPr>
                  <w:tcW w:type="dxa" w:w="511"/>
                </w:tcPr>
                <w:p>
                  <w:pPr>
                    <w:pStyle w:val="null3"/>
                  </w:pPr>
                  <w:r>
                    <w:rPr>
                      <w:rFonts w:ascii="仿宋_GB2312" w:hAnsi="仿宋_GB2312" w:cs="仿宋_GB2312" w:eastAsia="仿宋_GB2312"/>
                    </w:rPr>
                    <w:t>认质认价（综合单价，含税落地含安装）</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洗脸盆及台面全套</w:t>
                  </w:r>
                </w:p>
              </w:tc>
              <w:tc>
                <w:tcPr>
                  <w:tcW w:type="dxa" w:w="511"/>
                </w:tcPr>
                <w:p>
                  <w:pPr>
                    <w:pStyle w:val="null3"/>
                  </w:pPr>
                  <w:r>
                    <w:rPr>
                      <w:rFonts w:ascii="仿宋_GB2312" w:hAnsi="仿宋_GB2312" w:cs="仿宋_GB2312" w:eastAsia="仿宋_GB2312"/>
                    </w:rPr>
                    <w:t>1套</w:t>
                  </w:r>
                </w:p>
              </w:tc>
              <w:tc>
                <w:tcPr>
                  <w:tcW w:type="dxa" w:w="511"/>
                </w:tcPr>
                <w:p>
                  <w:pPr>
                    <w:pStyle w:val="null3"/>
                  </w:pPr>
                  <w:r>
                    <w:rPr>
                      <w:rFonts w:ascii="仿宋_GB2312" w:hAnsi="仿宋_GB2312" w:cs="仿宋_GB2312" w:eastAsia="仿宋_GB2312"/>
                    </w:rPr>
                    <w:t>1050/套</w:t>
                  </w:r>
                </w:p>
              </w:tc>
              <w:tc>
                <w:tcPr>
                  <w:tcW w:type="dxa" w:w="511"/>
                </w:tcPr>
                <w:p>
                  <w:pPr>
                    <w:pStyle w:val="null3"/>
                  </w:pPr>
                  <w:r>
                    <w:rPr>
                      <w:rFonts w:ascii="仿宋_GB2312" w:hAnsi="仿宋_GB2312" w:cs="仿宋_GB2312" w:eastAsia="仿宋_GB2312"/>
                    </w:rPr>
                    <w:t>认质认价（综合单价，含税落地含安装）</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塑胶地板</w:t>
                  </w:r>
                </w:p>
              </w:tc>
              <w:tc>
                <w:tcPr>
                  <w:tcW w:type="dxa" w:w="511"/>
                </w:tcPr>
                <w:p>
                  <w:pPr>
                    <w:pStyle w:val="null3"/>
                  </w:pPr>
                  <w:r>
                    <w:rPr>
                      <w:rFonts w:ascii="仿宋_GB2312" w:hAnsi="仿宋_GB2312" w:cs="仿宋_GB2312" w:eastAsia="仿宋_GB2312"/>
                    </w:rPr>
                    <w:t>面层、基层</w:t>
                  </w:r>
                </w:p>
              </w:tc>
              <w:tc>
                <w:tcPr>
                  <w:tcW w:type="dxa" w:w="511"/>
                </w:tcPr>
                <w:p>
                  <w:pPr>
                    <w:pStyle w:val="null3"/>
                  </w:pPr>
                  <w:r>
                    <w:rPr>
                      <w:rFonts w:ascii="仿宋_GB2312" w:hAnsi="仿宋_GB2312" w:cs="仿宋_GB2312" w:eastAsia="仿宋_GB2312"/>
                    </w:rPr>
                    <w:t>60元/ m2</w:t>
                  </w:r>
                </w:p>
              </w:tc>
              <w:tc>
                <w:tcPr>
                  <w:tcW w:type="dxa" w:w="511"/>
                </w:tcPr>
                <w:p>
                  <w:pPr>
                    <w:pStyle w:val="null3"/>
                  </w:pPr>
                  <w:r>
                    <w:rPr>
                      <w:rFonts w:ascii="仿宋_GB2312" w:hAnsi="仿宋_GB2312" w:cs="仿宋_GB2312" w:eastAsia="仿宋_GB2312"/>
                    </w:rPr>
                    <w:t>认质认价（综合单价，含税落地）</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卫生间门</w:t>
                  </w:r>
                </w:p>
              </w:tc>
              <w:tc>
                <w:tcPr>
                  <w:tcW w:type="dxa" w:w="511"/>
                </w:tcPr>
                <w:p>
                  <w:pPr>
                    <w:pStyle w:val="null3"/>
                  </w:pPr>
                  <w:r>
                    <w:rPr>
                      <w:rFonts w:ascii="仿宋_GB2312" w:hAnsi="仿宋_GB2312" w:cs="仿宋_GB2312" w:eastAsia="仿宋_GB2312"/>
                    </w:rPr>
                    <w:t>700*2100</w:t>
                  </w:r>
                </w:p>
              </w:tc>
              <w:tc>
                <w:tcPr>
                  <w:tcW w:type="dxa" w:w="511"/>
                </w:tcPr>
                <w:p>
                  <w:pPr>
                    <w:pStyle w:val="null3"/>
                  </w:pPr>
                  <w:r>
                    <w:rPr>
                      <w:rFonts w:ascii="仿宋_GB2312" w:hAnsi="仿宋_GB2312" w:cs="仿宋_GB2312" w:eastAsia="仿宋_GB2312"/>
                    </w:rPr>
                    <w:t>890元/m2</w:t>
                  </w:r>
                </w:p>
              </w:tc>
              <w:tc>
                <w:tcPr>
                  <w:tcW w:type="dxa" w:w="511"/>
                </w:tcPr>
                <w:p>
                  <w:pPr>
                    <w:pStyle w:val="null3"/>
                  </w:pPr>
                  <w:r>
                    <w:rPr>
                      <w:rFonts w:ascii="仿宋_GB2312" w:hAnsi="仿宋_GB2312" w:cs="仿宋_GB2312" w:eastAsia="仿宋_GB2312"/>
                    </w:rPr>
                    <w:t>认质认价（综合单价，含税落地含安装）</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插座</w:t>
                  </w:r>
                </w:p>
              </w:tc>
              <w:tc>
                <w:tcPr>
                  <w:tcW w:type="dxa" w:w="511"/>
                </w:tcPr>
                <w:p>
                  <w:pPr>
                    <w:pStyle w:val="null3"/>
                  </w:pPr>
                  <w:r>
                    <w:rPr>
                      <w:rFonts w:ascii="仿宋_GB2312" w:hAnsi="仿宋_GB2312" w:cs="仿宋_GB2312" w:eastAsia="仿宋_GB2312"/>
                    </w:rPr>
                    <w:t>20W四孔USB+typeC口插座</w:t>
                  </w:r>
                </w:p>
              </w:tc>
              <w:tc>
                <w:tcPr>
                  <w:tcW w:type="dxa" w:w="511"/>
                </w:tcPr>
                <w:p>
                  <w:pPr>
                    <w:pStyle w:val="null3"/>
                  </w:pPr>
                  <w:r>
                    <w:rPr>
                      <w:rFonts w:ascii="仿宋_GB2312" w:hAnsi="仿宋_GB2312" w:cs="仿宋_GB2312" w:eastAsia="仿宋_GB2312"/>
                    </w:rPr>
                    <w:t>30.00</w:t>
                  </w:r>
                </w:p>
              </w:tc>
              <w:tc>
                <w:tcPr>
                  <w:tcW w:type="dxa" w:w="511"/>
                </w:tcPr>
                <w:p>
                  <w:pPr>
                    <w:pStyle w:val="null3"/>
                  </w:pPr>
                  <w:r>
                    <w:rPr>
                      <w:rFonts w:ascii="仿宋_GB2312" w:hAnsi="仿宋_GB2312" w:cs="仿宋_GB2312" w:eastAsia="仿宋_GB2312"/>
                    </w:rPr>
                    <w:t>认质认价(含税单价)</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插座</w:t>
                  </w:r>
                </w:p>
              </w:tc>
              <w:tc>
                <w:tcPr>
                  <w:tcW w:type="dxa" w:w="511"/>
                </w:tcPr>
                <w:p>
                  <w:pPr>
                    <w:pStyle w:val="null3"/>
                  </w:pPr>
                  <w:r>
                    <w:rPr>
                      <w:rFonts w:ascii="仿宋_GB2312" w:hAnsi="仿宋_GB2312" w:cs="仿宋_GB2312" w:eastAsia="仿宋_GB2312"/>
                    </w:rPr>
                    <w:t>三联暗插座15A5孔</w:t>
                  </w:r>
                </w:p>
              </w:tc>
              <w:tc>
                <w:tcPr>
                  <w:tcW w:type="dxa" w:w="511"/>
                </w:tcPr>
                <w:p>
                  <w:pPr>
                    <w:pStyle w:val="null3"/>
                  </w:pPr>
                  <w:r>
                    <w:rPr>
                      <w:rFonts w:ascii="仿宋_GB2312" w:hAnsi="仿宋_GB2312" w:cs="仿宋_GB2312" w:eastAsia="仿宋_GB2312"/>
                    </w:rPr>
                    <w:t>30.00</w:t>
                  </w:r>
                </w:p>
              </w:tc>
              <w:tc>
                <w:tcPr>
                  <w:tcW w:type="dxa" w:w="511"/>
                </w:tcPr>
                <w:p>
                  <w:pPr>
                    <w:pStyle w:val="null3"/>
                  </w:pPr>
                  <w:r>
                    <w:rPr>
                      <w:rFonts w:ascii="仿宋_GB2312" w:hAnsi="仿宋_GB2312" w:cs="仿宋_GB2312" w:eastAsia="仿宋_GB2312"/>
                    </w:rPr>
                    <w:t>认质认价(含税单价)</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开关</w:t>
                  </w:r>
                </w:p>
              </w:tc>
              <w:tc>
                <w:tcPr>
                  <w:tcW w:type="dxa" w:w="511"/>
                </w:tcPr>
                <w:p>
                  <w:pPr>
                    <w:pStyle w:val="null3"/>
                  </w:pPr>
                  <w:r>
                    <w:rPr>
                      <w:rFonts w:ascii="仿宋_GB2312" w:hAnsi="仿宋_GB2312" w:cs="仿宋_GB2312" w:eastAsia="仿宋_GB2312"/>
                    </w:rPr>
                    <w:t>灯具单联开关250V,10A</w:t>
                  </w:r>
                </w:p>
              </w:tc>
              <w:tc>
                <w:tcPr>
                  <w:tcW w:type="dxa" w:w="511"/>
                </w:tcPr>
                <w:p>
                  <w:pPr>
                    <w:pStyle w:val="null3"/>
                  </w:pPr>
                  <w:r>
                    <w:rPr>
                      <w:rFonts w:ascii="仿宋_GB2312" w:hAnsi="仿宋_GB2312" w:cs="仿宋_GB2312" w:eastAsia="仿宋_GB2312"/>
                    </w:rPr>
                    <w:t>15.00</w:t>
                  </w:r>
                </w:p>
              </w:tc>
              <w:tc>
                <w:tcPr>
                  <w:tcW w:type="dxa" w:w="511"/>
                </w:tcPr>
                <w:p>
                  <w:pPr>
                    <w:pStyle w:val="null3"/>
                  </w:pPr>
                  <w:r>
                    <w:rPr>
                      <w:rFonts w:ascii="仿宋_GB2312" w:hAnsi="仿宋_GB2312" w:cs="仿宋_GB2312" w:eastAsia="仿宋_GB2312"/>
                    </w:rPr>
                    <w:t>认质认价(含税单价)</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水龙头</w:t>
                  </w:r>
                </w:p>
              </w:tc>
              <w:tc>
                <w:tcPr>
                  <w:tcW w:type="dxa" w:w="511"/>
                </w:tcPr>
                <w:p>
                  <w:pPr>
                    <w:pStyle w:val="null3"/>
                  </w:pPr>
                  <w:r>
                    <w:rPr>
                      <w:rFonts w:ascii="仿宋_GB2312" w:hAnsi="仿宋_GB2312" w:cs="仿宋_GB2312" w:eastAsia="仿宋_GB2312"/>
                    </w:rPr>
                    <w:t>全铜水龙头DN20</w:t>
                  </w:r>
                </w:p>
              </w:tc>
              <w:tc>
                <w:tcPr>
                  <w:tcW w:type="dxa" w:w="511"/>
                </w:tcPr>
                <w:p>
                  <w:pPr>
                    <w:pStyle w:val="null3"/>
                  </w:pPr>
                  <w:r>
                    <w:rPr>
                      <w:rFonts w:ascii="仿宋_GB2312" w:hAnsi="仿宋_GB2312" w:cs="仿宋_GB2312" w:eastAsia="仿宋_GB2312"/>
                    </w:rPr>
                    <w:t>50.00</w:t>
                  </w:r>
                </w:p>
              </w:tc>
              <w:tc>
                <w:tcPr>
                  <w:tcW w:type="dxa" w:w="511"/>
                </w:tcPr>
                <w:p>
                  <w:pPr>
                    <w:pStyle w:val="null3"/>
                  </w:pPr>
                  <w:r>
                    <w:rPr>
                      <w:rFonts w:ascii="仿宋_GB2312" w:hAnsi="仿宋_GB2312" w:cs="仿宋_GB2312" w:eastAsia="仿宋_GB2312"/>
                    </w:rPr>
                    <w:t>认质认价(含税单价)</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大便器</w:t>
                  </w:r>
                </w:p>
              </w:tc>
              <w:tc>
                <w:tcPr>
                  <w:tcW w:type="dxa" w:w="511"/>
                </w:tcPr>
                <w:p>
                  <w:pPr>
                    <w:pStyle w:val="null3"/>
                  </w:pPr>
                  <w:r>
                    <w:rPr>
                      <w:rFonts w:ascii="仿宋_GB2312" w:hAnsi="仿宋_GB2312" w:cs="仿宋_GB2312" w:eastAsia="仿宋_GB2312"/>
                    </w:rPr>
                    <w:t>瓷蹲式大便器（含铜芯延时阀、存水弯）</w:t>
                  </w:r>
                </w:p>
              </w:tc>
              <w:tc>
                <w:tcPr>
                  <w:tcW w:type="dxa" w:w="511"/>
                </w:tcPr>
                <w:p>
                  <w:pPr>
                    <w:pStyle w:val="null3"/>
                  </w:pPr>
                  <w:r>
                    <w:rPr>
                      <w:rFonts w:ascii="仿宋_GB2312" w:hAnsi="仿宋_GB2312" w:cs="仿宋_GB2312" w:eastAsia="仿宋_GB2312"/>
                    </w:rPr>
                    <w:t>300.00</w:t>
                  </w:r>
                </w:p>
              </w:tc>
              <w:tc>
                <w:tcPr>
                  <w:tcW w:type="dxa" w:w="511"/>
                </w:tcPr>
                <w:p>
                  <w:pPr>
                    <w:pStyle w:val="null3"/>
                  </w:pPr>
                  <w:r>
                    <w:rPr>
                      <w:rFonts w:ascii="仿宋_GB2312" w:hAnsi="仿宋_GB2312" w:cs="仿宋_GB2312" w:eastAsia="仿宋_GB2312"/>
                    </w:rPr>
                    <w:t>认质认价(含税单价)</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灯具</w:t>
                  </w:r>
                </w:p>
              </w:tc>
              <w:tc>
                <w:tcPr>
                  <w:tcW w:type="dxa" w:w="511"/>
                </w:tcPr>
                <w:p>
                  <w:pPr>
                    <w:pStyle w:val="null3"/>
                  </w:pPr>
                  <w:r>
                    <w:rPr>
                      <w:rFonts w:ascii="仿宋_GB2312" w:hAnsi="仿宋_GB2312" w:cs="仿宋_GB2312" w:eastAsia="仿宋_GB2312"/>
                    </w:rPr>
                    <w:t>吸顶灯220V 24W</w:t>
                  </w:r>
                </w:p>
              </w:tc>
              <w:tc>
                <w:tcPr>
                  <w:tcW w:type="dxa" w:w="511"/>
                </w:tcPr>
                <w:p>
                  <w:pPr>
                    <w:pStyle w:val="null3"/>
                  </w:pPr>
                  <w:r>
                    <w:rPr>
                      <w:rFonts w:ascii="仿宋_GB2312" w:hAnsi="仿宋_GB2312" w:cs="仿宋_GB2312" w:eastAsia="仿宋_GB2312"/>
                    </w:rPr>
                    <w:t>61.02</w:t>
                  </w:r>
                </w:p>
              </w:tc>
              <w:tc>
                <w:tcPr>
                  <w:tcW w:type="dxa" w:w="511"/>
                </w:tcPr>
                <w:p>
                  <w:pPr>
                    <w:pStyle w:val="null3"/>
                  </w:pPr>
                  <w:r>
                    <w:rPr>
                      <w:rFonts w:ascii="仿宋_GB2312" w:hAnsi="仿宋_GB2312" w:cs="仿宋_GB2312" w:eastAsia="仿宋_GB2312"/>
                    </w:rPr>
                    <w:t>认质认价(含税单价)</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卫生间喷水枪</w:t>
                  </w:r>
                </w:p>
              </w:tc>
              <w:tc>
                <w:tcPr>
                  <w:tcW w:type="dxa" w:w="511"/>
                </w:tcPr>
                <w:p>
                  <w:pPr>
                    <w:pStyle w:val="null3"/>
                  </w:pPr>
                  <w:r>
                    <w:rPr>
                      <w:rFonts w:ascii="仿宋_GB2312" w:hAnsi="仿宋_GB2312" w:cs="仿宋_GB2312" w:eastAsia="仿宋_GB2312"/>
                    </w:rPr>
                    <w:t>DN20卫生间喷水枪</w:t>
                  </w:r>
                </w:p>
              </w:tc>
              <w:tc>
                <w:tcPr>
                  <w:tcW w:type="dxa" w:w="511"/>
                </w:tcPr>
                <w:p>
                  <w:pPr>
                    <w:pStyle w:val="null3"/>
                  </w:pPr>
                  <w:r>
                    <w:rPr>
                      <w:rFonts w:ascii="仿宋_GB2312" w:hAnsi="仿宋_GB2312" w:cs="仿宋_GB2312" w:eastAsia="仿宋_GB2312"/>
                    </w:rPr>
                    <w:t>40.00</w:t>
                  </w:r>
                </w:p>
              </w:tc>
              <w:tc>
                <w:tcPr>
                  <w:tcW w:type="dxa" w:w="511"/>
                </w:tcPr>
                <w:p>
                  <w:pPr>
                    <w:pStyle w:val="null3"/>
                  </w:pPr>
                  <w:r>
                    <w:rPr>
                      <w:rFonts w:ascii="仿宋_GB2312" w:hAnsi="仿宋_GB2312" w:cs="仿宋_GB2312" w:eastAsia="仿宋_GB2312"/>
                    </w:rPr>
                    <w:t>认质认价(含税单价)</w:t>
                  </w:r>
                </w:p>
              </w:tc>
            </w:tr>
            <w:tr>
              <w:tc>
                <w:tcPr>
                  <w:tcW w:type="dxa" w:w="511"/>
                </w:tcPr>
                <w:p>
                  <w:pPr>
                    <w:pStyle w:val="null3"/>
                  </w:pPr>
                  <w:r>
                    <w:rPr>
                      <w:rFonts w:ascii="仿宋_GB2312" w:hAnsi="仿宋_GB2312" w:cs="仿宋_GB2312" w:eastAsia="仿宋_GB2312"/>
                    </w:rPr>
                    <w:t>13</w:t>
                  </w:r>
                </w:p>
              </w:tc>
              <w:tc>
                <w:tcPr>
                  <w:tcW w:type="dxa" w:w="511"/>
                </w:tcPr>
                <w:p>
                  <w:pPr>
                    <w:pStyle w:val="null3"/>
                  </w:pPr>
                  <w:r>
                    <w:rPr>
                      <w:rFonts w:ascii="仿宋_GB2312" w:hAnsi="仿宋_GB2312" w:cs="仿宋_GB2312" w:eastAsia="仿宋_GB2312"/>
                    </w:rPr>
                    <w:t>地漏</w:t>
                  </w:r>
                </w:p>
              </w:tc>
              <w:tc>
                <w:tcPr>
                  <w:tcW w:type="dxa" w:w="511"/>
                </w:tcPr>
                <w:p>
                  <w:pPr>
                    <w:pStyle w:val="null3"/>
                  </w:pPr>
                  <w:r>
                    <w:rPr>
                      <w:rFonts w:ascii="仿宋_GB2312" w:hAnsi="仿宋_GB2312" w:cs="仿宋_GB2312" w:eastAsia="仿宋_GB2312"/>
                    </w:rPr>
                    <w:t>DN50全铜</w:t>
                  </w:r>
                </w:p>
              </w:tc>
              <w:tc>
                <w:tcPr>
                  <w:tcW w:type="dxa" w:w="511"/>
                </w:tcPr>
                <w:p>
                  <w:pPr>
                    <w:pStyle w:val="null3"/>
                  </w:pPr>
                  <w:r>
                    <w:rPr>
                      <w:rFonts w:ascii="仿宋_GB2312" w:hAnsi="仿宋_GB2312" w:cs="仿宋_GB2312" w:eastAsia="仿宋_GB2312"/>
                    </w:rPr>
                    <w:t>50.00</w:t>
                  </w:r>
                </w:p>
              </w:tc>
              <w:tc>
                <w:tcPr>
                  <w:tcW w:type="dxa" w:w="511"/>
                </w:tcPr>
                <w:p>
                  <w:pPr>
                    <w:pStyle w:val="null3"/>
                  </w:pPr>
                  <w:r>
                    <w:rPr>
                      <w:rFonts w:ascii="仿宋_GB2312" w:hAnsi="仿宋_GB2312" w:cs="仿宋_GB2312" w:eastAsia="仿宋_GB2312"/>
                    </w:rPr>
                    <w:t>认质认价(含税单价)</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numPr>
                <w:ilvl w:val="0"/>
                <w:numId w:val="1"/>
              </w:numPr>
              <w:jc w:val="both"/>
            </w:pPr>
            <w:r>
              <w:rPr>
                <w:rFonts w:ascii="仿宋_GB2312" w:hAnsi="仿宋_GB2312" w:cs="仿宋_GB2312" w:eastAsia="仿宋_GB2312"/>
              </w:rPr>
              <w:t>主要设备材料表</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序号</w:t>
                  </w:r>
                </w:p>
              </w:tc>
              <w:tc>
                <w:tcPr>
                  <w:tcW w:type="dxa" w:w="1276"/>
                </w:tcPr>
                <w:p>
                  <w:pPr>
                    <w:pStyle w:val="null3"/>
                  </w:pPr>
                  <w:r>
                    <w:rPr>
                      <w:rFonts w:ascii="仿宋_GB2312" w:hAnsi="仿宋_GB2312" w:cs="仿宋_GB2312" w:eastAsia="仿宋_GB2312"/>
                    </w:rPr>
                    <w:t>货物名称</w:t>
                  </w:r>
                </w:p>
              </w:tc>
            </w:tr>
            <w:tr>
              <w:tc>
                <w:tcPr>
                  <w:tcW w:type="dxa" w:w="1276"/>
                </w:tcPr>
                <w:p>
                  <w:pPr>
                    <w:pStyle w:val="null3"/>
                  </w:pPr>
                  <w:r>
                    <w:rPr>
                      <w:rFonts w:ascii="仿宋_GB2312" w:hAnsi="仿宋_GB2312" w:cs="仿宋_GB2312" w:eastAsia="仿宋_GB2312"/>
                    </w:rPr>
                    <w:t>1</w:t>
                  </w:r>
                </w:p>
              </w:tc>
              <w:tc>
                <w:tcPr>
                  <w:tcW w:type="dxa" w:w="1276"/>
                </w:tcPr>
                <w:p>
                  <w:pPr>
                    <w:pStyle w:val="null3"/>
                  </w:pPr>
                  <w:r>
                    <w:rPr>
                      <w:rFonts w:ascii="仿宋_GB2312" w:hAnsi="仿宋_GB2312" w:cs="仿宋_GB2312" w:eastAsia="仿宋_GB2312"/>
                    </w:rPr>
                    <w:t>暖气管材</w:t>
                  </w:r>
                </w:p>
              </w:tc>
            </w:tr>
            <w:tr>
              <w:tc>
                <w:tcPr>
                  <w:tcW w:type="dxa" w:w="1276"/>
                </w:tcPr>
                <w:p>
                  <w:pPr>
                    <w:pStyle w:val="null3"/>
                  </w:pPr>
                  <w:r>
                    <w:rPr>
                      <w:rFonts w:ascii="仿宋_GB2312" w:hAnsi="仿宋_GB2312" w:cs="仿宋_GB2312" w:eastAsia="仿宋_GB2312"/>
                    </w:rPr>
                    <w:t>2</w:t>
                  </w:r>
                </w:p>
              </w:tc>
              <w:tc>
                <w:tcPr>
                  <w:tcW w:type="dxa" w:w="1276"/>
                </w:tcPr>
                <w:p>
                  <w:pPr>
                    <w:pStyle w:val="null3"/>
                  </w:pPr>
                  <w:r>
                    <w:rPr>
                      <w:rFonts w:ascii="仿宋_GB2312" w:hAnsi="仿宋_GB2312" w:cs="仿宋_GB2312" w:eastAsia="仿宋_GB2312"/>
                    </w:rPr>
                    <w:t>顶柜材质</w:t>
                  </w:r>
                </w:p>
              </w:tc>
            </w:tr>
            <w:tr>
              <w:tc>
                <w:tcPr>
                  <w:tcW w:type="dxa" w:w="1276"/>
                </w:tcPr>
                <w:p>
                  <w:pPr>
                    <w:pStyle w:val="null3"/>
                  </w:pPr>
                  <w:r>
                    <w:rPr>
                      <w:rFonts w:ascii="仿宋_GB2312" w:hAnsi="仿宋_GB2312" w:cs="仿宋_GB2312" w:eastAsia="仿宋_GB2312"/>
                    </w:rPr>
                    <w:t>3</w:t>
                  </w:r>
                </w:p>
              </w:tc>
              <w:tc>
                <w:tcPr>
                  <w:tcW w:type="dxa" w:w="1276"/>
                </w:tcPr>
                <w:p>
                  <w:pPr>
                    <w:pStyle w:val="null3"/>
                  </w:pPr>
                  <w:r>
                    <w:rPr>
                      <w:rFonts w:ascii="仿宋_GB2312" w:hAnsi="仿宋_GB2312" w:cs="仿宋_GB2312" w:eastAsia="仿宋_GB2312"/>
                    </w:rPr>
                    <w:t>卫生间地砖</w:t>
                  </w:r>
                </w:p>
              </w:tc>
            </w:tr>
            <w:tr>
              <w:tc>
                <w:tcPr>
                  <w:tcW w:type="dxa" w:w="1276"/>
                </w:tcPr>
                <w:p>
                  <w:pPr>
                    <w:pStyle w:val="null3"/>
                  </w:pPr>
                  <w:r>
                    <w:rPr>
                      <w:rFonts w:ascii="仿宋_GB2312" w:hAnsi="仿宋_GB2312" w:cs="仿宋_GB2312" w:eastAsia="仿宋_GB2312"/>
                    </w:rPr>
                    <w:t>4</w:t>
                  </w:r>
                </w:p>
              </w:tc>
              <w:tc>
                <w:tcPr>
                  <w:tcW w:type="dxa" w:w="1276"/>
                </w:tcPr>
                <w:p>
                  <w:pPr>
                    <w:pStyle w:val="null3"/>
                  </w:pPr>
                  <w:r>
                    <w:rPr>
                      <w:rFonts w:ascii="仿宋_GB2312" w:hAnsi="仿宋_GB2312" w:cs="仿宋_GB2312" w:eastAsia="仿宋_GB2312"/>
                    </w:rPr>
                    <w:t>卫生间墙砖</w:t>
                  </w:r>
                </w:p>
              </w:tc>
            </w:tr>
            <w:tr>
              <w:tc>
                <w:tcPr>
                  <w:tcW w:type="dxa" w:w="1276"/>
                </w:tcPr>
                <w:p>
                  <w:pPr>
                    <w:pStyle w:val="null3"/>
                  </w:pPr>
                  <w:r>
                    <w:rPr>
                      <w:rFonts w:ascii="仿宋_GB2312" w:hAnsi="仿宋_GB2312" w:cs="仿宋_GB2312" w:eastAsia="仿宋_GB2312"/>
                    </w:rPr>
                    <w:t>5</w:t>
                  </w:r>
                </w:p>
              </w:tc>
              <w:tc>
                <w:tcPr>
                  <w:tcW w:type="dxa" w:w="1276"/>
                </w:tcPr>
                <w:p>
                  <w:pPr>
                    <w:pStyle w:val="null3"/>
                  </w:pPr>
                  <w:r>
                    <w:rPr>
                      <w:rFonts w:ascii="仿宋_GB2312" w:hAnsi="仿宋_GB2312" w:cs="仿宋_GB2312" w:eastAsia="仿宋_GB2312"/>
                    </w:rPr>
                    <w:t>涂料</w:t>
                  </w:r>
                </w:p>
              </w:tc>
            </w:tr>
            <w:tr>
              <w:tc>
                <w:tcPr>
                  <w:tcW w:type="dxa" w:w="1276"/>
                </w:tcPr>
                <w:p>
                  <w:pPr>
                    <w:pStyle w:val="null3"/>
                  </w:pPr>
                  <w:r>
                    <w:rPr>
                      <w:rFonts w:ascii="仿宋_GB2312" w:hAnsi="仿宋_GB2312" w:cs="仿宋_GB2312" w:eastAsia="仿宋_GB2312"/>
                    </w:rPr>
                    <w:t>6</w:t>
                  </w:r>
                </w:p>
              </w:tc>
              <w:tc>
                <w:tcPr>
                  <w:tcW w:type="dxa" w:w="1276"/>
                </w:tcPr>
                <w:p>
                  <w:pPr>
                    <w:pStyle w:val="null3"/>
                  </w:pPr>
                  <w:r>
                    <w:rPr>
                      <w:rFonts w:ascii="仿宋_GB2312" w:hAnsi="仿宋_GB2312" w:cs="仿宋_GB2312" w:eastAsia="仿宋_GB2312"/>
                    </w:rPr>
                    <w:t>护墙板</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1、依据设计文件的要求，本招标工程项目的材料、设备、施工须达到所涉及到的现行中华人民共和国以及省、自治区、直辖市或行业的工程建设标准、规范的要求。 2、根据工程设计要求，该项工程项目的材料、设备、施工除必须达到上述第一条标准外，还应满足设计要求和业主在招标文件中的有关要求。 3、该工程项目的主材、设备、施工如无上述第1、2条的标准，在材料、设备的定货采购和施工安装时，应出具生产厂家或施工安装企业在技术监督部门已备案企业标准，并经监理和业主批准后方可实施。</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详见“3.1技术、服务标准和要求”要求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1、合同单价以磋商最终报价与一次报价的下浮比例，对除去本项目暂估价及暂列金外的所有单价进行同比例下浮，以下浮后的价格作为合同执行单价； 2、成交供应商在领取成交通知书时提供3套纸质投标文件（1正2副），纸质版投标文件应与线上电子投标文件保持一致并加盖公章。3、磋商保证金备注：（1）转账完成后请将转账记录、单位名称、联系方式发送至本邮箱：526159856@qq.com （2）以保函形式缴纳保证金的，保函办理完成后请将保函扫描件、单位名称、联系方式发送至本邮箱：526159856@qq.com，并在磋商截止时间前将保函原件递交至采购代理机构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2、具有履行合同所必需的设备和专业技术能力的书面声明（格式详见附件）； 3、有依法缴纳税收和社会保障资金的良好记录（提供开标前12个月内任一月份的社保和缴纳税收的证明，依法不需要缴纳社会保障资金、免税或无须缴纳税款的供应商，应提供相关证明文件)； 4、参加政府采购活动前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提供2023或2024年度经审计完整的财务审计报告，或其磋商前6个月内银行出具的资信证明，或财政部门认可的政府采购专业担保机构出具的投标担保函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具备有效的建筑装修装饰工程专业承包二级及以上（含二级）资质，并具备有效的安全生产许可证。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拟派项目经理具备有效的建筑工程专业二级及以上注册建造师资格，具备有效的安全生产考核合格证，在本单位注册且无在建工程（承诺书）。</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全国建筑市场监管公共服务平台</w:t>
            </w:r>
          </w:p>
        </w:tc>
        <w:tc>
          <w:tcPr>
            <w:tcW w:type="dxa" w:w="3322"/>
          </w:tcPr>
          <w:p>
            <w:pPr>
              <w:pStyle w:val="null3"/>
            </w:pPr>
            <w:r>
              <w:rPr>
                <w:rFonts w:ascii="仿宋_GB2312" w:hAnsi="仿宋_GB2312" w:cs="仿宋_GB2312" w:eastAsia="仿宋_GB2312"/>
              </w:rPr>
              <w:t>供应商及供应商拟派项目经理须在“全国建筑市场监管公共服务平台（https://jzsc.mohurd.gov.cn/home）”可查询。</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服务承诺.docx 标的清单 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法定代表人授权代表参加磋商的，须出具法定代表人授权书及授权代表身份证（法定代表人直接参加投标的，须出具法定代表人身份证）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非联合体磋商承诺书.docx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“★”的实质性条款</w:t>
            </w:r>
          </w:p>
        </w:tc>
        <w:tc>
          <w:tcPr>
            <w:tcW w:type="dxa" w:w="3322"/>
          </w:tcPr>
          <w:p>
            <w:pPr>
              <w:pStyle w:val="null3"/>
            </w:pPr>
            <w:r>
              <w:rPr>
                <w:rFonts w:ascii="仿宋_GB2312" w:hAnsi="仿宋_GB2312" w:cs="仿宋_GB2312" w:eastAsia="仿宋_GB2312"/>
              </w:rPr>
              <w:t>满足本磋商文件中标注“★”的实质性条款要求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 供应商参加政府采购活动承诺书.docx 已标价工程量清单 非联合体磋商承诺书.docx 拒绝政府采购领域商业贿赂承诺书.docx 报价函 标的清单 磋商报价表.docx 响应函 强制优先采购产品承诺函 法定代表人授权书.docx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磋商报价无缺漏项，未超过项目最高限价</w:t>
            </w:r>
          </w:p>
        </w:tc>
        <w:tc>
          <w:tcPr>
            <w:tcW w:type="dxa" w:w="1661"/>
          </w:tcPr>
          <w:p>
            <w:pPr>
              <w:pStyle w:val="null3"/>
            </w:pPr>
            <w:r>
              <w:rPr>
                <w:rFonts w:ascii="仿宋_GB2312" w:hAnsi="仿宋_GB2312" w:cs="仿宋_GB2312" w:eastAsia="仿宋_GB2312"/>
              </w:rPr>
              <w:t>已标价工程量清单 报价函 标的清单 磋商报价表.docx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确保工程质量的技术组织措施（1-6分），未提供不得分。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确保安全生产的技术组织措施（1-6分），未提供不得分。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施工组织设计2.docx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确保文明施工的技术组织措施、环境保护措施、成品保护措施（1-6分），未提供不得分。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施工组织设计3.docx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确保工期的技术组织措施（1-6分），未提供不得分。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施工组织设计4.docx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施工方案及项目经理部组成，根据项目人员组成、专业证书、项目经理同类项目业绩综合赋分（1-6分），未提供不得分。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施工组织设计5.docx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施工机械配备和材料投入计划（1-6分），未提供不得分。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施工组织设计6.docx</w:t>
            </w:r>
          </w:p>
        </w:tc>
      </w:tr>
      <w:tr>
        <w:tc>
          <w:tcPr>
            <w:tcW w:type="dxa" w:w="831"/>
            <w:vMerge/>
          </w:tcPr>
          <w:p/>
        </w:tc>
        <w:tc>
          <w:tcPr>
            <w:tcW w:type="dxa" w:w="1661"/>
          </w:tcPr>
          <w:p>
            <w:pPr>
              <w:pStyle w:val="null3"/>
            </w:pPr>
            <w:r>
              <w:rPr>
                <w:rFonts w:ascii="仿宋_GB2312" w:hAnsi="仿宋_GB2312" w:cs="仿宋_GB2312" w:eastAsia="仿宋_GB2312"/>
              </w:rPr>
              <w:t>施工组织设计7</w:t>
            </w:r>
          </w:p>
        </w:tc>
        <w:tc>
          <w:tcPr>
            <w:tcW w:type="dxa" w:w="2492"/>
          </w:tcPr>
          <w:p>
            <w:pPr>
              <w:pStyle w:val="null3"/>
            </w:pPr>
            <w:r>
              <w:rPr>
                <w:rFonts w:ascii="仿宋_GB2312" w:hAnsi="仿宋_GB2312" w:cs="仿宋_GB2312" w:eastAsia="仿宋_GB2312"/>
              </w:rPr>
              <w:t>劳动力安排计划及劳务分包情况表（1-6分），未提供不得分。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施工组织设计7.docx</w:t>
            </w:r>
          </w:p>
        </w:tc>
      </w:tr>
      <w:tr>
        <w:tc>
          <w:tcPr>
            <w:tcW w:type="dxa" w:w="831"/>
            <w:vMerge/>
          </w:tcPr>
          <w:p/>
        </w:tc>
        <w:tc>
          <w:tcPr>
            <w:tcW w:type="dxa" w:w="1661"/>
          </w:tcPr>
          <w:p>
            <w:pPr>
              <w:pStyle w:val="null3"/>
            </w:pPr>
            <w:r>
              <w:rPr>
                <w:rFonts w:ascii="仿宋_GB2312" w:hAnsi="仿宋_GB2312" w:cs="仿宋_GB2312" w:eastAsia="仿宋_GB2312"/>
              </w:rPr>
              <w:t>施工组织设计8</w:t>
            </w:r>
          </w:p>
        </w:tc>
        <w:tc>
          <w:tcPr>
            <w:tcW w:type="dxa" w:w="2492"/>
          </w:tcPr>
          <w:p>
            <w:pPr>
              <w:pStyle w:val="null3"/>
            </w:pPr>
            <w:r>
              <w:rPr>
                <w:rFonts w:ascii="仿宋_GB2312" w:hAnsi="仿宋_GB2312" w:cs="仿宋_GB2312" w:eastAsia="仿宋_GB2312"/>
              </w:rPr>
              <w:t>施工进度表或施工网络图（1-6分），未提供不得分。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施工组织设计8.docx</w:t>
            </w:r>
          </w:p>
        </w:tc>
      </w:tr>
      <w:tr>
        <w:tc>
          <w:tcPr>
            <w:tcW w:type="dxa" w:w="831"/>
            <w:vMerge/>
          </w:tcPr>
          <w:p/>
        </w:tc>
        <w:tc>
          <w:tcPr>
            <w:tcW w:type="dxa" w:w="1661"/>
          </w:tcPr>
          <w:p>
            <w:pPr>
              <w:pStyle w:val="null3"/>
            </w:pPr>
            <w:r>
              <w:rPr>
                <w:rFonts w:ascii="仿宋_GB2312" w:hAnsi="仿宋_GB2312" w:cs="仿宋_GB2312" w:eastAsia="仿宋_GB2312"/>
              </w:rPr>
              <w:t>施工组织设计9</w:t>
            </w:r>
          </w:p>
        </w:tc>
        <w:tc>
          <w:tcPr>
            <w:tcW w:type="dxa" w:w="2492"/>
          </w:tcPr>
          <w:p>
            <w:pPr>
              <w:pStyle w:val="null3"/>
            </w:pPr>
            <w:r>
              <w:rPr>
                <w:rFonts w:ascii="仿宋_GB2312" w:hAnsi="仿宋_GB2312" w:cs="仿宋_GB2312" w:eastAsia="仿宋_GB2312"/>
              </w:rPr>
              <w:t>新技术、新产品、新工艺、新材料应用及施工现场扬尘预防措施和拆除垃圾清运方案（1-3分），未提供不得分。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施工组织设计9.docx</w:t>
            </w:r>
          </w:p>
        </w:tc>
      </w:tr>
      <w:tr>
        <w:tc>
          <w:tcPr>
            <w:tcW w:type="dxa" w:w="831"/>
            <w:vMerge/>
          </w:tcPr>
          <w:p/>
        </w:tc>
        <w:tc>
          <w:tcPr>
            <w:tcW w:type="dxa" w:w="1661"/>
          </w:tcPr>
          <w:p>
            <w:pPr>
              <w:pStyle w:val="null3"/>
            </w:pPr>
            <w:r>
              <w:rPr>
                <w:rFonts w:ascii="仿宋_GB2312" w:hAnsi="仿宋_GB2312" w:cs="仿宋_GB2312" w:eastAsia="仿宋_GB2312"/>
              </w:rPr>
              <w:t>施工组织设计10</w:t>
            </w:r>
          </w:p>
        </w:tc>
        <w:tc>
          <w:tcPr>
            <w:tcW w:type="dxa" w:w="2492"/>
          </w:tcPr>
          <w:p>
            <w:pPr>
              <w:pStyle w:val="null3"/>
            </w:pPr>
            <w:r>
              <w:rPr>
                <w:rFonts w:ascii="仿宋_GB2312" w:hAnsi="仿宋_GB2312" w:cs="仿宋_GB2312" w:eastAsia="仿宋_GB2312"/>
              </w:rPr>
              <w:t>后续服务保障承诺（1-3），未提供不得分。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施工组织设计10.docx</w:t>
            </w:r>
          </w:p>
        </w:tc>
      </w:tr>
      <w:tr>
        <w:tc>
          <w:tcPr>
            <w:tcW w:type="dxa" w:w="831"/>
            <w:vMerge/>
          </w:tcPr>
          <w:p/>
        </w:tc>
        <w:tc>
          <w:tcPr>
            <w:tcW w:type="dxa" w:w="1661"/>
          </w:tcPr>
          <w:p>
            <w:pPr>
              <w:pStyle w:val="null3"/>
            </w:pPr>
            <w:r>
              <w:rPr>
                <w:rFonts w:ascii="仿宋_GB2312" w:hAnsi="仿宋_GB2312" w:cs="仿宋_GB2312" w:eastAsia="仿宋_GB2312"/>
              </w:rPr>
              <w:t>施工组织设计11</w:t>
            </w:r>
          </w:p>
        </w:tc>
        <w:tc>
          <w:tcPr>
            <w:tcW w:type="dxa" w:w="2492"/>
          </w:tcPr>
          <w:p>
            <w:pPr>
              <w:pStyle w:val="null3"/>
            </w:pPr>
            <w:r>
              <w:rPr>
                <w:rFonts w:ascii="仿宋_GB2312" w:hAnsi="仿宋_GB2312" w:cs="仿宋_GB2312" w:eastAsia="仿宋_GB2312"/>
              </w:rPr>
              <w:t>供应商所投主要设备材料（见磋商文件第三章技术参数与性能指标第九部分主要设备材料表）的质量及技术参数满足磋商文件及采购人使用要求，工艺技术先进科学。根据所投主材配置情况及提供的技术支撑文件（包括检测报告或官网功能截图或产品彩页或加盖厂商公章的技术参数说明等）进行评审。 主要设备材料质量可靠、稳定性高、具备较好的使用效果，应用的技术、工艺、材料先进科学，完全满足施工要求，技术支撑文件提供齐全得5-8分；主要设备材料基本齐备，能够基本满足施工要求，技术支撑文件提供有缺漏得1-5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施工组织设计11.docx</w:t>
            </w:r>
          </w:p>
        </w:tc>
      </w:tr>
      <w:tr>
        <w:tc>
          <w:tcPr>
            <w:tcW w:type="dxa" w:w="831"/>
            <w:vMerge/>
          </w:tcPr>
          <w:p/>
        </w:tc>
        <w:tc>
          <w:tcPr>
            <w:tcW w:type="dxa" w:w="1661"/>
          </w:tcPr>
          <w:p>
            <w:pPr>
              <w:pStyle w:val="null3"/>
            </w:pPr>
            <w:r>
              <w:rPr>
                <w:rFonts w:ascii="仿宋_GB2312" w:hAnsi="仿宋_GB2312" w:cs="仿宋_GB2312" w:eastAsia="仿宋_GB2312"/>
              </w:rPr>
              <w:t>施工组织设计12</w:t>
            </w:r>
          </w:p>
        </w:tc>
        <w:tc>
          <w:tcPr>
            <w:tcW w:type="dxa" w:w="2492"/>
          </w:tcPr>
          <w:p>
            <w:pPr>
              <w:pStyle w:val="null3"/>
            </w:pPr>
            <w:r>
              <w:rPr>
                <w:rFonts w:ascii="仿宋_GB2312" w:hAnsi="仿宋_GB2312" w:cs="仿宋_GB2312" w:eastAsia="仿宋_GB2312"/>
              </w:rPr>
              <w:t>供应商应遵循学校校园文化育人体系，配合学校营造良好的校园育人环境，围绕环境育人、文化育人、活动育人、服务育人等各个方面，提供相应的承诺及方案（1-3分），未提供不得分。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施工组织设计12.docx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提供2022年5月1日起至今同类工程业绩，每个有效业绩得1分，满分5分。（时间以合同签订日期为准，提供合同复印件加盖公章）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满足磋商文件要求且最终投标报价最低的报价为评审基准价，其价格分为满分30分。 投标报价得分=（评审基准价/投标报价）*价格分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详见附件：非联合体磋商承诺书.docx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详见附件：施工组织设计1.docx</w:t>
      </w:r>
    </w:p>
    <w:p>
      <w:pPr>
        <w:pStyle w:val="null3"/>
        <w:ind w:firstLine="960"/>
      </w:pPr>
      <w:r>
        <w:rPr>
          <w:rFonts w:ascii="仿宋_GB2312" w:hAnsi="仿宋_GB2312" w:cs="仿宋_GB2312" w:eastAsia="仿宋_GB2312"/>
        </w:rPr>
        <w:t>详见附件：施工组织设计2.docx</w:t>
      </w:r>
    </w:p>
    <w:p>
      <w:pPr>
        <w:pStyle w:val="null3"/>
        <w:ind w:firstLine="960"/>
      </w:pPr>
      <w:r>
        <w:rPr>
          <w:rFonts w:ascii="仿宋_GB2312" w:hAnsi="仿宋_GB2312" w:cs="仿宋_GB2312" w:eastAsia="仿宋_GB2312"/>
        </w:rPr>
        <w:t>详见附件：施工组织设计3.docx</w:t>
      </w:r>
    </w:p>
    <w:p>
      <w:pPr>
        <w:pStyle w:val="null3"/>
        <w:ind w:firstLine="960"/>
      </w:pPr>
      <w:r>
        <w:rPr>
          <w:rFonts w:ascii="仿宋_GB2312" w:hAnsi="仿宋_GB2312" w:cs="仿宋_GB2312" w:eastAsia="仿宋_GB2312"/>
        </w:rPr>
        <w:t>详见附件：施工组织设计4.docx</w:t>
      </w:r>
    </w:p>
    <w:p>
      <w:pPr>
        <w:pStyle w:val="null3"/>
        <w:ind w:firstLine="960"/>
      </w:pPr>
      <w:r>
        <w:rPr>
          <w:rFonts w:ascii="仿宋_GB2312" w:hAnsi="仿宋_GB2312" w:cs="仿宋_GB2312" w:eastAsia="仿宋_GB2312"/>
        </w:rPr>
        <w:t>详见附件：施工组织设计5.docx</w:t>
      </w:r>
    </w:p>
    <w:p>
      <w:pPr>
        <w:pStyle w:val="null3"/>
        <w:ind w:firstLine="960"/>
      </w:pPr>
      <w:r>
        <w:rPr>
          <w:rFonts w:ascii="仿宋_GB2312" w:hAnsi="仿宋_GB2312" w:cs="仿宋_GB2312" w:eastAsia="仿宋_GB2312"/>
        </w:rPr>
        <w:t>详见附件：施工组织设计6.docx</w:t>
      </w:r>
    </w:p>
    <w:p>
      <w:pPr>
        <w:pStyle w:val="null3"/>
        <w:ind w:firstLine="960"/>
      </w:pPr>
      <w:r>
        <w:rPr>
          <w:rFonts w:ascii="仿宋_GB2312" w:hAnsi="仿宋_GB2312" w:cs="仿宋_GB2312" w:eastAsia="仿宋_GB2312"/>
        </w:rPr>
        <w:t>详见附件：施工组织设计7.docx</w:t>
      </w:r>
    </w:p>
    <w:p>
      <w:pPr>
        <w:pStyle w:val="null3"/>
        <w:ind w:firstLine="960"/>
      </w:pPr>
      <w:r>
        <w:rPr>
          <w:rFonts w:ascii="仿宋_GB2312" w:hAnsi="仿宋_GB2312" w:cs="仿宋_GB2312" w:eastAsia="仿宋_GB2312"/>
        </w:rPr>
        <w:t>详见附件：施工组织设计8.docx</w:t>
      </w:r>
    </w:p>
    <w:p>
      <w:pPr>
        <w:pStyle w:val="null3"/>
        <w:ind w:firstLine="960"/>
      </w:pPr>
      <w:r>
        <w:rPr>
          <w:rFonts w:ascii="仿宋_GB2312" w:hAnsi="仿宋_GB2312" w:cs="仿宋_GB2312" w:eastAsia="仿宋_GB2312"/>
        </w:rPr>
        <w:t>详见附件：施工组织设计9.docx</w:t>
      </w:r>
    </w:p>
    <w:p>
      <w:pPr>
        <w:pStyle w:val="null3"/>
        <w:ind w:firstLine="960"/>
      </w:pPr>
      <w:r>
        <w:rPr>
          <w:rFonts w:ascii="仿宋_GB2312" w:hAnsi="仿宋_GB2312" w:cs="仿宋_GB2312" w:eastAsia="仿宋_GB2312"/>
        </w:rPr>
        <w:t>详见附件：施工组织设计10.docx</w:t>
      </w:r>
    </w:p>
    <w:p>
      <w:pPr>
        <w:pStyle w:val="null3"/>
        <w:ind w:firstLine="960"/>
      </w:pPr>
      <w:r>
        <w:rPr>
          <w:rFonts w:ascii="仿宋_GB2312" w:hAnsi="仿宋_GB2312" w:cs="仿宋_GB2312" w:eastAsia="仿宋_GB2312"/>
        </w:rPr>
        <w:t>详见附件：施工组织设计11.docx</w:t>
      </w:r>
    </w:p>
    <w:p>
      <w:pPr>
        <w:pStyle w:val="null3"/>
        <w:ind w:firstLine="960"/>
      </w:pPr>
      <w:r>
        <w:rPr>
          <w:rFonts w:ascii="仿宋_GB2312" w:hAnsi="仿宋_GB2312" w:cs="仿宋_GB2312" w:eastAsia="仿宋_GB2312"/>
        </w:rPr>
        <w:t>详见附件：施工组织设计12.docx</w:t>
      </w:r>
    </w:p>
    <w:p>
      <w:pPr>
        <w:pStyle w:val="null3"/>
        <w:ind w:firstLine="960"/>
      </w:pPr>
      <w:r>
        <w:rPr>
          <w:rFonts w:ascii="仿宋_GB2312" w:hAnsi="仿宋_GB2312" w:cs="仿宋_GB2312" w:eastAsia="仿宋_GB2312"/>
        </w:rPr>
        <w:t>详见附件：项目业绩表.docx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