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版本号：SZT2025-SN-XC-ZC-FW-026220250530001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现场工程师专项培养计划项目（二期）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SZT2025-SN-XC-ZC-FW-0262</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现场工程师专项培养计划项目（二期）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SZT2025-SN-XC-ZC-FW-0262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现场工程师专项培养计划项目（二期）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贯彻落实《国务院办公厅关于深化产教融合的若干意见》和《国务院常务会议部署加快发展现代职业教育》的精神，全面提高人才培养质量。大数据应用学院积极创新人才培养模式，决定遴选、组建成立“现场工程师班”。探索“电子信息类+大数据技术专业群现场工程师”培养的标准和育人模式，联合培养一批具备工匠精神，精操作、懂工艺、会管理、善协作、能创新的现场工程师，服务于新一代信息技术产业。 通过校企深度合作，以“工学交替、育训结合、在岗成才”的学徒制理念，通过校企双导师育训交互的方式，打造“小学期工学交替”的育人模式。以行业企业的真实项目为载体，聚焦新一代信息技术领域紧缺数字人才，培养具有“优良的思想品德，精湛的专业技能，符合企业发展需求的Java开发工程师、技术支持工程师。 该项目面向大数据技术、计算机应用技术、软件技术、云计算技术应用等4个专业学生。2024年已通过校企联合考试的招生办法，从2023级高职专科新生遴选了一批（约40人）优秀的学生组建成“现场工程师班”。 为了培养满足产业需求的JAVA开发岗位人才，持续化服务“现场工程师班”，2025年需要持续实施现场工程师专项培养计划项目（二期）。同时，2025年还需再从2024级高职专科新生遴选一批（约40人）优秀的学生组建新一届“现场工程师班”。 项目建设完成后，解决陕西省内对于JAVA开发工程师岗位的用工需求，持续突出职业教育类型教育的特点，促进职业教育提质增效，加快落实大国工匠培养，致力改变社会对职业教育的固有认知。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029-81333008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照国家计委颁布的《招标代理服务收费管理暂行办法》（计价格[2002]1980号）和（发改办价格[2003]857号）中服务类收费标准收取。在领取中标通知书时向招标代理机构一次性交纳。2、招标代理服务费的交纳方式：在领取中标通知书时按30.1的规定，向采购代理机构直接交纳服务费，采用现金或支票方式一次性交纳。开户名称：陕西中技招标有限公司；开户行名称：招商银行西安分行营业部；账号：1299 1681 2810 001；转账事由：(编号后四位）项目招标代理服务费；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详见招标文件采购内容及合同模板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地址：710075</w:t>
      </w:r>
    </w:p>
    <w:p>
      <w:pPr>
        <w:pStyle w:val="null3"/>
      </w:pPr>
      <w:r>
        <w:rPr>
          <w:rFonts w:ascii="仿宋_GB2312" w:hAnsi="仿宋_GB2312" w:cs="仿宋_GB2312" w:eastAsia="仿宋_GB2312"/>
        </w:rPr>
        <w:t>邮编：西安市高新区高新四路1号高科广场A座1001室</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国务院办公厅关于深化产教融合的若干意见》和《国务院常务会议部署加快发展现代职业教育》的精神，全面提高人才培养质量。大数据应用学院积极创新人才培养模式，决定遴选、组建成立“现场工程师班”。探索“电子信息类+大数据技术专业群现场工程师”培养的标准和育人模式，联合培养一批具备工匠精神，精操作、懂工艺、会管理、善协作、能创新的现场工程师，服务于新一代信息技术产业。 通过校企深度合作，以“工学交替、育训结合、在岗成才”的学徒制理念，通过校企双导师育训交互的方式，打造“小学期工学交替”的育人模式。以行业企业的真实项目为载体，聚焦新一代信息技术领域紧缺数字人才，培养具有“优良的思想品德，精湛的专业技能，符合企业发展需求的Java开发工程师、技术支持工程师。 该项目面向大数据技术、计算机应用技术、软件技术、云计算技术应用等4个专业学生。2024年已通过校企联合考试的招生办法，从2023级高职专科新生遴选了一批（约40人）优秀的学生组建成“现场工程师班”。 为了培养满足产业需求的JAVA开发岗位人才，持续化服务“现场工程师班”，2025年需要持续实施现场工程师专项培养计划项目（二期）。同时，2025年还需再从2024级高职专科新生遴选一批（约40人）优秀的学生组建新一届“现场工程师班”。 项目建设完成后，解决陕西省内对于JAVA开发工程师岗位的用工需求，持续突出职业教育类型教育的特点，促进职业教育提质增效，加快落实大国工匠培养，致力改变社会对职业教育的固有认知。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现场工程师专项培养计划项目（二期）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标的名称：现场工程师专项培养计划项目（二期）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为贯彻落实《国务院办公厅关于深化产教融合的若干意见》和《国务院常务会议部署加快发展现代职业教育》的精神，全面提高人才培养质量。大数据应用学院积极创新人才培养模式，决定遴选、组建成立</w:t>
            </w:r>
            <w:r>
              <w:rPr>
                <w:rFonts w:ascii="仿宋_GB2312" w:hAnsi="仿宋_GB2312" w:cs="仿宋_GB2312" w:eastAsia="仿宋_GB2312"/>
                <w:sz w:val="24"/>
              </w:rPr>
              <w:t>“现场工程师班”。探索“电子信息类+大数据技术专业群现场工程师”培养的标准和育人模式，联合培养一批具备工匠精神，精操作、懂工艺、会管理、善协作、能创新的现场工程师，服务于新一代信息技术产业。</w:t>
            </w:r>
          </w:p>
          <w:p>
            <w:pPr>
              <w:pStyle w:val="null3"/>
              <w:ind w:firstLine="480"/>
              <w:jc w:val="both"/>
            </w:pPr>
            <w:r>
              <w:rPr>
                <w:rFonts w:ascii="仿宋_GB2312" w:hAnsi="仿宋_GB2312" w:cs="仿宋_GB2312" w:eastAsia="仿宋_GB2312"/>
                <w:sz w:val="24"/>
              </w:rPr>
              <w:t>通过校企深度合作，以</w:t>
            </w:r>
            <w:r>
              <w:rPr>
                <w:rFonts w:ascii="仿宋_GB2312" w:hAnsi="仿宋_GB2312" w:cs="仿宋_GB2312" w:eastAsia="仿宋_GB2312"/>
                <w:sz w:val="24"/>
              </w:rPr>
              <w:t>“工学交替、育训结合、在岗成才”的学徒制理念，通过校企双导师育训交互的方式，打造“小学期工学交替”的育人模式。以行业企业的真实项目为载体，聚焦新一代信息技术领域紧缺数字人才，培养具有“优良的思想品德，精湛的专业技能，符合企业发展需求的Java开发工程师、技术支持工程师。</w:t>
            </w:r>
          </w:p>
          <w:p>
            <w:pPr>
              <w:pStyle w:val="null3"/>
              <w:ind w:firstLine="480"/>
              <w:jc w:val="both"/>
            </w:pPr>
            <w:r>
              <w:rPr>
                <w:rFonts w:ascii="仿宋_GB2312" w:hAnsi="仿宋_GB2312" w:cs="仿宋_GB2312" w:eastAsia="仿宋_GB2312"/>
                <w:sz w:val="24"/>
              </w:rPr>
              <w:t>该项目面向大数据技术、计算机应用技术、软件技术、云计算技术应用等</w:t>
            </w:r>
            <w:r>
              <w:rPr>
                <w:rFonts w:ascii="仿宋_GB2312" w:hAnsi="仿宋_GB2312" w:cs="仿宋_GB2312" w:eastAsia="仿宋_GB2312"/>
                <w:sz w:val="24"/>
              </w:rPr>
              <w:t>4个专业学生。2024年已通过校企联合考试的招生办法，从2023级高职专科新生遴选了一批（约40人）优秀的学生组建成“现场工程师班”。</w:t>
            </w:r>
          </w:p>
          <w:p>
            <w:pPr>
              <w:pStyle w:val="null3"/>
              <w:ind w:firstLine="480"/>
              <w:jc w:val="both"/>
            </w:pPr>
            <w:r>
              <w:rPr>
                <w:rFonts w:ascii="仿宋_GB2312" w:hAnsi="仿宋_GB2312" w:cs="仿宋_GB2312" w:eastAsia="仿宋_GB2312"/>
                <w:sz w:val="24"/>
              </w:rPr>
              <w:t>为了培养满足产业需求的</w:t>
            </w:r>
            <w:r>
              <w:rPr>
                <w:rFonts w:ascii="仿宋_GB2312" w:hAnsi="仿宋_GB2312" w:cs="仿宋_GB2312" w:eastAsia="仿宋_GB2312"/>
                <w:sz w:val="24"/>
              </w:rPr>
              <w:t>JAVA开发岗位人才，持续化服务“现场工程师班”，2025年需要持续实施现场工程师专项培养计划项目（二期）。同时，2025年还需再从2024级高职专科新生遴选一批（约40人）优秀的学生组建新一届“现场工程师班”。</w:t>
            </w:r>
          </w:p>
          <w:p>
            <w:pPr>
              <w:pStyle w:val="null3"/>
              <w:ind w:firstLine="480"/>
              <w:jc w:val="both"/>
            </w:pPr>
            <w:r>
              <w:rPr>
                <w:rFonts w:ascii="仿宋_GB2312" w:hAnsi="仿宋_GB2312" w:cs="仿宋_GB2312" w:eastAsia="仿宋_GB2312"/>
                <w:sz w:val="24"/>
              </w:rPr>
              <w:t>项目建设完成后，解决陕西省内对于</w:t>
            </w:r>
            <w:r>
              <w:rPr>
                <w:rFonts w:ascii="仿宋_GB2312" w:hAnsi="仿宋_GB2312" w:cs="仿宋_GB2312" w:eastAsia="仿宋_GB2312"/>
                <w:sz w:val="24"/>
              </w:rPr>
              <w:t>JAVA开发工程师岗位的用工需求，持续突出职业教育类型教育的特点，促进职业教育提质增效，加快落实大国工匠培养，致力改变社会对职业教育的固有认知。</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采购内容</w:t>
            </w:r>
          </w:p>
          <w:tbl>
            <w:tblPr>
              <w:tblInd w:type="dxa" w:w="135"/>
              <w:tblBorders>
                <w:top w:val="none" w:color="000000" w:sz="4"/>
                <w:left w:val="none" w:color="000000" w:sz="4"/>
                <w:bottom w:val="none" w:color="000000" w:sz="4"/>
                <w:right w:val="none" w:color="000000" w:sz="4"/>
                <w:insideH w:val="none"/>
                <w:insideV w:val="none"/>
              </w:tblBorders>
            </w:tblPr>
            <w:tblGrid>
              <w:gridCol w:w="292"/>
              <w:gridCol w:w="1724"/>
              <w:gridCol w:w="228"/>
              <w:gridCol w:w="308"/>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签订联合培养协议（学生补贴）</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联合修订人才培养方案（组织校内外专家论证）</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共同修定专业核心课程体系（根据产业需求动态调整）</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联合开发课程教学资源</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项目经理（兼企业班主任）</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执行招生考试工作（</w:t>
                  </w:r>
                  <w:r>
                    <w:rPr>
                      <w:rFonts w:ascii="仿宋_GB2312" w:hAnsi="仿宋_GB2312" w:cs="仿宋_GB2312" w:eastAsia="仿宋_GB2312"/>
                      <w:sz w:val="24"/>
                      <w:color w:val="000000"/>
                    </w:rPr>
                    <w:t>2024年新生）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优化考核评价方式</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企业工程师教学</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学校导师岗位实践</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搭建就业服务平台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知识产权服务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面向企业员工开展培训</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现场工程师工程训练服务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加强国际交流与合作</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both"/>
            </w:pPr>
            <w:r>
              <w:rPr>
                <w:rFonts w:ascii="仿宋_GB2312" w:hAnsi="仿宋_GB2312" w:cs="仿宋_GB2312" w:eastAsia="仿宋_GB2312"/>
                <w:sz w:val="24"/>
              </w:rPr>
              <w:t>三、技术要求（包括对产品的认证、检验报告等）</w:t>
            </w:r>
          </w:p>
          <w:tbl>
            <w:tblPr>
              <w:tblBorders>
                <w:top w:val="none" w:color="000000" w:sz="4"/>
                <w:left w:val="none" w:color="000000" w:sz="4"/>
                <w:bottom w:val="none" w:color="000000" w:sz="4"/>
                <w:right w:val="none" w:color="000000" w:sz="4"/>
                <w:insideH w:val="none"/>
                <w:insideV w:val="none"/>
              </w:tblBorders>
            </w:tblPr>
            <w:tblGrid>
              <w:gridCol w:w="130"/>
              <w:gridCol w:w="323"/>
              <w:gridCol w:w="1816"/>
              <w:gridCol w:w="135"/>
              <w:gridCol w:w="148"/>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签订联合培养协议（学生补贴）</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1、针对JAVA开发工程师岗位，校企联合培养人才，每届学徒≤50人。</w:t>
                  </w:r>
                  <w:r>
                    <w:rPr>
                      <w:rFonts w:ascii="仿宋_GB2312" w:hAnsi="仿宋_GB2312" w:cs="仿宋_GB2312" w:eastAsia="仿宋_GB2312"/>
                      <w:sz w:val="24"/>
                      <w:color w:val="000000"/>
                    </w:rPr>
                    <w:t>企业</w:t>
                  </w:r>
                  <w:r>
                    <w:rPr>
                      <w:rFonts w:ascii="仿宋_GB2312" w:hAnsi="仿宋_GB2312" w:cs="仿宋_GB2312" w:eastAsia="仿宋_GB2312"/>
                      <w:sz w:val="24"/>
                      <w:color w:val="000000"/>
                    </w:rPr>
                    <w:t>深度参与现场工程师学徒人才培养全过程，包括：招生招工一体化、人才培养方案修订、招生和迎新协助、入学教育</w:t>
                  </w:r>
                  <w:r>
                    <w:rPr>
                      <w:rFonts w:ascii="仿宋_GB2312" w:hAnsi="仿宋_GB2312" w:cs="仿宋_GB2312" w:eastAsia="仿宋_GB2312"/>
                      <w:sz w:val="24"/>
                      <w:color w:val="000000"/>
                    </w:rPr>
                    <w:t>/新生研讨课、企业参观/认知实习、课程资源开发、课程</w:t>
                  </w:r>
                  <w:r>
                    <w:rPr>
                      <w:rFonts w:ascii="仿宋_GB2312" w:hAnsi="仿宋_GB2312" w:cs="仿宋_GB2312" w:eastAsia="仿宋_GB2312"/>
                      <w:sz w:val="24"/>
                      <w:color w:val="000000"/>
                    </w:rPr>
                    <w:t>设计实训、企业集中实训、毕业设计指导、企业实习和就业等。并按照</w:t>
                  </w:r>
                  <w:r>
                    <w:rPr>
                      <w:rFonts w:ascii="仿宋_GB2312" w:hAnsi="仿宋_GB2312" w:cs="仿宋_GB2312" w:eastAsia="仿宋_GB2312"/>
                      <w:sz w:val="24"/>
                      <w:color w:val="000000"/>
                    </w:rPr>
                    <w:t>2025年度校企培养需求，给2023级现场工程师班和2024级现场工程师班的学生发放2025年生活补贴100元/生/月</w:t>
                  </w:r>
                  <w:r>
                    <w:rPr>
                      <w:rFonts w:ascii="仿宋_GB2312" w:hAnsi="仿宋_GB2312" w:cs="仿宋_GB2312" w:eastAsia="仿宋_GB2312"/>
                      <w:sz w:val="24"/>
                      <w:color w:val="000000"/>
                    </w:rPr>
                    <w:t>，</w:t>
                  </w:r>
                  <w:r>
                    <w:rPr>
                      <w:rFonts w:ascii="仿宋_GB2312" w:hAnsi="仿宋_GB2312" w:cs="仿宋_GB2312" w:eastAsia="仿宋_GB2312"/>
                      <w:sz w:val="24"/>
                      <w:color w:val="000000"/>
                    </w:rPr>
                    <w:t>共计发放</w:t>
                  </w:r>
                  <w:r>
                    <w:rPr>
                      <w:rFonts w:ascii="仿宋_GB2312" w:hAnsi="仿宋_GB2312" w:cs="仿宋_GB2312" w:eastAsia="仿宋_GB2312"/>
                      <w:sz w:val="24"/>
                      <w:color w:val="000000"/>
                    </w:rPr>
                    <w:t>9个月</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企业</w:t>
                  </w:r>
                  <w:r>
                    <w:rPr>
                      <w:rFonts w:ascii="仿宋_GB2312" w:hAnsi="仿宋_GB2312" w:cs="仿宋_GB2312" w:eastAsia="仿宋_GB2312"/>
                      <w:sz w:val="24"/>
                      <w:color w:val="000000"/>
                    </w:rPr>
                    <w:t>选派管理人员参与共建现场工程师项目的推进、学校办学政策对接、工作关系协调等；联合企业制定人才培养方案；做好学生的就业指导和就业推荐工作。</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联合优化人才培养方案（组织校内外专家论证）</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1、以调研论证组为主，调研陕西省周边技术支持与java开发岗位需求、岗位职业能力、就业情况，编制调研报告；</w:t>
                  </w:r>
                </w:p>
                <w:p>
                  <w:pPr>
                    <w:pStyle w:val="null3"/>
                    <w:jc w:val="both"/>
                  </w:pPr>
                  <w:r>
                    <w:rPr>
                      <w:rFonts w:ascii="仿宋_GB2312" w:hAnsi="仿宋_GB2312" w:cs="仿宋_GB2312" w:eastAsia="仿宋_GB2312"/>
                      <w:sz w:val="24"/>
                      <w:color w:val="000000"/>
                    </w:rPr>
                    <w:t>2、依据调研报告组织专家团队召开人才培养方案修订论证会1次；</w:t>
                  </w:r>
                </w:p>
                <w:p>
                  <w:pPr>
                    <w:pStyle w:val="null3"/>
                    <w:jc w:val="both"/>
                  </w:pPr>
                  <w:r>
                    <w:rPr>
                      <w:rFonts w:ascii="仿宋_GB2312" w:hAnsi="仿宋_GB2312" w:cs="仿宋_GB2312" w:eastAsia="仿宋_GB2312"/>
                      <w:sz w:val="24"/>
                      <w:color w:val="000000"/>
                    </w:rPr>
                    <w:t>3、以人培评审组为主，按岗位需求和用人情况、教学可行性和适应性、职业匹配性和发展性三个要素审评与迭代修正，完成“三审评”，形成人培方案终稿。</w:t>
                  </w:r>
                </w:p>
                <w:p>
                  <w:pPr>
                    <w:pStyle w:val="null3"/>
                    <w:jc w:val="both"/>
                  </w:pPr>
                  <w:r>
                    <w:rPr>
                      <w:rFonts w:ascii="仿宋_GB2312" w:hAnsi="仿宋_GB2312" w:cs="仿宋_GB2312" w:eastAsia="仿宋_GB2312"/>
                      <w:sz w:val="24"/>
                    </w:rPr>
                    <w:t>4、配套产业大数据引擎平台，为产业、岗位的调研提供技术支持。需提供平台1年单账号的SaaS服务使用。技术要求如下：</w:t>
                  </w:r>
                </w:p>
                <w:p>
                  <w:pPr>
                    <w:pStyle w:val="null3"/>
                    <w:jc w:val="left"/>
                  </w:pPr>
                  <w:r>
                    <w:rPr>
                      <w:rFonts w:ascii="仿宋_GB2312" w:hAnsi="仿宋_GB2312" w:cs="仿宋_GB2312" w:eastAsia="仿宋_GB2312"/>
                      <w:sz w:val="24"/>
                    </w:rPr>
                    <w:t>（一）产业图谱</w:t>
                  </w:r>
                </w:p>
                <w:p>
                  <w:pPr>
                    <w:pStyle w:val="null3"/>
                    <w:jc w:val="left"/>
                  </w:pPr>
                  <w:r>
                    <w:rPr>
                      <w:rFonts w:ascii="仿宋_GB2312" w:hAnsi="仿宋_GB2312" w:cs="仿宋_GB2312" w:eastAsia="仿宋_GB2312"/>
                      <w:sz w:val="24"/>
                    </w:rPr>
                    <w:t>1.系统须支持创建好的产业图谱以3D动态星链图进行外化展示，支持位置拖动和方向调整，支持分层穿透、放大和缩小，其中放大和缩小功能不接受浏览器页面放大缩小的方式进行响应；</w:t>
                  </w:r>
                </w:p>
                <w:p>
                  <w:pPr>
                    <w:pStyle w:val="null3"/>
                    <w:jc w:val="left"/>
                  </w:pPr>
                  <w:r>
                    <w:rPr>
                      <w:rFonts w:ascii="仿宋_GB2312" w:hAnsi="仿宋_GB2312" w:cs="仿宋_GB2312" w:eastAsia="仿宋_GB2312"/>
                      <w:sz w:val="24"/>
                    </w:rPr>
                    <w:t>2.系统须提供默认为物联网产业链图谱展示案例，支持查看完整物联网产业链→上中下游→产业节点→企业/岗位→岗位技能的全部节点数据信息内容；</w:t>
                  </w:r>
                  <w:r>
                    <w:rPr>
                      <w:rFonts w:ascii="仿宋_GB2312" w:hAnsi="仿宋_GB2312" w:cs="仿宋_GB2312" w:eastAsia="仿宋_GB2312"/>
                      <w:sz w:val="24"/>
                      <w:b/>
                    </w:rPr>
                    <w:t>（需提供操作演示视频）</w:t>
                  </w:r>
                </w:p>
                <w:p>
                  <w:pPr>
                    <w:pStyle w:val="null3"/>
                    <w:jc w:val="left"/>
                  </w:pPr>
                  <w:r>
                    <w:rPr>
                      <w:rFonts w:ascii="仿宋_GB2312" w:hAnsi="仿宋_GB2312" w:cs="仿宋_GB2312" w:eastAsia="仿宋_GB2312"/>
                      <w:sz w:val="24"/>
                    </w:rPr>
                    <w:t>（二）产业大数据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1.系统须支持区域筛选，提供地方行政单位库，可按省/市/区进行联级筛选，筛选出所选区域的产业数据内容进行展示；</w:t>
                  </w:r>
                  <w:r>
                    <w:rPr>
                      <w:rFonts w:ascii="仿宋_GB2312" w:hAnsi="仿宋_GB2312" w:cs="仿宋_GB2312" w:eastAsia="仿宋_GB2312"/>
                      <w:sz w:val="24"/>
                      <w:b/>
                    </w:rPr>
                    <w:t>（需提供功能页面截图）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2.系统须能够展示产业企业数量区域分布图：需内嵌所选区域地图，以地图的方式展示所选地区各区各产业企业数量，支持数据轮播展示和选择区域单独展示；</w:t>
                  </w:r>
                  <w:r>
                    <w:rPr>
                      <w:rFonts w:ascii="仿宋_GB2312" w:hAnsi="仿宋_GB2312" w:cs="仿宋_GB2312" w:eastAsia="仿宋_GB2312"/>
                      <w:sz w:val="24"/>
                      <w:b/>
                    </w:rPr>
                    <w:t>（需提供操作视频截图）</w:t>
                  </w:r>
                </w:p>
                <w:p>
                  <w:pPr>
                    <w:pStyle w:val="null3"/>
                    <w:jc w:val="left"/>
                  </w:pPr>
                  <w:r>
                    <w:rPr>
                      <w:rFonts w:ascii="仿宋_GB2312" w:hAnsi="仿宋_GB2312" w:cs="仿宋_GB2312" w:eastAsia="仿宋_GB2312"/>
                      <w:sz w:val="24"/>
                    </w:rPr>
                    <w:t>3.系统所展示的区域地图支持放大、缩小和位置拖动，其中放大和缩小功能不接受浏览器页面放大缩小的方式进行响应</w:t>
                  </w:r>
                </w:p>
                <w:p>
                  <w:pPr>
                    <w:pStyle w:val="null3"/>
                    <w:jc w:val="left"/>
                  </w:pPr>
                  <w:r>
                    <w:rPr>
                      <w:rFonts w:ascii="仿宋_GB2312" w:hAnsi="仿宋_GB2312" w:cs="仿宋_GB2312" w:eastAsia="仿宋_GB2312"/>
                      <w:sz w:val="24"/>
                    </w:rPr>
                    <w:t>（三）企业大数据</w:t>
                  </w:r>
                </w:p>
                <w:p>
                  <w:pPr>
                    <w:pStyle w:val="null3"/>
                    <w:jc w:val="left"/>
                  </w:pPr>
                  <w:r>
                    <w:rPr>
                      <w:rFonts w:ascii="仿宋_GB2312" w:hAnsi="仿宋_GB2312" w:cs="仿宋_GB2312" w:eastAsia="仿宋_GB2312"/>
                      <w:sz w:val="24"/>
                    </w:rPr>
                    <w:t>1.系统须支持区域筛选，提供地方行政单位库，可按省/市/区进行联级筛选，筛选出所选区域的企业数据内容进行展示；</w:t>
                  </w:r>
                </w:p>
                <w:p>
                  <w:pPr>
                    <w:pStyle w:val="null3"/>
                    <w:jc w:val="left"/>
                  </w:pPr>
                  <w:r>
                    <w:rPr>
                      <w:rFonts w:ascii="仿宋_GB2312" w:hAnsi="仿宋_GB2312" w:cs="仿宋_GB2312" w:eastAsia="仿宋_GB2312"/>
                      <w:sz w:val="24"/>
                    </w:rPr>
                    <w:t>2.系统须支持企业数量展示：根据所筛选的区域范围，展示该区域内的企业数量数据，包括企业总数、国企数量、上市企业数量以及中小企业数量；</w:t>
                  </w:r>
                </w:p>
                <w:p>
                  <w:pPr>
                    <w:pStyle w:val="null3"/>
                    <w:jc w:val="left"/>
                  </w:pPr>
                  <w:r>
                    <w:rPr>
                      <w:rFonts w:ascii="仿宋_GB2312" w:hAnsi="仿宋_GB2312" w:cs="仿宋_GB2312" w:eastAsia="仿宋_GB2312"/>
                      <w:sz w:val="24"/>
                    </w:rPr>
                    <w:t>3.系统须能够展示企业数量区域分布图：需内嵌所选区域地图，以地图的方式展示所选地区企业数量，支持数据轮播展示和选择区域单独展示，并能体现所选地区企业增长情况；</w:t>
                  </w:r>
                  <w:r>
                    <w:rPr>
                      <w:rFonts w:ascii="仿宋_GB2312" w:hAnsi="仿宋_GB2312" w:cs="仿宋_GB2312" w:eastAsia="仿宋_GB2312"/>
                      <w:sz w:val="24"/>
                      <w:b/>
                    </w:rPr>
                    <w:t>（需提供操作演示视频）</w:t>
                  </w:r>
                </w:p>
                <w:p>
                  <w:pPr>
                    <w:pStyle w:val="null3"/>
                    <w:jc w:val="left"/>
                  </w:pPr>
                  <w:r>
                    <w:rPr>
                      <w:rFonts w:ascii="仿宋_GB2312" w:hAnsi="仿宋_GB2312" w:cs="仿宋_GB2312" w:eastAsia="仿宋_GB2312"/>
                      <w:sz w:val="24"/>
                    </w:rPr>
                    <w:t>（四）岗位大数据</w:t>
                  </w:r>
                </w:p>
                <w:p>
                  <w:pPr>
                    <w:pStyle w:val="null3"/>
                    <w:jc w:val="left"/>
                  </w:pPr>
                  <w:r>
                    <w:rPr>
                      <w:rFonts w:ascii="仿宋_GB2312" w:hAnsi="仿宋_GB2312" w:cs="仿宋_GB2312" w:eastAsia="仿宋_GB2312"/>
                      <w:sz w:val="24"/>
                    </w:rPr>
                    <w:t>1.系统须支持区域筛选，提供地方行政单位库，可按省/市/区进行联级筛选，筛选出所选区域的数据内容进行展示；</w:t>
                  </w:r>
                </w:p>
                <w:p>
                  <w:pPr>
                    <w:pStyle w:val="null3"/>
                    <w:jc w:val="left"/>
                  </w:pPr>
                  <w:r>
                    <w:rPr>
                      <w:rFonts w:ascii="仿宋_GB2312" w:hAnsi="仿宋_GB2312" w:cs="仿宋_GB2312" w:eastAsia="仿宋_GB2312"/>
                      <w:sz w:val="24"/>
                    </w:rPr>
                    <w:t>2.系统须支持区域在招岗位数量展示：使用柱状图、折线图展示当前区域在招岗位所属行业、岗位数量、去年岗位数量、平均薪资、去年平均薪资等数据，鼠标悬停可查看对应行业的数据明细，且支持筛选进行独立展示；</w:t>
                  </w:r>
                </w:p>
                <w:p>
                  <w:pPr>
                    <w:pStyle w:val="null3"/>
                    <w:jc w:val="left"/>
                  </w:pPr>
                  <w:r>
                    <w:rPr>
                      <w:rFonts w:ascii="仿宋_GB2312" w:hAnsi="仿宋_GB2312" w:cs="仿宋_GB2312" w:eastAsia="仿宋_GB2312"/>
                      <w:sz w:val="24"/>
                    </w:rPr>
                    <w:t>3.系统须支持展示需求最多的技能TOP20：使用条形图展示各技能在岗位招聘中需求情况，鼠标悬停可查看明细数据；</w:t>
                  </w:r>
                </w:p>
                <w:p>
                  <w:pPr>
                    <w:pStyle w:val="null3"/>
                    <w:jc w:val="left"/>
                  </w:pPr>
                  <w:r>
                    <w:rPr>
                      <w:rFonts w:ascii="仿宋_GB2312" w:hAnsi="仿宋_GB2312" w:cs="仿宋_GB2312" w:eastAsia="仿宋_GB2312"/>
                      <w:sz w:val="24"/>
                    </w:rPr>
                    <w:t>（五）技能大数据</w:t>
                  </w:r>
                </w:p>
                <w:p>
                  <w:pPr>
                    <w:pStyle w:val="null3"/>
                    <w:jc w:val="left"/>
                  </w:pPr>
                  <w:r>
                    <w:rPr>
                      <w:rFonts w:ascii="仿宋_GB2312" w:hAnsi="仿宋_GB2312" w:cs="仿宋_GB2312" w:eastAsia="仿宋_GB2312"/>
                      <w:sz w:val="24"/>
                    </w:rPr>
                    <w:t>1.系统须支持区域筛选，提供地方行政单位库，可按省/市/区进行联级筛选，筛选出所选区域的数据内容进行展示，并可根据技能所在产业或行业进行筛选，进一步筛选出对应行业产业相关技能数据进行展示；</w:t>
                  </w:r>
                  <w:r>
                    <w:rPr>
                      <w:rFonts w:ascii="仿宋_GB2312" w:hAnsi="仿宋_GB2312" w:cs="仿宋_GB2312" w:eastAsia="仿宋_GB2312"/>
                      <w:sz w:val="24"/>
                      <w:b/>
                    </w:rPr>
                    <w:t>（需提供操作演示视频）</w:t>
                  </w:r>
                </w:p>
                <w:p>
                  <w:pPr>
                    <w:pStyle w:val="null3"/>
                    <w:jc w:val="left"/>
                  </w:pPr>
                  <w:r>
                    <w:rPr>
                      <w:rFonts w:ascii="仿宋_GB2312" w:hAnsi="仿宋_GB2312" w:cs="仿宋_GB2312" w:eastAsia="仿宋_GB2312"/>
                      <w:sz w:val="24"/>
                    </w:rPr>
                    <w:t>2.系统须需根据所筛选的地区、行业产业展示热门岗位及热门岗位所需核心技能。</w:t>
                  </w:r>
                </w:p>
                <w:p>
                  <w:pPr>
                    <w:pStyle w:val="null3"/>
                    <w:jc w:val="left"/>
                  </w:pPr>
                  <w:r>
                    <w:rPr>
                      <w:rFonts w:ascii="仿宋_GB2312" w:hAnsi="仿宋_GB2312" w:cs="仿宋_GB2312" w:eastAsia="仿宋_GB2312"/>
                      <w:sz w:val="24"/>
                    </w:rPr>
                    <w:t>（六）</w:t>
                  </w:r>
                  <w:r>
                    <w:rPr>
                      <w:rFonts w:ascii="仿宋_GB2312" w:hAnsi="仿宋_GB2312" w:cs="仿宋_GB2312" w:eastAsia="仿宋_GB2312"/>
                      <w:sz w:val="24"/>
                    </w:rPr>
                    <w:t>AI报告生成管理</w:t>
                  </w:r>
                </w:p>
                <w:p>
                  <w:pPr>
                    <w:pStyle w:val="null3"/>
                    <w:jc w:val="left"/>
                  </w:pPr>
                  <w:r>
                    <w:rPr>
                      <w:rFonts w:ascii="仿宋_GB2312" w:hAnsi="仿宋_GB2312" w:cs="仿宋_GB2312" w:eastAsia="仿宋_GB2312"/>
                      <w:sz w:val="24"/>
                    </w:rPr>
                    <w:t>1.系统须支持自动生成报告功能，支持参数配置，可选择和配置包括统计地区、要分析的专业、相关产业、报告模板等。支持添加需要重点关注的岗位，并且预提供不少于10个关联度较高的工作岗位信息，包括岗位名称、关联度（须展示关联度百分比）、社会需求量，可根据需要选择相关岗位， 同时支持一键全选；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2.系统生成的Ai报告须在平台上展示，支持报告下载功能；系统生成的Ai报告主题须包含产业领域发展现状，包括产业领域发展要求、产业领域布局现状、地区促进产业发展激励机制等；</w:t>
                  </w:r>
                  <w:r>
                    <w:rPr>
                      <w:rFonts w:ascii="仿宋_GB2312" w:hAnsi="仿宋_GB2312" w:cs="仿宋_GB2312" w:eastAsia="仿宋_GB2312"/>
                      <w:sz w:val="24"/>
                      <w:b/>
                    </w:rPr>
                    <w:t>（需提供功能页面截图）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系统生成的Ai报告主题须包含产业领域人才需求情况，包括产业领域人才需求全景分析、产业领域对人才需求分布情况、产业领域对人才学历要求情况（含人才学历要求情况分析、人才学历提升薪资走势分析）、产业领域对人才经验要求情况（含人才经验要求总体情况分析和人才工作年限增长薪资走势分析）、产业领域人才薪资水平分布情况、人才学历与经验要求交叉分析等；</w:t>
                  </w:r>
                  <w:r>
                    <w:rPr>
                      <w:rFonts w:ascii="仿宋_GB2312" w:hAnsi="仿宋_GB2312" w:cs="仿宋_GB2312" w:eastAsia="仿宋_GB2312"/>
                      <w:sz w:val="24"/>
                      <w:b/>
                    </w:rPr>
                    <w:t>（需提供功能页面截图）</w:t>
                  </w:r>
                </w:p>
                <w:p>
                  <w:pPr>
                    <w:pStyle w:val="null3"/>
                    <w:jc w:val="left"/>
                  </w:pPr>
                  <w:r>
                    <w:rPr>
                      <w:rFonts w:ascii="仿宋_GB2312" w:hAnsi="仿宋_GB2312" w:cs="仿宋_GB2312" w:eastAsia="仿宋_GB2312"/>
                      <w:sz w:val="24"/>
                    </w:rPr>
                    <w:t>4.系统生成的Ai报告主题须包含产业领域地区代表性企业情况，包括区域内企业规模分布情况、区域内TOP50企业及岗位需求等；系统生成的Ai报告主题须包含产业领域人才岗位能力要求，包括所分析专业的高匹配岗位和目标岗位职业能力要求分析等；系统生成的Ai报告主题须包含所分析专业人才供给情况，包括全国和地区内人才供给情况分析。</w:t>
                  </w:r>
                  <w:r>
                    <w:rPr>
                      <w:rFonts w:ascii="仿宋_GB2312" w:hAnsi="仿宋_GB2312" w:cs="仿宋_GB2312" w:eastAsia="仿宋_GB2312"/>
                      <w:sz w:val="24"/>
                      <w:b/>
                    </w:rPr>
                    <w:t>（需提供功能页面截图）</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共同优化专业核心课程体系（根据产业需求动态调整）</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1、根据产业需求动态调整，修订适合大数据技术支持、java软件开发学徒岗位岗前实训课程标准1份；</w:t>
                  </w:r>
                </w:p>
                <w:p>
                  <w:pPr>
                    <w:pStyle w:val="null3"/>
                    <w:jc w:val="both"/>
                  </w:pPr>
                  <w:r>
                    <w:rPr>
                      <w:rFonts w:ascii="仿宋_GB2312" w:hAnsi="仿宋_GB2312" w:cs="仿宋_GB2312" w:eastAsia="仿宋_GB2312"/>
                      <w:sz w:val="24"/>
                      <w:color w:val="000000"/>
                    </w:rPr>
                    <w:t>2、根据产业需求动态调整，修订适合大数据技术支持、java软件开发学徒岗位就业能力提升培训课程标准1份。</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联合开发课程教学资源</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一、数字教材</w:t>
                  </w:r>
                  <w:r>
                    <w:rPr>
                      <w:rFonts w:ascii="仿宋_GB2312" w:hAnsi="仿宋_GB2312" w:cs="仿宋_GB2312" w:eastAsia="仿宋_GB2312"/>
                      <w:sz w:val="24"/>
                      <w:color w:val="000000"/>
                    </w:rPr>
                    <w:t>2</w:t>
                  </w:r>
                  <w:r>
                    <w:rPr>
                      <w:rFonts w:ascii="仿宋_GB2312" w:hAnsi="仿宋_GB2312" w:cs="仿宋_GB2312" w:eastAsia="仿宋_GB2312"/>
                      <w:sz w:val="24"/>
                    </w:rPr>
                    <w:t>本</w:t>
                  </w:r>
                  <w:r>
                    <w:rPr>
                      <w:rFonts w:ascii="仿宋_GB2312" w:hAnsi="仿宋_GB2312" w:cs="仿宋_GB2312" w:eastAsia="仿宋_GB2312"/>
                      <w:sz w:val="24"/>
                    </w:rPr>
                    <w:t>，</w:t>
                  </w:r>
                  <w:r>
                    <w:rPr>
                      <w:rFonts w:ascii="仿宋_GB2312" w:hAnsi="仿宋_GB2312" w:cs="仿宋_GB2312" w:eastAsia="仿宋_GB2312"/>
                      <w:sz w:val="24"/>
                    </w:rPr>
                    <w:t>每本教材均按以下标准建设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1、基于专业核心课程体系要求，联合开发数字教材1</w:t>
                  </w:r>
                  <w:r>
                    <w:rPr>
                      <w:rFonts w:ascii="仿宋_GB2312" w:hAnsi="仿宋_GB2312" w:cs="仿宋_GB2312" w:eastAsia="仿宋_GB2312"/>
                      <w:sz w:val="24"/>
                      <w:color w:val="000000"/>
                    </w:rPr>
                    <w:t>本：</w:t>
                  </w:r>
                </w:p>
                <w:p>
                  <w:pPr>
                    <w:pStyle w:val="null3"/>
                    <w:jc w:val="both"/>
                  </w:pPr>
                  <w:r>
                    <w:rPr>
                      <w:rFonts w:ascii="仿宋_GB2312" w:hAnsi="仿宋_GB2312" w:cs="仿宋_GB2312" w:eastAsia="仿宋_GB2312"/>
                      <w:sz w:val="24"/>
                      <w:color w:val="000000"/>
                    </w:rPr>
                    <w:t>1）教材以项目制形式展开，项目数量不少于6个；</w:t>
                  </w:r>
                </w:p>
                <w:p>
                  <w:pPr>
                    <w:pStyle w:val="null3"/>
                    <w:jc w:val="both"/>
                  </w:pPr>
                  <w:r>
                    <w:rPr>
                      <w:rFonts w:ascii="仿宋_GB2312" w:hAnsi="仿宋_GB2312" w:cs="仿宋_GB2312" w:eastAsia="仿宋_GB2312"/>
                      <w:sz w:val="24"/>
                      <w:color w:val="000000"/>
                    </w:rPr>
                    <w:t>2）教材页数≥200页。</w:t>
                  </w:r>
                </w:p>
                <w:p>
                  <w:pPr>
                    <w:pStyle w:val="null3"/>
                    <w:jc w:val="both"/>
                  </w:pPr>
                  <w:r>
                    <w:rPr>
                      <w:rFonts w:ascii="仿宋_GB2312" w:hAnsi="仿宋_GB2312" w:cs="仿宋_GB2312" w:eastAsia="仿宋_GB2312"/>
                      <w:sz w:val="24"/>
                      <w:color w:val="000000"/>
                    </w:rPr>
                    <w:t>3）形式：电子版新形态一体化教材；</w:t>
                  </w:r>
                </w:p>
                <w:p>
                  <w:pPr>
                    <w:pStyle w:val="null3"/>
                    <w:jc w:val="both"/>
                  </w:pPr>
                  <w:r>
                    <w:rPr>
                      <w:rFonts w:ascii="仿宋_GB2312" w:hAnsi="仿宋_GB2312" w:cs="仿宋_GB2312" w:eastAsia="仿宋_GB2312"/>
                      <w:sz w:val="24"/>
                      <w:color w:val="000000"/>
                    </w:rPr>
                    <w:t>4）品质要求：</w:t>
                  </w:r>
                </w:p>
                <w:p>
                  <w:pPr>
                    <w:pStyle w:val="null3"/>
                    <w:jc w:val="both"/>
                  </w:pPr>
                  <w:r>
                    <w:rPr>
                      <w:rFonts w:ascii="仿宋_GB2312" w:hAnsi="仿宋_GB2312" w:cs="仿宋_GB2312" w:eastAsia="仿宋_GB2312"/>
                      <w:sz w:val="24"/>
                      <w:color w:val="000000"/>
                    </w:rPr>
                    <w:t>教材包括但不限于文前部分、正文、参考文献及附录等内容。</w:t>
                  </w:r>
                </w:p>
                <w:p>
                  <w:pPr>
                    <w:pStyle w:val="null3"/>
                    <w:jc w:val="both"/>
                  </w:pPr>
                  <w:r>
                    <w:rPr>
                      <w:rFonts w:ascii="仿宋_GB2312" w:hAnsi="仿宋_GB2312" w:cs="仿宋_GB2312" w:eastAsia="仿宋_GB2312"/>
                      <w:sz w:val="24"/>
                      <w:color w:val="000000"/>
                    </w:rPr>
                    <w:t>教材以高等职业学校学生就业为导向，以</w:t>
                  </w:r>
                  <w:r>
                    <w:rPr>
                      <w:rFonts w:ascii="仿宋_GB2312" w:hAnsi="仿宋_GB2312" w:cs="仿宋_GB2312" w:eastAsia="仿宋_GB2312"/>
                      <w:sz w:val="24"/>
                      <w:color w:val="000000"/>
                    </w:rPr>
                    <w:t>“学生为主体，能力为本位”的指导思想为主体，每个任务都模拟企业真实的物联网项目开发的流程，将教学内容与工作岗位对专业人才的知识要求与技能要求结合起来。</w:t>
                  </w:r>
                </w:p>
                <w:p>
                  <w:pPr>
                    <w:pStyle w:val="null3"/>
                    <w:jc w:val="both"/>
                  </w:pPr>
                  <w:r>
                    <w:rPr>
                      <w:rFonts w:ascii="仿宋_GB2312" w:hAnsi="仿宋_GB2312" w:cs="仿宋_GB2312" w:eastAsia="仿宋_GB2312"/>
                      <w:sz w:val="24"/>
                      <w:color w:val="000000"/>
                    </w:rPr>
                    <w:t>教材设计思路充分体现任务引领、实践导向，引入典型项目和产品案例，以项目化教材的组织结构进行编写，并需要在教材中体现行动导向教学教法；至少包含行动教法中的职业能力、任务描述与要求、任务实施、任务检查、任务评估等环节。</w:t>
                  </w:r>
                </w:p>
                <w:p>
                  <w:pPr>
                    <w:pStyle w:val="null3"/>
                    <w:jc w:val="both"/>
                  </w:pPr>
                  <w:r>
                    <w:rPr>
                      <w:rFonts w:ascii="仿宋_GB2312" w:hAnsi="仿宋_GB2312" w:cs="仿宋_GB2312" w:eastAsia="仿宋_GB2312"/>
                      <w:sz w:val="24"/>
                      <w:color w:val="000000"/>
                    </w:rPr>
                    <w:t>教材内容需要充分体现面向岗位的职业活动和个人职业生涯发展中所需要的职业能力。</w:t>
                  </w:r>
                </w:p>
                <w:p>
                  <w:pPr>
                    <w:pStyle w:val="null3"/>
                    <w:jc w:val="both"/>
                  </w:pPr>
                  <w:r>
                    <w:rPr>
                      <w:rFonts w:ascii="仿宋_GB2312" w:hAnsi="仿宋_GB2312" w:cs="仿宋_GB2312" w:eastAsia="仿宋_GB2312"/>
                      <w:sz w:val="24"/>
                      <w:color w:val="000000"/>
                    </w:rPr>
                    <w:t>教材以职业能力为本位，对接岗位需求。教材需以职业能力作为教学的基础，将所从事行业应具备的职业能力作为教材内容的最小组织单元，培养岗位群所需职业能力。</w:t>
                  </w:r>
                </w:p>
                <w:p>
                  <w:pPr>
                    <w:pStyle w:val="null3"/>
                    <w:jc w:val="both"/>
                  </w:pPr>
                  <w:r>
                    <w:rPr>
                      <w:rFonts w:ascii="仿宋_GB2312" w:hAnsi="仿宋_GB2312" w:cs="仿宋_GB2312" w:eastAsia="仿宋_GB2312"/>
                      <w:sz w:val="24"/>
                      <w:color w:val="000000"/>
                    </w:rPr>
                    <w:t>教材以行动导向为主线，对接工作过程。教材需优选行业中的典型应用场景，遵循</w:t>
                  </w:r>
                  <w:r>
                    <w:rPr>
                      <w:rFonts w:ascii="仿宋_GB2312" w:hAnsi="仿宋_GB2312" w:cs="仿宋_GB2312" w:eastAsia="仿宋_GB2312"/>
                      <w:sz w:val="24"/>
                      <w:color w:val="000000"/>
                    </w:rPr>
                    <w:t>“咨询、计划、决策、实施、检查、评价”这一完整的工作过程序列，强化实践能力，学生在“动手”实践中形成职业能力。</w:t>
                  </w:r>
                </w:p>
                <w:p>
                  <w:pPr>
                    <w:pStyle w:val="null3"/>
                    <w:jc w:val="both"/>
                  </w:pPr>
                  <w:r>
                    <w:rPr>
                      <w:rFonts w:ascii="仿宋_GB2312" w:hAnsi="仿宋_GB2312" w:cs="仿宋_GB2312" w:eastAsia="仿宋_GB2312"/>
                      <w:sz w:val="24"/>
                      <w:color w:val="000000"/>
                    </w:rPr>
                    <w:t>教材以典型项目为主体，驱动课堂教学实施。教材每个单元需采用项目化的形式编写，将岗位典型工作任务与行业真实应用相结合，学生在学习单元项目的过程中，掌握典型工作任务所需的职业能力。</w:t>
                  </w:r>
                </w:p>
                <w:p>
                  <w:pPr>
                    <w:pStyle w:val="null3"/>
                    <w:jc w:val="both"/>
                  </w:pPr>
                  <w:r>
                    <w:rPr>
                      <w:rFonts w:ascii="仿宋_GB2312" w:hAnsi="仿宋_GB2312" w:cs="仿宋_GB2312" w:eastAsia="仿宋_GB2312"/>
                      <w:sz w:val="24"/>
                      <w:color w:val="000000"/>
                    </w:rPr>
                    <w:t>教材内容重要知识点合理融入课程思政相关内容。</w:t>
                  </w:r>
                </w:p>
                <w:p>
                  <w:pPr>
                    <w:pStyle w:val="null3"/>
                    <w:jc w:val="both"/>
                  </w:pPr>
                  <w:r>
                    <w:rPr>
                      <w:rFonts w:ascii="仿宋_GB2312" w:hAnsi="仿宋_GB2312" w:cs="仿宋_GB2312" w:eastAsia="仿宋_GB2312"/>
                      <w:sz w:val="24"/>
                      <w:color w:val="000000"/>
                    </w:rPr>
                    <w:t>教材以校企合作为原则，驱动应用型人才培养。教材应由校企联合开发，结合院校教材开发和教学实施的经验，发挥企业对于岗位需求和专业技能的把控能力，保证教材的适应性与可行性。</w:t>
                  </w:r>
                </w:p>
                <w:p>
                  <w:pPr>
                    <w:pStyle w:val="null3"/>
                    <w:jc w:val="both"/>
                  </w:pPr>
                  <w:r>
                    <w:rPr>
                      <w:rFonts w:ascii="仿宋_GB2312" w:hAnsi="仿宋_GB2312" w:cs="仿宋_GB2312" w:eastAsia="仿宋_GB2312"/>
                      <w:sz w:val="24"/>
                      <w:color w:val="000000"/>
                    </w:rPr>
                    <w:t>5）提供数字化教材编辑器上线服务，实现教材内容与数字资源有机结合，提供数字化教材在线上系统创建、编写、审核、发布的全流程管理服务，按图书出版规范，提供数字化教材三审三校服务，承担出版相关费用。</w:t>
                  </w:r>
                </w:p>
                <w:p>
                  <w:pPr>
                    <w:pStyle w:val="null3"/>
                    <w:jc w:val="both"/>
                  </w:pPr>
                  <w:r>
                    <w:rPr>
                      <w:rFonts w:ascii="仿宋_GB2312" w:hAnsi="仿宋_GB2312" w:cs="仿宋_GB2312" w:eastAsia="仿宋_GB2312"/>
                      <w:sz w:val="24"/>
                      <w:color w:val="000000"/>
                    </w:rPr>
                    <w:t>2、课程标准1份：</w:t>
                  </w:r>
                </w:p>
                <w:p>
                  <w:pPr>
                    <w:pStyle w:val="null3"/>
                    <w:jc w:val="both"/>
                  </w:pPr>
                  <w:r>
                    <w:rPr>
                      <w:rFonts w:ascii="仿宋_GB2312" w:hAnsi="仿宋_GB2312" w:cs="仿宋_GB2312" w:eastAsia="仿宋_GB2312"/>
                      <w:sz w:val="24"/>
                      <w:color w:val="000000"/>
                    </w:rPr>
                    <w:t>1）课程标准内容包括总学时安排、项目数量、课程描述、课程目标、章节内容、知识点内容、项目内容、课时分配等信息。</w:t>
                  </w:r>
                </w:p>
                <w:p>
                  <w:pPr>
                    <w:pStyle w:val="null3"/>
                    <w:jc w:val="both"/>
                  </w:pPr>
                  <w:r>
                    <w:rPr>
                      <w:rFonts w:ascii="仿宋_GB2312" w:hAnsi="仿宋_GB2312" w:cs="仿宋_GB2312" w:eastAsia="仿宋_GB2312"/>
                      <w:sz w:val="24"/>
                      <w:color w:val="000000"/>
                    </w:rPr>
                    <w:t>2）课程标准按照不少于64课时进行分配。</w:t>
                  </w:r>
                </w:p>
                <w:p>
                  <w:pPr>
                    <w:pStyle w:val="null3"/>
                    <w:jc w:val="both"/>
                  </w:pPr>
                  <w:r>
                    <w:rPr>
                      <w:rFonts w:ascii="仿宋_GB2312" w:hAnsi="仿宋_GB2312" w:cs="仿宋_GB2312" w:eastAsia="仿宋_GB2312"/>
                      <w:sz w:val="24"/>
                      <w:color w:val="000000"/>
                    </w:rPr>
                    <w:t>3、教学PPT</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1）教学课件要求带有教学设计，设计开发不少于16个教学课件、PPT总页数至少200页；教学课件内容贴合实际教学，PPT生动形象，具有带入性。</w:t>
                  </w:r>
                </w:p>
                <w:p>
                  <w:pPr>
                    <w:pStyle w:val="null3"/>
                    <w:jc w:val="both"/>
                  </w:pPr>
                  <w:r>
                    <w:rPr>
                      <w:rFonts w:ascii="仿宋_GB2312" w:hAnsi="仿宋_GB2312" w:cs="仿宋_GB2312" w:eastAsia="仿宋_GB2312"/>
                      <w:sz w:val="24"/>
                      <w:color w:val="000000"/>
                    </w:rPr>
                    <w:t>2）版式设计独特、新颖、颜色统一；模板朴素、大方，颜色适宜，便于长时间观看；在模板的适当位置标明课程名称、模块（章或节）序号与模块（章或节）的名称；多个页面均有的相同元素，如背景、按钮、标题、页码等，可以使用幻灯片母版来实现。</w:t>
                  </w:r>
                </w:p>
                <w:p>
                  <w:pPr>
                    <w:pStyle w:val="null3"/>
                    <w:jc w:val="both"/>
                  </w:pPr>
                  <w:r>
                    <w:rPr>
                      <w:rFonts w:ascii="仿宋_GB2312" w:hAnsi="仿宋_GB2312" w:cs="仿宋_GB2312" w:eastAsia="仿宋_GB2312"/>
                      <w:sz w:val="24"/>
                      <w:color w:val="000000"/>
                    </w:rPr>
                    <w:t>4、教案1套：</w:t>
                  </w:r>
                </w:p>
                <w:p>
                  <w:pPr>
                    <w:pStyle w:val="null3"/>
                    <w:jc w:val="both"/>
                  </w:pPr>
                  <w:r>
                    <w:rPr>
                      <w:rFonts w:ascii="仿宋_GB2312" w:hAnsi="仿宋_GB2312" w:cs="仿宋_GB2312" w:eastAsia="仿宋_GB2312"/>
                      <w:sz w:val="24"/>
                      <w:color w:val="000000"/>
                    </w:rPr>
                    <w:t>每个任务要求至少准备一套教案，设计开发不少于</w:t>
                  </w:r>
                  <w:r>
                    <w:rPr>
                      <w:rFonts w:ascii="仿宋_GB2312" w:hAnsi="仿宋_GB2312" w:cs="仿宋_GB2312" w:eastAsia="仿宋_GB2312"/>
                      <w:sz w:val="24"/>
                      <w:color w:val="000000"/>
                    </w:rPr>
                    <w:t>16份课程教案，内容包含但不限于教学目标、教学重点、教学难点、教法学法、教学手段及资源、学情分析、教学环节等。</w:t>
                  </w:r>
                </w:p>
                <w:p>
                  <w:pPr>
                    <w:pStyle w:val="null3"/>
                    <w:jc w:val="both"/>
                  </w:pPr>
                  <w:r>
                    <w:rPr>
                      <w:rFonts w:ascii="仿宋_GB2312" w:hAnsi="仿宋_GB2312" w:cs="仿宋_GB2312" w:eastAsia="仿宋_GB2312"/>
                      <w:sz w:val="24"/>
                      <w:color w:val="000000"/>
                    </w:rPr>
                    <w:t>5、习题库1套：</w:t>
                  </w:r>
                </w:p>
                <w:p>
                  <w:pPr>
                    <w:pStyle w:val="null3"/>
                    <w:ind w:left="240"/>
                    <w:jc w:val="both"/>
                  </w:pPr>
                  <w:r>
                    <w:rPr>
                      <w:rFonts w:ascii="仿宋_GB2312" w:hAnsi="仿宋_GB2312" w:cs="仿宋_GB2312" w:eastAsia="仿宋_GB2312"/>
                      <w:sz w:val="24"/>
                      <w:color w:val="000000"/>
                    </w:rPr>
                    <w:t>1）题库</w:t>
                  </w:r>
                  <w:r>
                    <w:rPr>
                      <w:rFonts w:ascii="仿宋_GB2312" w:hAnsi="仿宋_GB2312" w:cs="仿宋_GB2312" w:eastAsia="仿宋_GB2312"/>
                      <w:sz w:val="24"/>
                    </w:rPr>
                    <w:t>应包含课程的知识题库，素材应符合相关技术规范。题库所涉及的技术应为最新主流技术，不允许出现明显的已过时的技术。</w:t>
                  </w:r>
                </w:p>
                <w:p>
                  <w:pPr>
                    <w:pStyle w:val="null3"/>
                    <w:jc w:val="both"/>
                  </w:pPr>
                  <w:r>
                    <w:rPr>
                      <w:rFonts w:ascii="仿宋_GB2312" w:hAnsi="仿宋_GB2312" w:cs="仿宋_GB2312" w:eastAsia="仿宋_GB2312"/>
                      <w:sz w:val="24"/>
                    </w:rPr>
                    <w:t>2）题型为选择题</w:t>
                  </w:r>
                  <w:r>
                    <w:rPr>
                      <w:rFonts w:ascii="仿宋_GB2312" w:hAnsi="仿宋_GB2312" w:cs="仿宋_GB2312" w:eastAsia="仿宋_GB2312"/>
                      <w:sz w:val="24"/>
                    </w:rPr>
                    <w:t>、</w:t>
                  </w:r>
                  <w:r>
                    <w:rPr>
                      <w:rFonts w:ascii="仿宋_GB2312" w:hAnsi="仿宋_GB2312" w:cs="仿宋_GB2312" w:eastAsia="仿宋_GB2312"/>
                      <w:sz w:val="24"/>
                    </w:rPr>
                    <w:t>判断题、简答题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3）总题量不少于200题/套。</w:t>
                  </w:r>
                </w:p>
                <w:p>
                  <w:pPr>
                    <w:pStyle w:val="null3"/>
                    <w:jc w:val="both"/>
                  </w:pPr>
                  <w:r>
                    <w:rPr>
                      <w:rFonts w:ascii="仿宋_GB2312" w:hAnsi="仿宋_GB2312" w:cs="仿宋_GB2312" w:eastAsia="仿宋_GB2312"/>
                      <w:sz w:val="24"/>
                      <w:color w:val="000000"/>
                    </w:rPr>
                    <w:t>4）品质要求：①文本正文应设定实验内容标题，标题放在正文内第一行居中的位置。②各级标题应设置正确，同一级标题使用同样的样式，文本结构清晰。③正文字体、字号、颜色、行间距等要美观、统一。④表格不应超出页面，且要求使用软件的插入表格或绘制表格等功能生成表格，并使用相应功能加工处理，不要用在文本上描绘直线等绘图方式制作表格。</w:t>
                  </w:r>
                </w:p>
                <w:p>
                  <w:pPr>
                    <w:pStyle w:val="null3"/>
                    <w:jc w:val="both"/>
                  </w:pPr>
                  <w:r>
                    <w:rPr>
                      <w:rFonts w:ascii="仿宋_GB2312" w:hAnsi="仿宋_GB2312" w:cs="仿宋_GB2312" w:eastAsia="仿宋_GB2312"/>
                      <w:sz w:val="24"/>
                      <w:color w:val="000000"/>
                    </w:rPr>
                    <w:t>6、MG理论动画（二维）</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要求提供至少</w:t>
                  </w:r>
                  <w:r>
                    <w:rPr>
                      <w:rFonts w:ascii="仿宋_GB2312" w:hAnsi="仿宋_GB2312" w:cs="仿宋_GB2312" w:eastAsia="仿宋_GB2312"/>
                      <w:sz w:val="24"/>
                      <w:color w:val="000000"/>
                    </w:rPr>
                    <w:t>5个理论动画</w:t>
                  </w:r>
                  <w:r>
                    <w:rPr>
                      <w:rFonts w:ascii="仿宋_GB2312" w:hAnsi="仿宋_GB2312" w:cs="仿宋_GB2312" w:eastAsia="仿宋_GB2312"/>
                      <w:sz w:val="24"/>
                      <w:color w:val="000000"/>
                    </w:rPr>
                    <w:t>且</w:t>
                  </w:r>
                  <w:r>
                    <w:rPr>
                      <w:rFonts w:ascii="仿宋_GB2312" w:hAnsi="仿宋_GB2312" w:cs="仿宋_GB2312" w:eastAsia="仿宋_GB2312"/>
                      <w:sz w:val="24"/>
                      <w:color w:val="000000"/>
                    </w:rPr>
                    <w:t>每个动画</w:t>
                  </w:r>
                  <w:r>
                    <w:rPr>
                      <w:rFonts w:ascii="仿宋_GB2312" w:hAnsi="仿宋_GB2312" w:cs="仿宋_GB2312" w:eastAsia="仿宋_GB2312"/>
                      <w:sz w:val="24"/>
                      <w:color w:val="000000"/>
                    </w:rPr>
                    <w:t>时长</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120秒</w:t>
                  </w:r>
                  <w:r>
                    <w:rPr>
                      <w:rFonts w:ascii="仿宋_GB2312" w:hAnsi="仿宋_GB2312" w:cs="仿宋_GB2312" w:eastAsia="仿宋_GB2312"/>
                      <w:sz w:val="24"/>
                      <w:color w:val="000000"/>
                    </w:rPr>
                    <w:t>，</w:t>
                  </w:r>
                  <w:r>
                    <w:rPr>
                      <w:rFonts w:ascii="仿宋_GB2312" w:hAnsi="仿宋_GB2312" w:cs="仿宋_GB2312" w:eastAsia="仿宋_GB2312"/>
                      <w:sz w:val="24"/>
                      <w:color w:val="000000"/>
                    </w:rPr>
                    <w:t>输出统一，要求以二维动画来设计制作，包含演示动画、情景动画等，将枯燥、抽象、生涩难懂的知识重点，以及文字、图片、视频无法呈现的知识难点，以动画形式展现，解决老师难教和学生难懂的教学问题。</w:t>
                  </w:r>
                </w:p>
                <w:p>
                  <w:pPr>
                    <w:pStyle w:val="null3"/>
                    <w:jc w:val="both"/>
                  </w:pPr>
                  <w:r>
                    <w:rPr>
                      <w:rFonts w:ascii="仿宋_GB2312" w:hAnsi="仿宋_GB2312" w:cs="仿宋_GB2312" w:eastAsia="仿宋_GB2312"/>
                      <w:sz w:val="24"/>
                      <w:color w:val="000000"/>
                    </w:rPr>
                    <w:t>2）每个动画需要包含教学设计、素材收集、制作脚本、开发、字幕、专业配音、后期剪辑、解说字幕等环节。</w:t>
                  </w:r>
                </w:p>
                <w:p>
                  <w:pPr>
                    <w:pStyle w:val="null3"/>
                    <w:jc w:val="both"/>
                  </w:pPr>
                  <w:r>
                    <w:rPr>
                      <w:rFonts w:ascii="仿宋_GB2312" w:hAnsi="仿宋_GB2312" w:cs="仿宋_GB2312" w:eastAsia="仿宋_GB2312"/>
                      <w:sz w:val="24"/>
                      <w:color w:val="000000"/>
                    </w:rPr>
                    <w:t>3）每个动画要求①分辨率1920*1080</w:t>
                  </w:r>
                  <w:r>
                    <w:rPr>
                      <w:rFonts w:ascii="仿宋_GB2312" w:hAnsi="仿宋_GB2312" w:cs="仿宋_GB2312" w:eastAsia="仿宋_GB2312"/>
                      <w:sz w:val="24"/>
                      <w:color w:val="000000"/>
                    </w:rPr>
                    <w:t>；</w:t>
                  </w:r>
                  <w:r>
                    <w:rPr>
                      <w:rFonts w:ascii="仿宋_GB2312" w:hAnsi="仿宋_GB2312" w:cs="仿宋_GB2312" w:eastAsia="仿宋_GB2312"/>
                      <w:sz w:val="24"/>
                      <w:color w:val="000000"/>
                    </w:rPr>
                    <w:t>②高清Mp4格式</w:t>
                  </w:r>
                  <w:r>
                    <w:rPr>
                      <w:rFonts w:ascii="仿宋_GB2312" w:hAnsi="仿宋_GB2312" w:cs="仿宋_GB2312" w:eastAsia="仿宋_GB2312"/>
                      <w:sz w:val="24"/>
                      <w:color w:val="000000"/>
                    </w:rPr>
                    <w:t>；</w:t>
                  </w:r>
                  <w:r>
                    <w:rPr>
                      <w:rFonts w:ascii="仿宋_GB2312" w:hAnsi="仿宋_GB2312" w:cs="仿宋_GB2312" w:eastAsia="仿宋_GB2312"/>
                      <w:sz w:val="24"/>
                      <w:color w:val="000000"/>
                    </w:rPr>
                    <w:t>③视频帧速率不低于25帧/秒</w:t>
                  </w:r>
                  <w:r>
                    <w:rPr>
                      <w:rFonts w:ascii="仿宋_GB2312" w:hAnsi="仿宋_GB2312" w:cs="仿宋_GB2312" w:eastAsia="仿宋_GB2312"/>
                      <w:sz w:val="24"/>
                      <w:color w:val="000000"/>
                    </w:rPr>
                    <w:t>；</w:t>
                  </w:r>
                  <w:r>
                    <w:rPr>
                      <w:rFonts w:ascii="仿宋_GB2312" w:hAnsi="仿宋_GB2312" w:cs="仿宋_GB2312" w:eastAsia="仿宋_GB2312"/>
                      <w:sz w:val="24"/>
                      <w:color w:val="000000"/>
                    </w:rPr>
                    <w:t>④视频比特率不低于3000kbps</w:t>
                  </w:r>
                  <w:r>
                    <w:rPr>
                      <w:rFonts w:ascii="仿宋_GB2312" w:hAnsi="仿宋_GB2312" w:cs="仿宋_GB2312" w:eastAsia="仿宋_GB2312"/>
                      <w:sz w:val="24"/>
                      <w:color w:val="000000"/>
                    </w:rPr>
                    <w:t>；</w:t>
                  </w:r>
                  <w:r>
                    <w:rPr>
                      <w:rFonts w:ascii="仿宋_GB2312" w:hAnsi="仿宋_GB2312" w:cs="仿宋_GB2312" w:eastAsia="仿宋_GB2312"/>
                      <w:sz w:val="24"/>
                      <w:color w:val="000000"/>
                    </w:rPr>
                    <w:t>⑤音频比特率不低于192kbps。</w:t>
                  </w:r>
                </w:p>
                <w:p>
                  <w:pPr>
                    <w:pStyle w:val="null3"/>
                    <w:jc w:val="both"/>
                  </w:pPr>
                  <w:r>
                    <w:rPr>
                      <w:rFonts w:ascii="仿宋_GB2312" w:hAnsi="仿宋_GB2312" w:cs="仿宋_GB2312" w:eastAsia="仿宋_GB2312"/>
                      <w:sz w:val="24"/>
                      <w:color w:val="000000"/>
                    </w:rPr>
                    <w:t>4）每个动画要求声音和画面同步，无交流声或其他杂音等缺陷，无明显失真、放音过冲、过弱。伴音清晰、饱满、圆润，无失真、噪声杂音干扰、音量忽大忽小现象。解说声与现场声无明显比例失调。</w:t>
                  </w:r>
                </w:p>
                <w:p>
                  <w:pPr>
                    <w:pStyle w:val="null3"/>
                    <w:jc w:val="both"/>
                  </w:pPr>
                  <w:r>
                    <w:rPr>
                      <w:rFonts w:ascii="仿宋_GB2312" w:hAnsi="仿宋_GB2312" w:cs="仿宋_GB2312" w:eastAsia="仿宋_GB2312"/>
                      <w:sz w:val="24"/>
                      <w:color w:val="000000"/>
                    </w:rPr>
                    <w:t>7、交互动画</w:t>
                  </w:r>
                </w:p>
                <w:p>
                  <w:pPr>
                    <w:pStyle w:val="null3"/>
                    <w:jc w:val="both"/>
                  </w:pPr>
                  <w:r>
                    <w:rPr>
                      <w:rFonts w:ascii="仿宋_GB2312" w:hAnsi="仿宋_GB2312" w:cs="仿宋_GB2312" w:eastAsia="仿宋_GB2312"/>
                      <w:sz w:val="24"/>
                      <w:color w:val="000000"/>
                    </w:rPr>
                    <w:t>1）交互动画要求提供至少5个，每个动画要求不少于2个交互点，交互内容要求合理对应教学知识点、符合沉浸式、互动式等教学设计要求。</w:t>
                  </w:r>
                </w:p>
                <w:p>
                  <w:pPr>
                    <w:pStyle w:val="null3"/>
                    <w:jc w:val="both"/>
                  </w:pPr>
                  <w:r>
                    <w:rPr>
                      <w:rFonts w:ascii="仿宋_GB2312" w:hAnsi="仿宋_GB2312" w:cs="仿宋_GB2312" w:eastAsia="仿宋_GB2312"/>
                      <w:sz w:val="24"/>
                      <w:color w:val="000000"/>
                    </w:rPr>
                    <w:t>2）要求设计较强的交互功能，操作简便，交互的实现须流畅、合理、图像清晰，具有较强的可视性，制作要求达到高清，色彩饱和，运行流畅，声音清楚，界面精细。</w:t>
                  </w:r>
                </w:p>
                <w:p>
                  <w:pPr>
                    <w:pStyle w:val="null3"/>
                    <w:jc w:val="both"/>
                  </w:pPr>
                  <w:r>
                    <w:rPr>
                      <w:rFonts w:ascii="仿宋_GB2312" w:hAnsi="仿宋_GB2312" w:cs="仿宋_GB2312" w:eastAsia="仿宋_GB2312"/>
                      <w:sz w:val="24"/>
                      <w:color w:val="000000"/>
                    </w:rPr>
                    <w:t>3）动画画面尺寸：宽度1280像素*高度720像素及以上。</w:t>
                  </w:r>
                </w:p>
                <w:p>
                  <w:pPr>
                    <w:pStyle w:val="null3"/>
                    <w:jc w:val="both"/>
                  </w:pPr>
                  <w:r>
                    <w:rPr>
                      <w:rFonts w:ascii="仿宋_GB2312" w:hAnsi="仿宋_GB2312" w:cs="仿宋_GB2312" w:eastAsia="仿宋_GB2312"/>
                      <w:sz w:val="24"/>
                      <w:color w:val="000000"/>
                    </w:rPr>
                    <w:t>4）解说配音应标准，无噪音，音量适当，快慢适度，并提供控制解说的开关。</w:t>
                  </w:r>
                </w:p>
                <w:p>
                  <w:pPr>
                    <w:pStyle w:val="null3"/>
                    <w:jc w:val="both"/>
                  </w:pPr>
                  <w:r>
                    <w:rPr>
                      <w:rFonts w:ascii="仿宋_GB2312" w:hAnsi="仿宋_GB2312" w:cs="仿宋_GB2312" w:eastAsia="仿宋_GB2312"/>
                      <w:sz w:val="24"/>
                      <w:color w:val="000000"/>
                    </w:rPr>
                    <w:t>5）交互动画采用S</w:t>
                  </w:r>
                  <w:r>
                    <w:rPr>
                      <w:rFonts w:ascii="仿宋_GB2312" w:hAnsi="仿宋_GB2312" w:cs="仿宋_GB2312" w:eastAsia="仿宋_GB2312"/>
                      <w:sz w:val="24"/>
                    </w:rPr>
                    <w:t>WF</w:t>
                  </w:r>
                  <w:r>
                    <w:rPr>
                      <w:rFonts w:ascii="仿宋_GB2312" w:hAnsi="仿宋_GB2312" w:cs="仿宋_GB2312" w:eastAsia="仿宋_GB2312"/>
                      <w:sz w:val="24"/>
                    </w:rPr>
                    <w:t>、</w:t>
                  </w:r>
                  <w:r>
                    <w:rPr>
                      <w:rFonts w:ascii="仿宋_GB2312" w:hAnsi="仿宋_GB2312" w:cs="仿宋_GB2312" w:eastAsia="仿宋_GB2312"/>
                      <w:sz w:val="24"/>
                    </w:rPr>
                    <w:t>HTML</w:t>
                  </w:r>
                  <w:r>
                    <w:rPr>
                      <w:rFonts w:ascii="仿宋_GB2312" w:hAnsi="仿宋_GB2312" w:cs="仿宋_GB2312" w:eastAsia="仿宋_GB2312"/>
                      <w:sz w:val="24"/>
                    </w:rPr>
                    <w:t>、</w:t>
                  </w:r>
                  <w:r>
                    <w:rPr>
                      <w:rFonts w:ascii="仿宋_GB2312" w:hAnsi="仿宋_GB2312" w:cs="仿宋_GB2312" w:eastAsia="仿宋_GB2312"/>
                      <w:sz w:val="24"/>
                    </w:rPr>
                    <w:t>EXE等形式</w:t>
                  </w:r>
                  <w:r>
                    <w:rPr>
                      <w:rFonts w:ascii="仿宋_GB2312" w:hAnsi="仿宋_GB2312" w:cs="仿宋_GB2312" w:eastAsia="仿宋_GB2312"/>
                      <w:sz w:val="24"/>
                    </w:rPr>
                    <w:t>存储方式。</w:t>
                  </w:r>
                </w:p>
                <w:p>
                  <w:pPr>
                    <w:pStyle w:val="null3"/>
                    <w:jc w:val="both"/>
                  </w:pPr>
                  <w:r>
                    <w:rPr>
                      <w:rFonts w:ascii="仿宋_GB2312" w:hAnsi="仿宋_GB2312" w:cs="仿宋_GB2312" w:eastAsia="仿宋_GB2312"/>
                      <w:sz w:val="24"/>
                    </w:rPr>
                    <w:t>8、实操视频</w:t>
                  </w:r>
                </w:p>
                <w:p>
                  <w:pPr>
                    <w:pStyle w:val="null3"/>
                    <w:jc w:val="both"/>
                  </w:pPr>
                  <w:r>
                    <w:rPr>
                      <w:rFonts w:ascii="仿宋_GB2312" w:hAnsi="仿宋_GB2312" w:cs="仿宋_GB2312" w:eastAsia="仿宋_GB2312"/>
                      <w:sz w:val="24"/>
                      <w:color w:val="000000"/>
                    </w:rPr>
                    <w:t>1）实操视频要求提供至少25个，主要制作教学实操环节，对实操流程及步骤进行设计、分解、特写，每一步要求后期配音和画面注解。</w:t>
                  </w:r>
                </w:p>
                <w:p>
                  <w:pPr>
                    <w:pStyle w:val="null3"/>
                    <w:jc w:val="both"/>
                  </w:pPr>
                  <w:r>
                    <w:rPr>
                      <w:rFonts w:ascii="仿宋_GB2312" w:hAnsi="仿宋_GB2312" w:cs="仿宋_GB2312" w:eastAsia="仿宋_GB2312"/>
                      <w:sz w:val="24"/>
                      <w:color w:val="000000"/>
                    </w:rPr>
                    <w:t>2）每个实操视频包含教学设计、重难点强调、素材收集、制作脚本、开发、字幕、普通话二甲专业配音、后期剪辑、解说字幕等环节。</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）每个实操视频</w:t>
                  </w:r>
                  <w:r>
                    <w:rPr>
                      <w:rFonts w:ascii="仿宋_GB2312" w:hAnsi="仿宋_GB2312" w:cs="仿宋_GB2312" w:eastAsia="仿宋_GB2312"/>
                      <w:sz w:val="24"/>
                      <w:color w:val="000000"/>
                    </w:rPr>
                    <w:t>时长</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180秒，输出统一，分辨率1920*1080、高清Mp4格式。</w:t>
                  </w:r>
                </w:p>
                <w:p>
                  <w:pPr>
                    <w:pStyle w:val="null3"/>
                    <w:jc w:val="both"/>
                  </w:pPr>
                  <w:r>
                    <w:rPr>
                      <w:rFonts w:ascii="仿宋_GB2312" w:hAnsi="仿宋_GB2312" w:cs="仿宋_GB2312" w:eastAsia="仿宋_GB2312"/>
                      <w:sz w:val="24"/>
                      <w:color w:val="000000"/>
                    </w:rPr>
                    <w:t>4）声音和画面要求同步，无交流声或其他杂音等缺陷，无明显失真、放音过冲、过弱。伴音清晰、饱满、圆润，无失真、噪声杂音干扰、音量忽大忽小现象。解说声与现场声无明显比例失调。</w:t>
                  </w:r>
                </w:p>
                <w:p>
                  <w:pPr>
                    <w:pStyle w:val="null3"/>
                    <w:jc w:val="both"/>
                  </w:pPr>
                  <w:r>
                    <w:rPr>
                      <w:rFonts w:ascii="仿宋_GB2312" w:hAnsi="仿宋_GB2312" w:cs="仿宋_GB2312" w:eastAsia="仿宋_GB2312"/>
                      <w:sz w:val="24"/>
                      <w:color w:val="000000"/>
                    </w:rPr>
                    <w:t>9、课程宣传片课件及脚本</w:t>
                  </w:r>
                </w:p>
                <w:p>
                  <w:pPr>
                    <w:pStyle w:val="null3"/>
                    <w:jc w:val="both"/>
                  </w:pPr>
                  <w:r>
                    <w:rPr>
                      <w:rFonts w:ascii="仿宋_GB2312" w:hAnsi="仿宋_GB2312" w:cs="仿宋_GB2312" w:eastAsia="仿宋_GB2312"/>
                      <w:sz w:val="24"/>
                      <w:color w:val="000000"/>
                    </w:rPr>
                    <w:t>1）要求根据课程信息、制作拍摄脚本与课件，包括课程特点、教学目标、教学内容覆盖面、教学方法及组织形式、授课对象要求、教材与参考资料、课程开设情况等内容。</w:t>
                  </w:r>
                </w:p>
                <w:p>
                  <w:pPr>
                    <w:pStyle w:val="null3"/>
                    <w:jc w:val="both"/>
                  </w:pPr>
                  <w:r>
                    <w:rPr>
                      <w:rFonts w:ascii="仿宋_GB2312" w:hAnsi="仿宋_GB2312" w:cs="仿宋_GB2312" w:eastAsia="仿宋_GB2312"/>
                      <w:sz w:val="24"/>
                      <w:color w:val="000000"/>
                    </w:rPr>
                    <w:t>2）课程宣传片课件及脚本，要求按时长3-5分钟左右设计。</w:t>
                  </w:r>
                </w:p>
                <w:p>
                  <w:pPr>
                    <w:pStyle w:val="null3"/>
                    <w:jc w:val="both"/>
                  </w:pPr>
                  <w:r>
                    <w:rPr>
                      <w:rFonts w:ascii="仿宋_GB2312" w:hAnsi="仿宋_GB2312" w:cs="仿宋_GB2312" w:eastAsia="仿宋_GB2312"/>
                      <w:sz w:val="24"/>
                      <w:color w:val="000000"/>
                    </w:rPr>
                    <w:t>10、精品慕课视频课件及脚本</w:t>
                  </w:r>
                </w:p>
                <w:p>
                  <w:pPr>
                    <w:pStyle w:val="null3"/>
                    <w:jc w:val="both"/>
                  </w:pPr>
                  <w:r>
                    <w:rPr>
                      <w:rFonts w:ascii="仿宋_GB2312" w:hAnsi="仿宋_GB2312" w:cs="仿宋_GB2312" w:eastAsia="仿宋_GB2312"/>
                      <w:sz w:val="24"/>
                      <w:color w:val="000000"/>
                    </w:rPr>
                    <w:t>1）慕课视频课件及脚本一套，数量不少35个，确保每个课件及脚本对应的视频时长5-20分钟，脚本内容需覆盖教材大部分内容。</w:t>
                  </w:r>
                </w:p>
                <w:p>
                  <w:pPr>
                    <w:pStyle w:val="null3"/>
                    <w:jc w:val="both"/>
                  </w:pPr>
                  <w:r>
                    <w:rPr>
                      <w:rFonts w:ascii="仿宋_GB2312" w:hAnsi="仿宋_GB2312" w:cs="仿宋_GB2312" w:eastAsia="仿宋_GB2312"/>
                      <w:sz w:val="24"/>
                      <w:color w:val="000000"/>
                    </w:rPr>
                    <w:t>2）内容形式：根据学校和课程知识点要求，制作教学视频脚本，根据知识点需要选择最合适的呈现方式，脚本设计需巧妙运用现有资源，如动画、录像、图文讲解、教师讲解等等。</w:t>
                  </w:r>
                </w:p>
                <w:p>
                  <w:pPr>
                    <w:pStyle w:val="null3"/>
                    <w:jc w:val="both"/>
                  </w:pPr>
                  <w:r>
                    <w:rPr>
                      <w:rFonts w:ascii="仿宋_GB2312" w:hAnsi="仿宋_GB2312" w:cs="仿宋_GB2312" w:eastAsia="仿宋_GB2312"/>
                      <w:sz w:val="24"/>
                      <w:color w:val="000000"/>
                    </w:rPr>
                    <w:t>3）脚本字幕要使用符合国家标准的规范字，不出现繁体字、异体字(国家规定的除外)、错别字。</w:t>
                  </w:r>
                </w:p>
                <w:p>
                  <w:pPr>
                    <w:pStyle w:val="null3"/>
                    <w:jc w:val="both"/>
                  </w:pPr>
                  <w:r>
                    <w:rPr>
                      <w:rFonts w:ascii="仿宋_GB2312" w:hAnsi="仿宋_GB2312" w:cs="仿宋_GB2312" w:eastAsia="仿宋_GB2312"/>
                      <w:sz w:val="24"/>
                      <w:color w:val="000000"/>
                    </w:rPr>
                    <w:t>二、在线精品课程资源</w:t>
                  </w:r>
                  <w:r>
                    <w:rPr>
                      <w:rFonts w:ascii="仿宋_GB2312" w:hAnsi="仿宋_GB2312" w:cs="仿宋_GB2312" w:eastAsia="仿宋_GB2312"/>
                      <w:sz w:val="24"/>
                      <w:color w:val="000000"/>
                    </w:rPr>
                    <w:t>3门，每门涵盖：</w:t>
                  </w:r>
                </w:p>
                <w:p>
                  <w:pPr>
                    <w:pStyle w:val="null3"/>
                    <w:jc w:val="both"/>
                  </w:pPr>
                  <w:r>
                    <w:rPr>
                      <w:rFonts w:ascii="仿宋_GB2312" w:hAnsi="仿宋_GB2312" w:cs="仿宋_GB2312" w:eastAsia="仿宋_GB2312"/>
                      <w:sz w:val="24"/>
                      <w:color w:val="000000"/>
                    </w:rPr>
                    <w:t>1、MG理论动画（二维）</w:t>
                  </w:r>
                </w:p>
                <w:p>
                  <w:pPr>
                    <w:pStyle w:val="null3"/>
                    <w:jc w:val="both"/>
                  </w:pPr>
                  <w:r>
                    <w:rPr>
                      <w:rFonts w:ascii="仿宋_GB2312" w:hAnsi="仿宋_GB2312" w:cs="仿宋_GB2312" w:eastAsia="仿宋_GB2312"/>
                      <w:sz w:val="24"/>
                      <w:color w:val="000000"/>
                    </w:rPr>
                    <w:t>1）理论动画要求提供至少5个，要求以二维动画来设计制作，包含演示动画、情景动画等，将枯燥、抽象、生涩难懂的知识重点，以及文字、图片、视频无法呈现的知识难点，以动画形式展现，解决老师难教和学生难懂的教学问题。</w:t>
                  </w:r>
                </w:p>
                <w:p>
                  <w:pPr>
                    <w:pStyle w:val="null3"/>
                    <w:jc w:val="both"/>
                  </w:pPr>
                  <w:r>
                    <w:rPr>
                      <w:rFonts w:ascii="仿宋_GB2312" w:hAnsi="仿宋_GB2312" w:cs="仿宋_GB2312" w:eastAsia="仿宋_GB2312"/>
                      <w:sz w:val="24"/>
                      <w:color w:val="000000"/>
                    </w:rPr>
                    <w:t>2）每个动画需要包含教学设计、素材收集、制作脚本、开发、字幕、专业配音、后期剪辑、解说字幕等环节。</w:t>
                  </w:r>
                </w:p>
                <w:p>
                  <w:pPr>
                    <w:pStyle w:val="null3"/>
                    <w:jc w:val="both"/>
                  </w:pPr>
                  <w:r>
                    <w:rPr>
                      <w:rFonts w:ascii="仿宋_GB2312" w:hAnsi="仿宋_GB2312" w:cs="仿宋_GB2312" w:eastAsia="仿宋_GB2312"/>
                      <w:sz w:val="24"/>
                      <w:color w:val="000000"/>
                    </w:rPr>
                    <w:t>3）每个动画要求不少于120秒，输出统一，分辨率1920*1080、高清Mp4格式，视频帧速率不低于25帧/秒，视频比特率不低于3000kbps，音频比特率不低于192kbps。</w:t>
                  </w:r>
                </w:p>
                <w:p>
                  <w:pPr>
                    <w:pStyle w:val="null3"/>
                    <w:jc w:val="both"/>
                  </w:pPr>
                  <w:r>
                    <w:rPr>
                      <w:rFonts w:ascii="仿宋_GB2312" w:hAnsi="仿宋_GB2312" w:cs="仿宋_GB2312" w:eastAsia="仿宋_GB2312"/>
                      <w:sz w:val="24"/>
                      <w:color w:val="000000"/>
                    </w:rPr>
                    <w:t>4）每个动画要求声音和画面同步，无交流声或其他杂音等缺陷，无明显失真、放音过冲、过弱。伴音清晰、饱满、圆润，无失真、噪声杂音干扰、音量忽大忽小现象。解说声与现场声无明显比例失调。</w:t>
                  </w:r>
                </w:p>
                <w:p>
                  <w:pPr>
                    <w:pStyle w:val="null3"/>
                    <w:jc w:val="both"/>
                  </w:pPr>
                  <w:r>
                    <w:rPr>
                      <w:rFonts w:ascii="仿宋_GB2312" w:hAnsi="仿宋_GB2312" w:cs="仿宋_GB2312" w:eastAsia="仿宋_GB2312"/>
                      <w:sz w:val="24"/>
                      <w:color w:val="000000"/>
                    </w:rPr>
                    <w:t>2、实操视频</w:t>
                  </w:r>
                </w:p>
                <w:p>
                  <w:pPr>
                    <w:pStyle w:val="null3"/>
                    <w:jc w:val="both"/>
                  </w:pPr>
                  <w:r>
                    <w:rPr>
                      <w:rFonts w:ascii="仿宋_GB2312" w:hAnsi="仿宋_GB2312" w:cs="仿宋_GB2312" w:eastAsia="仿宋_GB2312"/>
                      <w:sz w:val="24"/>
                      <w:color w:val="000000"/>
                    </w:rPr>
                    <w:t>1）实操视频要求提供至少20个，主要制作教学实操环节，对实操流程及步骤进行设计、分解、特写，每一步要求后期配音和画面注解。</w:t>
                  </w:r>
                </w:p>
                <w:p>
                  <w:pPr>
                    <w:pStyle w:val="null3"/>
                    <w:jc w:val="both"/>
                  </w:pPr>
                  <w:r>
                    <w:rPr>
                      <w:rFonts w:ascii="仿宋_GB2312" w:hAnsi="仿宋_GB2312" w:cs="仿宋_GB2312" w:eastAsia="仿宋_GB2312"/>
                      <w:sz w:val="24"/>
                      <w:color w:val="000000"/>
                    </w:rPr>
                    <w:t>2）每个实操视频包含教学设计、重难点强调、素材收集、制作脚本、开发、字幕、普通话二甲专业配音、后期剪辑、解说字幕等环节。</w:t>
                  </w:r>
                </w:p>
                <w:p>
                  <w:pPr>
                    <w:pStyle w:val="null3"/>
                    <w:jc w:val="both"/>
                  </w:pPr>
                  <w:r>
                    <w:rPr>
                      <w:rFonts w:ascii="仿宋_GB2312" w:hAnsi="仿宋_GB2312" w:cs="仿宋_GB2312" w:eastAsia="仿宋_GB2312"/>
                      <w:sz w:val="24"/>
                      <w:color w:val="000000"/>
                    </w:rPr>
                    <w:t>3）每个实操视频不少于180秒，输出统一，分辨率1920*1080、高清Mp4格式。</w:t>
                  </w:r>
                </w:p>
                <w:p>
                  <w:pPr>
                    <w:pStyle w:val="null3"/>
                    <w:jc w:val="both"/>
                  </w:pPr>
                  <w:r>
                    <w:rPr>
                      <w:rFonts w:ascii="仿宋_GB2312" w:hAnsi="仿宋_GB2312" w:cs="仿宋_GB2312" w:eastAsia="仿宋_GB2312"/>
                      <w:sz w:val="24"/>
                      <w:color w:val="000000"/>
                    </w:rPr>
                    <w:t>4）声音和画面要求同步，无交流声或其他杂音等缺陷，无明显失真、放音过冲、过弱。伴音清晰、饱满、圆润，无失真、噪声杂音干扰、音量忽大忽小现象。解说声与现场声无明显比例失调。</w:t>
                  </w:r>
                </w:p>
                <w:p>
                  <w:pPr>
                    <w:pStyle w:val="null3"/>
                    <w:jc w:val="both"/>
                  </w:pPr>
                  <w:r>
                    <w:rPr>
                      <w:rFonts w:ascii="仿宋_GB2312" w:hAnsi="仿宋_GB2312" w:cs="仿宋_GB2312" w:eastAsia="仿宋_GB2312"/>
                      <w:sz w:val="24"/>
                      <w:color w:val="000000"/>
                    </w:rPr>
                    <w:t>3、课程宣传片课件及脚本</w:t>
                  </w:r>
                </w:p>
                <w:p>
                  <w:pPr>
                    <w:pStyle w:val="null3"/>
                    <w:jc w:val="both"/>
                  </w:pPr>
                  <w:r>
                    <w:rPr>
                      <w:rFonts w:ascii="仿宋_GB2312" w:hAnsi="仿宋_GB2312" w:cs="仿宋_GB2312" w:eastAsia="仿宋_GB2312"/>
                      <w:sz w:val="24"/>
                      <w:color w:val="000000"/>
                    </w:rPr>
                    <w:t>1）要求根据课程信息、制作拍摄脚本与课件，包括课程特点、教学目标、教学内容覆盖面、教学方法及组织形式、授课对象要求、教材与参考资料、课程开设情况等内容。</w:t>
                  </w:r>
                </w:p>
                <w:p>
                  <w:pPr>
                    <w:pStyle w:val="null3"/>
                    <w:jc w:val="both"/>
                  </w:pPr>
                  <w:r>
                    <w:rPr>
                      <w:rFonts w:ascii="仿宋_GB2312" w:hAnsi="仿宋_GB2312" w:cs="仿宋_GB2312" w:eastAsia="仿宋_GB2312"/>
                      <w:sz w:val="24"/>
                      <w:color w:val="000000"/>
                    </w:rPr>
                    <w:t>2）课程宣传片课件及脚本，要求按时长3-5分钟左右设计。</w:t>
                  </w:r>
                </w:p>
                <w:p>
                  <w:pPr>
                    <w:pStyle w:val="null3"/>
                    <w:jc w:val="both"/>
                  </w:pPr>
                  <w:r>
                    <w:rPr>
                      <w:rFonts w:ascii="仿宋_GB2312" w:hAnsi="仿宋_GB2312" w:cs="仿宋_GB2312" w:eastAsia="仿宋_GB2312"/>
                      <w:sz w:val="24"/>
                      <w:color w:val="000000"/>
                    </w:rPr>
                    <w:t>4、精品慕课视频课件及脚本</w:t>
                  </w:r>
                </w:p>
                <w:p>
                  <w:pPr>
                    <w:pStyle w:val="null3"/>
                    <w:jc w:val="both"/>
                  </w:pPr>
                  <w:r>
                    <w:rPr>
                      <w:rFonts w:ascii="仿宋_GB2312" w:hAnsi="仿宋_GB2312" w:cs="仿宋_GB2312" w:eastAsia="仿宋_GB2312"/>
                      <w:sz w:val="24"/>
                      <w:color w:val="000000"/>
                    </w:rPr>
                    <w:t>1）慕课视频课件及脚本一套，数量不少</w:t>
                  </w:r>
                  <w:r>
                    <w:rPr>
                      <w:rFonts w:ascii="仿宋_GB2312" w:hAnsi="仿宋_GB2312" w:cs="仿宋_GB2312" w:eastAsia="仿宋_GB2312"/>
                      <w:sz w:val="24"/>
                      <w:color w:val="000000"/>
                    </w:rPr>
                    <w:t>于</w:t>
                  </w:r>
                  <w:r>
                    <w:rPr>
                      <w:rFonts w:ascii="仿宋_GB2312" w:hAnsi="仿宋_GB2312" w:cs="仿宋_GB2312" w:eastAsia="仿宋_GB2312"/>
                      <w:sz w:val="24"/>
                      <w:color w:val="000000"/>
                    </w:rPr>
                    <w:t>35个，确保每个课件及脚本对应的视频时长5-20分钟，脚本内容需覆盖教材大部分内容。</w:t>
                  </w:r>
                </w:p>
                <w:p>
                  <w:pPr>
                    <w:pStyle w:val="null3"/>
                    <w:jc w:val="both"/>
                  </w:pPr>
                  <w:r>
                    <w:rPr>
                      <w:rFonts w:ascii="仿宋_GB2312" w:hAnsi="仿宋_GB2312" w:cs="仿宋_GB2312" w:eastAsia="仿宋_GB2312"/>
                      <w:sz w:val="24"/>
                      <w:color w:val="000000"/>
                    </w:rPr>
                    <w:t>2）内容形式：根据学校和课程知识点要求，制作教学视频脚本，根据知识点需要选择最合适的呈现方式，脚本设计需巧妙运用现有资源，如动画、录像、图文讲解、教师讲解等等。</w:t>
                  </w:r>
                </w:p>
                <w:p>
                  <w:pPr>
                    <w:pStyle w:val="null3"/>
                    <w:jc w:val="both"/>
                  </w:pPr>
                  <w:r>
                    <w:rPr>
                      <w:rFonts w:ascii="仿宋_GB2312" w:hAnsi="仿宋_GB2312" w:cs="仿宋_GB2312" w:eastAsia="仿宋_GB2312"/>
                      <w:sz w:val="24"/>
                      <w:color w:val="000000"/>
                    </w:rPr>
                    <w:t>3）脚本字幕要使用符合国家标准的规范字，不出现繁体字、异体字(国家规定的除外)、错别字。</w:t>
                  </w:r>
                </w:p>
                <w:p>
                  <w:pPr>
                    <w:pStyle w:val="null3"/>
                    <w:jc w:val="both"/>
                  </w:pPr>
                  <w:r>
                    <w:rPr>
                      <w:rFonts w:ascii="仿宋_GB2312" w:hAnsi="仿宋_GB2312" w:cs="仿宋_GB2312" w:eastAsia="仿宋_GB2312"/>
                      <w:sz w:val="24"/>
                      <w:color w:val="000000"/>
                    </w:rPr>
                    <w:t>三、</w:t>
                  </w:r>
                  <w:r>
                    <w:rPr>
                      <w:rFonts w:ascii="仿宋_GB2312" w:hAnsi="仿宋_GB2312" w:cs="仿宋_GB2312" w:eastAsia="仿宋_GB2312"/>
                      <w:sz w:val="24"/>
                    </w:rPr>
                    <w:t>资源开发配套创新实验平台，技术要求如下：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1.集成一体化设计，双处理器单元平台架构（AIoT八核芯片平台+ARM嵌入式平台）,双CPU都必须能与可编程逻辑芯片实现硬件总线连接及数据交互，实现数字逻辑电路实验及功能扩展。</w:t>
                  </w:r>
                  <w:r>
                    <w:rPr>
                      <w:rFonts w:ascii="仿宋_GB2312" w:hAnsi="仿宋_GB2312" w:cs="仿宋_GB2312" w:eastAsia="仿宋_GB2312"/>
                      <w:sz w:val="24"/>
                      <w:b/>
                    </w:rPr>
                    <w:t>（提供实物照片并标注）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2.第一平台采用板载新一代旗舰 AIoT 芯片平台，8nm LP 制程；搭载不低于八核（Cortex-A76 x 4 + Cortex-A55 x 4）64位 CPU，主频不低于2.4GHz ；集成ARM Mali-G610 </w:t>
                  </w:r>
                  <w:r>
                    <w:rPr>
                      <w:rFonts w:ascii="仿宋_GB2312" w:hAnsi="仿宋_GB2312" w:cs="仿宋_GB2312" w:eastAsia="仿宋_GB2312"/>
                      <w:sz w:val="24"/>
                    </w:rPr>
                    <w:t>M</w:t>
                  </w:r>
                  <w:r>
                    <w:rPr>
                      <w:rFonts w:ascii="仿宋_GB2312" w:hAnsi="仿宋_GB2312" w:cs="仿宋_GB2312" w:eastAsia="仿宋_GB2312"/>
                      <w:sz w:val="24"/>
                    </w:rPr>
                    <w:t>C</w:t>
                  </w:r>
                  <w:r>
                    <w:rPr>
                      <w:rFonts w:ascii="仿宋_GB2312" w:hAnsi="仿宋_GB2312" w:cs="仿宋_GB2312" w:eastAsia="仿宋_GB2312"/>
                      <w:sz w:val="24"/>
                    </w:rPr>
                    <w:t>4</w:t>
                  </w:r>
                  <w:r>
                    <w:rPr>
                      <w:rFonts w:ascii="仿宋_GB2312" w:hAnsi="仿宋_GB2312" w:cs="仿宋_GB2312" w:eastAsia="仿宋_GB2312"/>
                      <w:sz w:val="24"/>
                    </w:rPr>
                    <w:t>四核</w:t>
                  </w:r>
                  <w:r>
                    <w:rPr>
                      <w:rFonts w:ascii="仿宋_GB2312" w:hAnsi="仿宋_GB2312" w:cs="仿宋_GB2312" w:eastAsia="仿宋_GB2312"/>
                      <w:sz w:val="24"/>
                    </w:rPr>
                    <w:t>GPU，内置AI加速器NPU，可提供6 Tops算力，三核架构，支持int4/int8/int16/FP16/BF16/TF32，支持主流的深度学习框架；支持H.265/H.264/AV1/VP9/AVS2视频解码，最高8K60FPS，支持H.264/H.265视频编码，最高8K30FPS；内存不低于 8GB LPDDR；eMMC存储不低于32GB。</w:t>
                  </w:r>
                  <w:r>
                    <w:rPr>
                      <w:rFonts w:ascii="仿宋_GB2312" w:hAnsi="仿宋_GB2312" w:cs="仿宋_GB2312" w:eastAsia="仿宋_GB2312"/>
                      <w:sz w:val="24"/>
                      <w:b/>
                    </w:rPr>
                    <w:t>（提供</w:t>
                  </w:r>
                  <w:r>
                    <w:rPr>
                      <w:rFonts w:ascii="仿宋_GB2312" w:hAnsi="仿宋_GB2312" w:cs="仿宋_GB2312" w:eastAsia="仿宋_GB2312"/>
                      <w:sz w:val="24"/>
                      <w:b/>
                    </w:rPr>
                    <w:t>资料证明并标注</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 第二平台采用板载高性能32位处理器、Cortex™-M4架构（具有浮点单元）、主频168Mhz，具备丰富的处理能力和高速运算能力；具备16MB的Serial Flash存储器以及1MB的SRAM，可以存储大量的程序代码和数据</w:t>
                  </w:r>
                  <w:r>
                    <w:rPr>
                      <w:rFonts w:ascii="仿宋_GB2312" w:hAnsi="仿宋_GB2312" w:cs="仿宋_GB2312" w:eastAsia="仿宋_GB2312"/>
                      <w:sz w:val="24"/>
                    </w:rPr>
                    <w:t>；</w:t>
                  </w:r>
                  <w:r>
                    <w:rPr>
                      <w:rFonts w:ascii="仿宋_GB2312" w:hAnsi="仿宋_GB2312" w:cs="仿宋_GB2312" w:eastAsia="仿宋_GB2312"/>
                      <w:sz w:val="24"/>
                    </w:rPr>
                    <w:t>板载高性能</w:t>
                  </w:r>
                  <w:r>
                    <w:rPr>
                      <w:rFonts w:ascii="仿宋_GB2312" w:hAnsi="仿宋_GB2312" w:cs="仿宋_GB2312" w:eastAsia="仿宋_GB2312"/>
                      <w:sz w:val="24"/>
                    </w:rPr>
                    <w:t>FPGA芯片，逻辑单元不低于</w:t>
                  </w:r>
                  <w:r>
                    <w:rPr>
                      <w:rFonts w:ascii="仿宋_GB2312" w:hAnsi="仿宋_GB2312" w:cs="仿宋_GB2312" w:eastAsia="仿宋_GB2312"/>
                      <w:sz w:val="24"/>
                    </w:rPr>
                    <w:t>75</w:t>
                  </w:r>
                  <w:r>
                    <w:rPr>
                      <w:rFonts w:ascii="仿宋_GB2312" w:hAnsi="仿宋_GB2312" w:cs="仿宋_GB2312" w:eastAsia="仿宋_GB2312"/>
                      <w:sz w:val="24"/>
                    </w:rPr>
                    <w:t>K，BRAM存储资源为</w:t>
                  </w:r>
                  <w:r>
                    <w:rPr>
                      <w:rFonts w:ascii="仿宋_GB2312" w:hAnsi="仿宋_GB2312" w:cs="仿宋_GB2312" w:eastAsia="仿宋_GB2312"/>
                      <w:sz w:val="24"/>
                    </w:rPr>
                    <w:t>3780</w:t>
                  </w:r>
                  <w:r>
                    <w:rPr>
                      <w:rFonts w:ascii="仿宋_GB2312" w:hAnsi="仿宋_GB2312" w:cs="仿宋_GB2312" w:eastAsia="仿宋_GB2312"/>
                      <w:sz w:val="24"/>
                    </w:rPr>
                    <w:t>Kb</w:t>
                  </w:r>
                  <w:r>
                    <w:rPr>
                      <w:rFonts w:ascii="仿宋_GB2312" w:hAnsi="仿宋_GB2312" w:cs="仿宋_GB2312" w:eastAsia="仿宋_GB2312"/>
                      <w:sz w:val="24"/>
                    </w:rPr>
                    <w:t>；</w:t>
                  </w:r>
                  <w:r>
                    <w:rPr>
                      <w:rFonts w:ascii="仿宋_GB2312" w:hAnsi="仿宋_GB2312" w:cs="仿宋_GB2312" w:eastAsia="仿宋_GB2312"/>
                      <w:sz w:val="24"/>
                    </w:rPr>
                    <w:t>板载有光敏传感器，支持</w:t>
                  </w:r>
                  <w:r>
                    <w:rPr>
                      <w:rFonts w:ascii="仿宋_GB2312" w:hAnsi="仿宋_GB2312" w:cs="仿宋_GB2312" w:eastAsia="仿宋_GB2312"/>
                      <w:sz w:val="24"/>
                    </w:rPr>
                    <w:t>ADC采样等实验；支持PWM等基础实验。</w:t>
                  </w:r>
                  <w:r>
                    <w:rPr>
                      <w:rFonts w:ascii="仿宋_GB2312" w:hAnsi="仿宋_GB2312" w:cs="仿宋_GB2312" w:eastAsia="仿宋_GB2312"/>
                      <w:sz w:val="24"/>
                      <w:b/>
                    </w:rPr>
                    <w:t>（提供</w:t>
                  </w:r>
                  <w:r>
                    <w:rPr>
                      <w:rFonts w:ascii="仿宋_GB2312" w:hAnsi="仿宋_GB2312" w:cs="仿宋_GB2312" w:eastAsia="仿宋_GB2312"/>
                      <w:sz w:val="24"/>
                      <w:b/>
                    </w:rPr>
                    <w:t>资料证明并标注</w:t>
                  </w:r>
                  <w:r>
                    <w:rPr>
                      <w:rFonts w:ascii="仿宋_GB2312" w:hAnsi="仿宋_GB2312" w:cs="仿宋_GB2312" w:eastAsia="仿宋_GB2312"/>
                      <w:sz w:val="24"/>
                      <w:b/>
                    </w:rPr>
                    <w:t>）</w:t>
                  </w:r>
                  <w:r>
                    <w:br/>
                  </w:r>
                  <w:r>
                    <w:rPr>
                      <w:rFonts w:ascii="仿宋_GB2312" w:hAnsi="仿宋_GB2312" w:cs="仿宋_GB2312" w:eastAsia="仿宋_GB2312"/>
                      <w:sz w:val="24"/>
                      <w:b/>
                    </w:rPr>
                    <w:t>4</w:t>
                  </w:r>
                  <w:r>
                    <w:rPr>
                      <w:rFonts w:ascii="仿宋_GB2312" w:hAnsi="仿宋_GB2312" w:cs="仿宋_GB2312" w:eastAsia="仿宋_GB2312"/>
                      <w:sz w:val="24"/>
                    </w:rPr>
                    <w:t>. 支持JTAG调试。</w:t>
                  </w:r>
                  <w:r>
                    <w:br/>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 第一平台处理器单元通过</w:t>
                  </w:r>
                  <w:r>
                    <w:rPr>
                      <w:rFonts w:ascii="仿宋_GB2312" w:hAnsi="仿宋_GB2312" w:cs="仿宋_GB2312" w:eastAsia="仿宋_GB2312"/>
                      <w:sz w:val="24"/>
                    </w:rPr>
                    <w:t>RS485、</w:t>
                  </w:r>
                  <w:r>
                    <w:rPr>
                      <w:rFonts w:ascii="仿宋_GB2312" w:hAnsi="仿宋_GB2312" w:cs="仿宋_GB2312" w:eastAsia="仿宋_GB2312"/>
                      <w:sz w:val="24"/>
                    </w:rPr>
                    <w:t>SPI、</w:t>
                  </w:r>
                  <w:r>
                    <w:rPr>
                      <w:rFonts w:ascii="仿宋_GB2312" w:hAnsi="仿宋_GB2312" w:cs="仿宋_GB2312" w:eastAsia="仿宋_GB2312"/>
                      <w:sz w:val="24"/>
                    </w:rPr>
                    <w:t>I2C、</w:t>
                  </w:r>
                  <w:r>
                    <w:rPr>
                      <w:rFonts w:ascii="仿宋_GB2312" w:hAnsi="仿宋_GB2312" w:cs="仿宋_GB2312" w:eastAsia="仿宋_GB2312"/>
                      <w:sz w:val="24"/>
                    </w:rPr>
                    <w:t>PCIe等总线与FPGA进行2组RS485、6组RS232</w:t>
                  </w:r>
                  <w:r>
                    <w:rPr>
                      <w:rFonts w:ascii="仿宋_GB2312" w:hAnsi="仿宋_GB2312" w:cs="仿宋_GB2312" w:eastAsia="仿宋_GB2312"/>
                      <w:sz w:val="24"/>
                    </w:rPr>
                    <w:t>、</w:t>
                  </w:r>
                  <w:r>
                    <w:rPr>
                      <w:rFonts w:ascii="仿宋_GB2312" w:hAnsi="仿宋_GB2312" w:cs="仿宋_GB2312" w:eastAsia="仿宋_GB2312"/>
                      <w:sz w:val="24"/>
                    </w:rPr>
                    <w:t>8路DI、8路DO、1路继电器、1组步进电机</w:t>
                  </w:r>
                  <w:r>
                    <w:rPr>
                      <w:rFonts w:ascii="仿宋_GB2312" w:hAnsi="仿宋_GB2312" w:cs="仿宋_GB2312" w:eastAsia="仿宋_GB2312"/>
                      <w:sz w:val="24"/>
                    </w:rPr>
                    <w:t>等接口</w:t>
                  </w:r>
                  <w:r>
                    <w:rPr>
                      <w:rFonts w:ascii="仿宋_GB2312" w:hAnsi="仿宋_GB2312" w:cs="仿宋_GB2312" w:eastAsia="仿宋_GB2312"/>
                      <w:sz w:val="24"/>
                    </w:rPr>
                    <w:t>扩展</w:t>
                  </w:r>
                  <w:r>
                    <w:rPr>
                      <w:rFonts w:ascii="仿宋_GB2312" w:hAnsi="仿宋_GB2312" w:cs="仿宋_GB2312" w:eastAsia="仿宋_GB2312"/>
                      <w:sz w:val="24"/>
                    </w:rPr>
                    <w:t>；</w:t>
                  </w:r>
                  <w:r>
                    <w:rPr>
                      <w:rFonts w:ascii="仿宋_GB2312" w:hAnsi="仿宋_GB2312" w:cs="仿宋_GB2312" w:eastAsia="仿宋_GB2312"/>
                      <w:sz w:val="24"/>
                    </w:rPr>
                    <w:t>第二平台处理器单元通过</w:t>
                  </w:r>
                  <w:r>
                    <w:rPr>
                      <w:rFonts w:ascii="仿宋_GB2312" w:hAnsi="仿宋_GB2312" w:cs="仿宋_GB2312" w:eastAsia="仿宋_GB2312"/>
                      <w:sz w:val="24"/>
                    </w:rPr>
                    <w:t>RS485、</w:t>
                  </w:r>
                  <w:r>
                    <w:rPr>
                      <w:rFonts w:ascii="仿宋_GB2312" w:hAnsi="仿宋_GB2312" w:cs="仿宋_GB2312" w:eastAsia="仿宋_GB2312"/>
                      <w:sz w:val="24"/>
                    </w:rPr>
                    <w:t>SPI、</w:t>
                  </w:r>
                  <w:r>
                    <w:rPr>
                      <w:rFonts w:ascii="仿宋_GB2312" w:hAnsi="仿宋_GB2312" w:cs="仿宋_GB2312" w:eastAsia="仿宋_GB2312"/>
                      <w:sz w:val="24"/>
                    </w:rPr>
                    <w:t>I2C、</w:t>
                  </w:r>
                  <w:r>
                    <w:rPr>
                      <w:rFonts w:ascii="仿宋_GB2312" w:hAnsi="仿宋_GB2312" w:cs="仿宋_GB2312" w:eastAsia="仿宋_GB2312"/>
                      <w:sz w:val="24"/>
                    </w:rPr>
                    <w:t>FSMC</w:t>
                  </w:r>
                  <w:r>
                    <w:rPr>
                      <w:rFonts w:ascii="仿宋_GB2312" w:hAnsi="仿宋_GB2312" w:cs="仿宋_GB2312" w:eastAsia="仿宋_GB2312"/>
                      <w:sz w:val="24"/>
                    </w:rPr>
                    <w:t>等</w:t>
                  </w:r>
                  <w:r>
                    <w:rPr>
                      <w:rFonts w:ascii="仿宋_GB2312" w:hAnsi="仿宋_GB2312" w:cs="仿宋_GB2312" w:eastAsia="仿宋_GB2312"/>
                      <w:sz w:val="24"/>
                    </w:rPr>
                    <w:t>总线与</w:t>
                  </w:r>
                  <w:r>
                    <w:rPr>
                      <w:rFonts w:ascii="仿宋_GB2312" w:hAnsi="仿宋_GB2312" w:cs="仿宋_GB2312" w:eastAsia="仿宋_GB2312"/>
                      <w:sz w:val="24"/>
                    </w:rPr>
                    <w:t>FPGA进行2组RS485、6组RS232</w:t>
                  </w:r>
                  <w:r>
                    <w:rPr>
                      <w:rFonts w:ascii="仿宋_GB2312" w:hAnsi="仿宋_GB2312" w:cs="仿宋_GB2312" w:eastAsia="仿宋_GB2312"/>
                      <w:sz w:val="24"/>
                    </w:rPr>
                    <w:t>、</w:t>
                  </w:r>
                  <w:r>
                    <w:rPr>
                      <w:rFonts w:ascii="仿宋_GB2312" w:hAnsi="仿宋_GB2312" w:cs="仿宋_GB2312" w:eastAsia="仿宋_GB2312"/>
                      <w:sz w:val="24"/>
                    </w:rPr>
                    <w:t>8路DI、8路DO、1路继电器、1组步进电机</w:t>
                  </w:r>
                  <w:r>
                    <w:rPr>
                      <w:rFonts w:ascii="仿宋_GB2312" w:hAnsi="仿宋_GB2312" w:cs="仿宋_GB2312" w:eastAsia="仿宋_GB2312"/>
                      <w:sz w:val="24"/>
                    </w:rPr>
                    <w:t>等接口扩展</w:t>
                  </w:r>
                  <w:r>
                    <w:rPr>
                      <w:rFonts w:ascii="仿宋_GB2312" w:hAnsi="仿宋_GB2312" w:cs="仿宋_GB2312" w:eastAsia="仿宋_GB2312"/>
                      <w:sz w:val="24"/>
                    </w:rPr>
                    <w:t>；</w:t>
                  </w:r>
                  <w:r>
                    <w:rPr>
                      <w:rFonts w:ascii="仿宋_GB2312" w:hAnsi="仿宋_GB2312" w:cs="仿宋_GB2312" w:eastAsia="仿宋_GB2312"/>
                      <w:sz w:val="24"/>
                    </w:rPr>
                    <w:t>在进行数字逻辑电路实验时，第一、二平台处理器单元均可作为其信号源输入工具，配合数字逻辑进行基础功能实验。</w:t>
                  </w:r>
                  <w:r>
                    <w:rPr>
                      <w:rFonts w:ascii="仿宋_GB2312" w:hAnsi="仿宋_GB2312" w:cs="仿宋_GB2312" w:eastAsia="仿宋_GB2312"/>
                      <w:sz w:val="24"/>
                      <w:b/>
                    </w:rPr>
                    <w:t>（提供</w:t>
                  </w:r>
                  <w:r>
                    <w:rPr>
                      <w:rFonts w:ascii="仿宋_GB2312" w:hAnsi="仿宋_GB2312" w:cs="仿宋_GB2312" w:eastAsia="仿宋_GB2312"/>
                      <w:sz w:val="24"/>
                      <w:b/>
                    </w:rPr>
                    <w:t>系统逻辑原理证明并标注</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 板载8路DI接口数据采集</w:t>
                  </w:r>
                  <w:r>
                    <w:rPr>
                      <w:rFonts w:ascii="仿宋_GB2312" w:hAnsi="仿宋_GB2312" w:cs="仿宋_GB2312" w:eastAsia="仿宋_GB2312"/>
                      <w:sz w:val="24"/>
                    </w:rPr>
                    <w:t>；</w:t>
                  </w:r>
                  <w:r>
                    <w:rPr>
                      <w:rFonts w:ascii="仿宋_GB2312" w:hAnsi="仿宋_GB2312" w:cs="仿宋_GB2312" w:eastAsia="仿宋_GB2312"/>
                      <w:sz w:val="24"/>
                    </w:rPr>
                    <w:t>板载</w:t>
                  </w:r>
                  <w:r>
                    <w:rPr>
                      <w:rFonts w:ascii="仿宋_GB2312" w:hAnsi="仿宋_GB2312" w:cs="仿宋_GB2312" w:eastAsia="仿宋_GB2312"/>
                      <w:sz w:val="24"/>
                    </w:rPr>
                    <w:t>8路DO接口设备控制</w:t>
                  </w:r>
                  <w:r>
                    <w:rPr>
                      <w:rFonts w:ascii="仿宋_GB2312" w:hAnsi="仿宋_GB2312" w:cs="仿宋_GB2312" w:eastAsia="仿宋_GB2312"/>
                      <w:sz w:val="24"/>
                    </w:rPr>
                    <w:t>；</w:t>
                  </w:r>
                  <w:r>
                    <w:rPr>
                      <w:rFonts w:ascii="仿宋_GB2312" w:hAnsi="仿宋_GB2312" w:cs="仿宋_GB2312" w:eastAsia="仿宋_GB2312"/>
                      <w:sz w:val="24"/>
                    </w:rPr>
                    <w:t>板载支持至少</w:t>
                  </w:r>
                  <w:r>
                    <w:rPr>
                      <w:rFonts w:ascii="仿宋_GB2312" w:hAnsi="仿宋_GB2312" w:cs="仿宋_GB2312" w:eastAsia="仿宋_GB2312"/>
                      <w:sz w:val="24"/>
                    </w:rPr>
                    <w:t>6组RS232接口</w:t>
                  </w:r>
                  <w:r>
                    <w:rPr>
                      <w:rFonts w:ascii="仿宋_GB2312" w:hAnsi="仿宋_GB2312" w:cs="仿宋_GB2312" w:eastAsia="仿宋_GB2312"/>
                      <w:sz w:val="24"/>
                    </w:rPr>
                    <w:t>；</w:t>
                  </w:r>
                  <w:r>
                    <w:rPr>
                      <w:rFonts w:ascii="仿宋_GB2312" w:hAnsi="仿宋_GB2312" w:cs="仿宋_GB2312" w:eastAsia="仿宋_GB2312"/>
                      <w:sz w:val="24"/>
                    </w:rPr>
                    <w:t>板载支持至少</w:t>
                  </w:r>
                  <w:r>
                    <w:rPr>
                      <w:rFonts w:ascii="仿宋_GB2312" w:hAnsi="仿宋_GB2312" w:cs="仿宋_GB2312" w:eastAsia="仿宋_GB2312"/>
                      <w:sz w:val="24"/>
                    </w:rPr>
                    <w:t>2组RS485接口；</w:t>
                  </w:r>
                  <w:r>
                    <w:rPr>
                      <w:rFonts w:ascii="仿宋_GB2312" w:hAnsi="仿宋_GB2312" w:cs="仿宋_GB2312" w:eastAsia="仿宋_GB2312"/>
                      <w:sz w:val="24"/>
                    </w:rPr>
                    <w:t>第一平台处理器单元需通过以太网、</w:t>
                  </w:r>
                  <w:r>
                    <w:rPr>
                      <w:rFonts w:ascii="仿宋_GB2312" w:hAnsi="仿宋_GB2312" w:cs="仿宋_GB2312" w:eastAsia="仿宋_GB2312"/>
                      <w:sz w:val="24"/>
                    </w:rPr>
                    <w:t>RS485、CAN等通讯方式与第二平台处理器单元进行数据交互，可进行相关实验。</w:t>
                  </w:r>
                  <w:r>
                    <w:rPr>
                      <w:rFonts w:ascii="仿宋_GB2312" w:hAnsi="仿宋_GB2312" w:cs="仿宋_GB2312" w:eastAsia="仿宋_GB2312"/>
                      <w:sz w:val="24"/>
                      <w:b/>
                    </w:rPr>
                    <w:t>（提供</w:t>
                  </w:r>
                  <w:r>
                    <w:rPr>
                      <w:rFonts w:ascii="仿宋_GB2312" w:hAnsi="仿宋_GB2312" w:cs="仿宋_GB2312" w:eastAsia="仿宋_GB2312"/>
                      <w:sz w:val="24"/>
                      <w:b/>
                    </w:rPr>
                    <w:t>资料证明并标注</w:t>
                  </w:r>
                  <w:r>
                    <w:rPr>
                      <w:rFonts w:ascii="仿宋_GB2312" w:hAnsi="仿宋_GB2312" w:cs="仿宋_GB2312" w:eastAsia="仿宋_GB2312"/>
                      <w:sz w:val="24"/>
                      <w:b/>
                    </w:rPr>
                    <w:t>）</w:t>
                  </w:r>
                  <w:r>
                    <w:br/>
                  </w:r>
                  <w:r>
                    <w:rPr>
                      <w:rFonts w:ascii="仿宋_GB2312" w:hAnsi="仿宋_GB2312" w:cs="仿宋_GB2312" w:eastAsia="仿宋_GB2312"/>
                      <w:sz w:val="24"/>
                      <w:b/>
                    </w:rPr>
                    <w:t>7</w:t>
                  </w:r>
                  <w:r>
                    <w:rPr>
                      <w:rFonts w:ascii="仿宋_GB2312" w:hAnsi="仿宋_GB2312" w:cs="仿宋_GB2312" w:eastAsia="仿宋_GB2312"/>
                      <w:sz w:val="24"/>
                    </w:rPr>
                    <w:t xml:space="preserve">. </w:t>
                  </w:r>
                  <w:r>
                    <w:rPr>
                      <w:rFonts w:ascii="仿宋_GB2312" w:hAnsi="仿宋_GB2312" w:cs="仿宋_GB2312" w:eastAsia="仿宋_GB2312"/>
                      <w:sz w:val="24"/>
                    </w:rPr>
                    <w:t>配置外置</w:t>
                  </w:r>
                  <w:r>
                    <w:rPr>
                      <w:rFonts w:ascii="仿宋_GB2312" w:hAnsi="仿宋_GB2312" w:cs="仿宋_GB2312" w:eastAsia="仿宋_GB2312"/>
                      <w:sz w:val="24"/>
                    </w:rPr>
                    <w:t>“多合一”传感器设备：</w:t>
                  </w:r>
                  <w:r>
                    <w:rPr>
                      <w:rFonts w:ascii="仿宋_GB2312" w:hAnsi="仿宋_GB2312" w:cs="仿宋_GB2312" w:eastAsia="仿宋_GB2312"/>
                      <w:sz w:val="24"/>
                      <w:b/>
                    </w:rPr>
                    <w:t>（需提供操作演示视频）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1）该传感器包含且不少于9种数据采集功能，且传感器通过Cortex-M3处理器集中完成信号采集与信号输出。板载不少于10A的继电器信号控制输出。支持WIFI、蓝牙5.2无线信号接入。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）传感器支持类型不少于：</w:t>
                  </w:r>
                  <w:r>
                    <w:rPr>
                      <w:rFonts w:ascii="仿宋_GB2312" w:hAnsi="仿宋_GB2312" w:cs="仿宋_GB2312" w:eastAsia="仿宋_GB2312"/>
                      <w:sz w:val="24"/>
                    </w:rPr>
                    <w:t>ADC、I2C、PWM等类型</w:t>
                  </w:r>
                  <w:r>
                    <w:rPr>
                      <w:rFonts w:ascii="仿宋_GB2312" w:hAnsi="仿宋_GB2312" w:cs="仿宋_GB2312" w:eastAsia="仿宋_GB2312"/>
                      <w:sz w:val="24"/>
                    </w:rPr>
                    <w:t>；</w:t>
                  </w:r>
                  <w:r>
                    <w:rPr>
                      <w:rFonts w:ascii="仿宋_GB2312" w:hAnsi="仿宋_GB2312" w:cs="仿宋_GB2312" w:eastAsia="仿宋_GB2312"/>
                      <w:sz w:val="24"/>
                    </w:rPr>
                    <w:t>传感器包括且不少于以下</w:t>
                  </w:r>
                  <w:r>
                    <w:rPr>
                      <w:rFonts w:ascii="仿宋_GB2312" w:hAnsi="仿宋_GB2312" w:cs="仿宋_GB2312" w:eastAsia="仿宋_GB2312"/>
                      <w:sz w:val="24"/>
                    </w:rPr>
                    <w:t>9种传感器：人体红外传感器</w:t>
                  </w:r>
                  <w:r>
                    <w:rPr>
                      <w:rFonts w:ascii="仿宋_GB2312" w:hAnsi="仿宋_GB2312" w:cs="仿宋_GB2312" w:eastAsia="仿宋_GB2312"/>
                      <w:sz w:val="24"/>
                    </w:rPr>
                    <w:t>；</w:t>
                  </w:r>
                  <w:r>
                    <w:rPr>
                      <w:rFonts w:ascii="仿宋_GB2312" w:hAnsi="仿宋_GB2312" w:cs="仿宋_GB2312" w:eastAsia="仿宋_GB2312"/>
                      <w:sz w:val="24"/>
                    </w:rPr>
                    <w:t>PM2.5传感器</w:t>
                  </w:r>
                  <w:r>
                    <w:rPr>
                      <w:rFonts w:ascii="仿宋_GB2312" w:hAnsi="仿宋_GB2312" w:cs="仿宋_GB2312" w:eastAsia="仿宋_GB2312"/>
                      <w:sz w:val="24"/>
                    </w:rPr>
                    <w:t>；</w:t>
                  </w:r>
                  <w:r>
                    <w:rPr>
                      <w:rFonts w:ascii="仿宋_GB2312" w:hAnsi="仿宋_GB2312" w:cs="仿宋_GB2312" w:eastAsia="仿宋_GB2312"/>
                      <w:sz w:val="24"/>
                    </w:rPr>
                    <w:t>温度传感器</w:t>
                  </w:r>
                  <w:r>
                    <w:rPr>
                      <w:rFonts w:ascii="仿宋_GB2312" w:hAnsi="仿宋_GB2312" w:cs="仿宋_GB2312" w:eastAsia="仿宋_GB2312"/>
                      <w:sz w:val="24"/>
                    </w:rPr>
                    <w:t>；</w:t>
                  </w:r>
                  <w:r>
                    <w:rPr>
                      <w:rFonts w:ascii="仿宋_GB2312" w:hAnsi="仿宋_GB2312" w:cs="仿宋_GB2312" w:eastAsia="仿宋_GB2312"/>
                      <w:sz w:val="24"/>
                    </w:rPr>
                    <w:t>湿度传感器</w:t>
                  </w:r>
                  <w:r>
                    <w:rPr>
                      <w:rFonts w:ascii="仿宋_GB2312" w:hAnsi="仿宋_GB2312" w:cs="仿宋_GB2312" w:eastAsia="仿宋_GB2312"/>
                      <w:sz w:val="24"/>
                    </w:rPr>
                    <w:t>；</w:t>
                  </w:r>
                  <w:r>
                    <w:rPr>
                      <w:rFonts w:ascii="仿宋_GB2312" w:hAnsi="仿宋_GB2312" w:cs="仿宋_GB2312" w:eastAsia="仿宋_GB2312"/>
                      <w:sz w:val="24"/>
                    </w:rPr>
                    <w:t>大气压传感器</w:t>
                  </w:r>
                  <w:r>
                    <w:rPr>
                      <w:rFonts w:ascii="仿宋_GB2312" w:hAnsi="仿宋_GB2312" w:cs="仿宋_GB2312" w:eastAsia="仿宋_GB2312"/>
                      <w:sz w:val="24"/>
                    </w:rPr>
                    <w:t>；</w:t>
                  </w:r>
                  <w:r>
                    <w:rPr>
                      <w:rFonts w:ascii="仿宋_GB2312" w:hAnsi="仿宋_GB2312" w:cs="仿宋_GB2312" w:eastAsia="仿宋_GB2312"/>
                      <w:sz w:val="24"/>
                    </w:rPr>
                    <w:t>TVOC（苯系物、醇类、醛类等）传感器</w:t>
                  </w:r>
                  <w:r>
                    <w:rPr>
                      <w:rFonts w:ascii="仿宋_GB2312" w:hAnsi="仿宋_GB2312" w:cs="仿宋_GB2312" w:eastAsia="仿宋_GB2312"/>
                      <w:sz w:val="24"/>
                    </w:rPr>
                    <w:t>；</w:t>
                  </w:r>
                  <w:r>
                    <w:rPr>
                      <w:rFonts w:ascii="仿宋_GB2312" w:hAnsi="仿宋_GB2312" w:cs="仿宋_GB2312" w:eastAsia="仿宋_GB2312"/>
                      <w:sz w:val="24"/>
                    </w:rPr>
                    <w:t>二氧化碳传感器</w:t>
                  </w:r>
                  <w:r>
                    <w:rPr>
                      <w:rFonts w:ascii="仿宋_GB2312" w:hAnsi="仿宋_GB2312" w:cs="仿宋_GB2312" w:eastAsia="仿宋_GB2312"/>
                      <w:sz w:val="24"/>
                    </w:rPr>
                    <w:t>；</w:t>
                  </w:r>
                  <w:r>
                    <w:rPr>
                      <w:rFonts w:ascii="仿宋_GB2312" w:hAnsi="仿宋_GB2312" w:cs="仿宋_GB2312" w:eastAsia="仿宋_GB2312"/>
                      <w:sz w:val="24"/>
                    </w:rPr>
                    <w:t>光敏传感器</w:t>
                  </w:r>
                  <w:r>
                    <w:rPr>
                      <w:rFonts w:ascii="仿宋_GB2312" w:hAnsi="仿宋_GB2312" w:cs="仿宋_GB2312" w:eastAsia="仿宋_GB2312"/>
                      <w:sz w:val="24"/>
                    </w:rPr>
                    <w:t>；</w:t>
                  </w:r>
                  <w:r>
                    <w:rPr>
                      <w:rFonts w:ascii="仿宋_GB2312" w:hAnsi="仿宋_GB2312" w:cs="仿宋_GB2312" w:eastAsia="仿宋_GB2312"/>
                      <w:sz w:val="24"/>
                    </w:rPr>
                    <w:t>火焰传感器</w:t>
                  </w:r>
                  <w:r>
                    <w:rPr>
                      <w:rFonts w:ascii="仿宋_GB2312" w:hAnsi="仿宋_GB2312" w:cs="仿宋_GB2312" w:eastAsia="仿宋_GB2312"/>
                      <w:sz w:val="24"/>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项目经理（兼企业班主任）</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1、选派管理人员参与共建现场工程师项目的推进、学校办学政策对接、工作关系协调等；联合企业修订人才培养方案；做好学生的就业指导和就业推荐工作；</w:t>
                  </w:r>
                </w:p>
                <w:p>
                  <w:pPr>
                    <w:pStyle w:val="null3"/>
                    <w:jc w:val="both"/>
                  </w:pPr>
                  <w:r>
                    <w:rPr>
                      <w:rFonts w:ascii="仿宋_GB2312" w:hAnsi="仿宋_GB2312" w:cs="仿宋_GB2312" w:eastAsia="仿宋_GB2312"/>
                      <w:sz w:val="24"/>
                      <w:color w:val="000000"/>
                    </w:rPr>
                    <w:t>2、全面负责现场工程师班的日常运营和管理工作，及时了解校方的需求和工作指示，转化成内部的工作制度贯彻实施；</w:t>
                  </w:r>
                </w:p>
                <w:p>
                  <w:pPr>
                    <w:pStyle w:val="null3"/>
                    <w:jc w:val="both"/>
                  </w:pPr>
                  <w:r>
                    <w:rPr>
                      <w:rFonts w:ascii="仿宋_GB2312" w:hAnsi="仿宋_GB2312" w:cs="仿宋_GB2312" w:eastAsia="仿宋_GB2312"/>
                      <w:sz w:val="24"/>
                      <w:color w:val="000000"/>
                    </w:rPr>
                    <w:t>3、及时预判和解决突发事件，协调校企双方的各种资源，确保按计划运营；</w:t>
                  </w:r>
                </w:p>
                <w:p>
                  <w:pPr>
                    <w:pStyle w:val="null3"/>
                    <w:jc w:val="both"/>
                  </w:pPr>
                  <w:r>
                    <w:rPr>
                      <w:rFonts w:ascii="仿宋_GB2312" w:hAnsi="仿宋_GB2312" w:cs="仿宋_GB2312" w:eastAsia="仿宋_GB2312"/>
                      <w:sz w:val="24"/>
                      <w:color w:val="000000"/>
                    </w:rPr>
                    <w:t>4、负责学生职业素质教育，课程授课不少于16课时，组织学生素质拓展活动不少于3场，优化职业素养课程资源包1份；</w:t>
                  </w:r>
                </w:p>
                <w:p>
                  <w:pPr>
                    <w:pStyle w:val="null3"/>
                    <w:jc w:val="both"/>
                  </w:pPr>
                  <w:r>
                    <w:rPr>
                      <w:rFonts w:ascii="仿宋_GB2312" w:hAnsi="仿宋_GB2312" w:cs="仿宋_GB2312" w:eastAsia="仿宋_GB2312"/>
                      <w:sz w:val="24"/>
                      <w:color w:val="000000"/>
                    </w:rPr>
                    <w:t>5、建立企业化班级管理机制，优化企业化班级管理规范1份；</w:t>
                  </w:r>
                </w:p>
                <w:p>
                  <w:pPr>
                    <w:pStyle w:val="null3"/>
                    <w:jc w:val="both"/>
                  </w:pPr>
                  <w:r>
                    <w:rPr>
                      <w:rFonts w:ascii="仿宋_GB2312" w:hAnsi="仿宋_GB2312" w:cs="仿宋_GB2312" w:eastAsia="仿宋_GB2312"/>
                      <w:sz w:val="24"/>
                      <w:color w:val="000000"/>
                    </w:rPr>
                    <w:t>6、负责开拓和整合企业资源，深入挖掘商机，对接就业服务、社会培训、技术服务等工作；</w:t>
                  </w:r>
                </w:p>
                <w:p>
                  <w:pPr>
                    <w:pStyle w:val="null3"/>
                    <w:jc w:val="both"/>
                  </w:pPr>
                  <w:r>
                    <w:rPr>
                      <w:rFonts w:ascii="仿宋_GB2312" w:hAnsi="仿宋_GB2312" w:cs="仿宋_GB2312" w:eastAsia="仿宋_GB2312"/>
                      <w:sz w:val="24"/>
                      <w:color w:val="000000"/>
                    </w:rPr>
                    <w:t>7、做好上级领导交办的其它工作。</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执行招生考试工作</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1、共同参与现场工程师班级招生、考核，考察学生综合素养、逻辑分析能力、专业技术等方面的能力，优化形成新的《招生考试办法》1份；</w:t>
                  </w:r>
                </w:p>
                <w:p>
                  <w:pPr>
                    <w:pStyle w:val="null3"/>
                    <w:jc w:val="both"/>
                  </w:pPr>
                  <w:r>
                    <w:rPr>
                      <w:rFonts w:ascii="仿宋_GB2312" w:hAnsi="仿宋_GB2312" w:cs="仿宋_GB2312" w:eastAsia="仿宋_GB2312"/>
                      <w:sz w:val="24"/>
                      <w:color w:val="000000"/>
                    </w:rPr>
                    <w:t>2、根据java开发工程师、技术支持工程师岗位能力要求标准，开发培训课程与题库1份，开展培训1次，更新学徒班学生录取名单1份并公示。</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优化考核评价方式</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1、共同优化现场工程师班考核评价体系，形成考核评价体系1份；</w:t>
                  </w:r>
                </w:p>
                <w:p>
                  <w:pPr>
                    <w:pStyle w:val="null3"/>
                    <w:jc w:val="both"/>
                  </w:pPr>
                  <w:r>
                    <w:rPr>
                      <w:rFonts w:ascii="仿宋_GB2312" w:hAnsi="仿宋_GB2312" w:cs="仿宋_GB2312" w:eastAsia="仿宋_GB2312"/>
                      <w:sz w:val="24"/>
                      <w:color w:val="000000"/>
                    </w:rPr>
                    <w:t>2、共同优化COMET职业能力考核标准，形成COMET职业能力考核标准1份；</w:t>
                  </w:r>
                </w:p>
                <w:p>
                  <w:pPr>
                    <w:pStyle w:val="null3"/>
                    <w:jc w:val="both"/>
                  </w:pPr>
                  <w:r>
                    <w:rPr>
                      <w:rFonts w:ascii="仿宋_GB2312" w:hAnsi="仿宋_GB2312" w:cs="仿宋_GB2312" w:eastAsia="仿宋_GB2312"/>
                      <w:sz w:val="24"/>
                      <w:color w:val="000000"/>
                    </w:rPr>
                    <w:t>3、共同优化岗位能力标准，形成岗位能力标准1份；</w:t>
                  </w:r>
                </w:p>
                <w:p>
                  <w:pPr>
                    <w:pStyle w:val="null3"/>
                    <w:jc w:val="both"/>
                  </w:pPr>
                  <w:r>
                    <w:rPr>
                      <w:rFonts w:ascii="仿宋_GB2312" w:hAnsi="仿宋_GB2312" w:cs="仿宋_GB2312" w:eastAsia="仿宋_GB2312"/>
                      <w:sz w:val="24"/>
                      <w:color w:val="000000"/>
                    </w:rPr>
                    <w:t>4、建立COMET职业P3、P4岗位能力考核题库1套；</w:t>
                  </w:r>
                </w:p>
                <w:p>
                  <w:pPr>
                    <w:pStyle w:val="null3"/>
                    <w:jc w:val="both"/>
                  </w:pPr>
                  <w:r>
                    <w:rPr>
                      <w:rFonts w:ascii="仿宋_GB2312" w:hAnsi="仿宋_GB2312" w:cs="仿宋_GB2312" w:eastAsia="仿宋_GB2312"/>
                      <w:sz w:val="24"/>
                      <w:color w:val="000000"/>
                    </w:rPr>
                    <w:t>5、实施第2轮COMET职业能力考核，输出COMET职业能力考核学生名单1份；</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2024级现场工程师班统一定制班服一套</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8人）</w:t>
                  </w:r>
                  <w:r>
                    <w:rPr>
                      <w:rFonts w:ascii="仿宋_GB2312" w:hAnsi="仿宋_GB2312" w:cs="仿宋_GB2312" w:eastAsia="仿宋_GB2312"/>
                      <w:sz w:val="24"/>
                      <w:color w:val="000000"/>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企业工程师教学</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1、引进2名企业工程师参与专业核心课、实训课（集中授课）、毕业设计指导等授课任务，以实践环节为主；</w:t>
                  </w:r>
                </w:p>
                <w:p>
                  <w:pPr>
                    <w:pStyle w:val="null3"/>
                    <w:jc w:val="both"/>
                  </w:pPr>
                  <w:r>
                    <w:rPr>
                      <w:rFonts w:ascii="仿宋_GB2312" w:hAnsi="仿宋_GB2312" w:cs="仿宋_GB2312" w:eastAsia="仿宋_GB2312"/>
                      <w:sz w:val="24"/>
                      <w:color w:val="000000"/>
                    </w:rPr>
                    <w:t>2、双导师开展毕业设计指导、实习实践等环节，培养学生工程实践能力；</w:t>
                  </w:r>
                </w:p>
                <w:p>
                  <w:pPr>
                    <w:pStyle w:val="null3"/>
                    <w:jc w:val="both"/>
                  </w:pPr>
                  <w:r>
                    <w:rPr>
                      <w:rFonts w:ascii="仿宋_GB2312" w:hAnsi="仿宋_GB2312" w:cs="仿宋_GB2312" w:eastAsia="仿宋_GB2312"/>
                      <w:sz w:val="24"/>
                      <w:color w:val="000000"/>
                    </w:rPr>
                    <w:t>3、共同开展教研活动。通过在产业园区开展双师培训实践、共同开发教材、共同开发项目化教学资源等方式，提升混编师资队伍的教学能力；</w:t>
                  </w:r>
                </w:p>
                <w:p>
                  <w:pPr>
                    <w:pStyle w:val="null3"/>
                    <w:jc w:val="both"/>
                  </w:pPr>
                  <w:r>
                    <w:rPr>
                      <w:rFonts w:ascii="仿宋_GB2312" w:hAnsi="仿宋_GB2312" w:cs="仿宋_GB2312" w:eastAsia="仿宋_GB2312"/>
                      <w:sz w:val="24"/>
                      <w:color w:val="000000"/>
                    </w:rPr>
                    <w:t>4、共同参加教师教学能力竞赛。通过协同参赛方式，进行教学磨合，提升混编师资队伍能力；</w:t>
                  </w:r>
                </w:p>
                <w:p>
                  <w:pPr>
                    <w:pStyle w:val="null3"/>
                    <w:jc w:val="both"/>
                  </w:pPr>
                  <w:r>
                    <w:rPr>
                      <w:rFonts w:ascii="仿宋_GB2312" w:hAnsi="仿宋_GB2312" w:cs="仿宋_GB2312" w:eastAsia="仿宋_GB2312"/>
                      <w:sz w:val="24"/>
                      <w:color w:val="000000"/>
                    </w:rPr>
                    <w:t>5、指导学生参加与专业相关的省级或国家级赛事，力争省级获奖1项；</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协助院校申报</w:t>
                  </w:r>
                  <w:r>
                    <w:rPr>
                      <w:rFonts w:ascii="仿宋_GB2312" w:hAnsi="仿宋_GB2312" w:cs="仿宋_GB2312" w:eastAsia="仿宋_GB2312"/>
                      <w:sz w:val="24"/>
                      <w:color w:val="000000"/>
                    </w:rPr>
                    <w:t>省部级课题立项</w:t>
                  </w:r>
                  <w:r>
                    <w:rPr>
                      <w:rFonts w:ascii="仿宋_GB2312" w:hAnsi="仿宋_GB2312" w:cs="仿宋_GB2312" w:eastAsia="仿宋_GB2312"/>
                      <w:sz w:val="24"/>
                      <w:color w:val="000000"/>
                    </w:rPr>
                    <w:t>1项</w:t>
                  </w:r>
                  <w:r>
                    <w:rPr>
                      <w:rFonts w:ascii="仿宋_GB2312" w:hAnsi="仿宋_GB2312" w:cs="仿宋_GB2312" w:eastAsia="仿宋_GB2312"/>
                      <w:sz w:val="24"/>
                      <w:color w:val="000000"/>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学校导师岗位实践</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提供岗位实践的场所及场景，学校派遣教师到企业实践不少于</w:t>
                  </w:r>
                  <w:r>
                    <w:rPr>
                      <w:rFonts w:ascii="仿宋_GB2312" w:hAnsi="仿宋_GB2312" w:cs="仿宋_GB2312" w:eastAsia="仿宋_GB2312"/>
                      <w:sz w:val="24"/>
                      <w:color w:val="000000"/>
                    </w:rPr>
                    <w:t>1个月，</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提供不少于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人的学校导师岗位实践。</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搭建就业服务平台</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1、企业拓宽学生实习和就业渠道，完成企业实习就业资源池的构建（企业库），为合作专业学生提供实习就业安排服务；</w:t>
                  </w:r>
                </w:p>
                <w:p>
                  <w:pPr>
                    <w:pStyle w:val="null3"/>
                    <w:jc w:val="both"/>
                  </w:pPr>
                  <w:r>
                    <w:rPr>
                      <w:rFonts w:ascii="仿宋_GB2312" w:hAnsi="仿宋_GB2312" w:cs="仿宋_GB2312" w:eastAsia="仿宋_GB2312"/>
                      <w:sz w:val="24"/>
                      <w:color w:val="000000"/>
                    </w:rPr>
                    <w:t>2、每年提供就业岗位不低于当年毕业生人数的2倍，就业率不低于95%，就业岗位与专业相关度不低于</w:t>
                  </w:r>
                  <w:r>
                    <w:rPr>
                      <w:rFonts w:ascii="仿宋_GB2312" w:hAnsi="仿宋_GB2312" w:cs="仿宋_GB2312" w:eastAsia="仿宋_GB2312"/>
                      <w:sz w:val="24"/>
                      <w:color w:val="000000"/>
                    </w:rPr>
                    <w:t>9</w:t>
                  </w:r>
                  <w:r>
                    <w:rPr>
                      <w:rFonts w:ascii="仿宋_GB2312" w:hAnsi="仿宋_GB2312" w:cs="仿宋_GB2312" w:eastAsia="仿宋_GB2312"/>
                      <w:sz w:val="24"/>
                      <w:color w:val="000000"/>
                    </w:rPr>
                    <w:t>0%。</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知识产权服务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协助学校师生共同申请软件著作权</w:t>
                  </w:r>
                  <w:r>
                    <w:rPr>
                      <w:rFonts w:ascii="仿宋_GB2312" w:hAnsi="仿宋_GB2312" w:cs="仿宋_GB2312" w:eastAsia="仿宋_GB2312"/>
                      <w:sz w:val="24"/>
                    </w:rPr>
                    <w:t>1项；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协助学校师生共同申请</w:t>
                  </w:r>
                  <w:r>
                    <w:rPr>
                      <w:rFonts w:ascii="仿宋_GB2312" w:hAnsi="仿宋_GB2312" w:cs="仿宋_GB2312" w:eastAsia="仿宋_GB2312"/>
                      <w:sz w:val="24"/>
                    </w:rPr>
                    <w:t>实用新型</w:t>
                  </w:r>
                  <w:r>
                    <w:rPr>
                      <w:rFonts w:ascii="仿宋_GB2312" w:hAnsi="仿宋_GB2312" w:cs="仿宋_GB2312" w:eastAsia="仿宋_GB2312"/>
                      <w:sz w:val="24"/>
                    </w:rPr>
                    <w:t>专利</w:t>
                  </w:r>
                  <w:r>
                    <w:rPr>
                      <w:rFonts w:ascii="仿宋_GB2312" w:hAnsi="仿宋_GB2312" w:cs="仿宋_GB2312" w:eastAsia="仿宋_GB2312"/>
                      <w:sz w:val="24"/>
                    </w:rPr>
                    <w:t>1项。</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面向社会开展培训服务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1、开发大数据、JAVA方向的社会培训资源包2个；</w:t>
                  </w:r>
                </w:p>
                <w:p>
                  <w:pPr>
                    <w:pStyle w:val="null3"/>
                    <w:jc w:val="both"/>
                  </w:pPr>
                  <w:r>
                    <w:rPr>
                      <w:rFonts w:ascii="仿宋_GB2312" w:hAnsi="仿宋_GB2312" w:cs="仿宋_GB2312" w:eastAsia="仿宋_GB2312"/>
                      <w:sz w:val="24"/>
                    </w:rPr>
                    <w:t>2、采用线上+线下相结合的方式开展行业技术前沿讲座3场，每场不少于30人。</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现场工程师工程训练服务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基于联合培养现场工程师的特点和要求，校企需开展现场工程师工程训练服务，联合开发工程训练软件，以训练学生的开发应用能力，工程训练软件开发的项目需求如下：</w:t>
                  </w:r>
                </w:p>
                <w:p>
                  <w:pPr>
                    <w:pStyle w:val="null3"/>
                    <w:jc w:val="both"/>
                  </w:pPr>
                  <w:r>
                    <w:rPr>
                      <w:rFonts w:ascii="仿宋_GB2312" w:hAnsi="仿宋_GB2312" w:cs="仿宋_GB2312" w:eastAsia="仿宋_GB2312"/>
                      <w:sz w:val="24"/>
                      <w:color w:val="000000"/>
                    </w:rPr>
                    <w:t>一、项目背景</w:t>
                  </w:r>
                </w:p>
                <w:p>
                  <w:pPr>
                    <w:pStyle w:val="null3"/>
                    <w:jc w:val="both"/>
                  </w:pPr>
                  <w:r>
                    <w:rPr>
                      <w:rFonts w:ascii="仿宋_GB2312" w:hAnsi="仿宋_GB2312" w:cs="仿宋_GB2312" w:eastAsia="仿宋_GB2312"/>
                      <w:sz w:val="24"/>
                      <w:color w:val="000000"/>
                    </w:rPr>
                    <w:t>随着食品安全问题的日益突出，食品溯源系统的重要性愈发凸显。为了提升食品供应链的透明度和可信度，本项目旨在开发一套基于区块链技术的食品溯源系统，利用区块链的不可篡改、去中心化等特性，实现食品从生产到销售的全流程溯源，确保食品安全与质量的可追溯性。</w:t>
                  </w:r>
                </w:p>
                <w:p>
                  <w:pPr>
                    <w:pStyle w:val="null3"/>
                    <w:jc w:val="both"/>
                  </w:pPr>
                  <w:r>
                    <w:rPr>
                      <w:rFonts w:ascii="仿宋_GB2312" w:hAnsi="仿宋_GB2312" w:cs="仿宋_GB2312" w:eastAsia="仿宋_GB2312"/>
                      <w:sz w:val="24"/>
                      <w:color w:val="000000"/>
                    </w:rPr>
                    <w:t>二、系统功能需求</w:t>
                  </w:r>
                </w:p>
                <w:p>
                  <w:pPr>
                    <w:pStyle w:val="null3"/>
                    <w:jc w:val="both"/>
                  </w:pPr>
                  <w:r>
                    <w:rPr>
                      <w:rFonts w:ascii="仿宋_GB2312" w:hAnsi="仿宋_GB2312" w:cs="仿宋_GB2312" w:eastAsia="仿宋_GB2312"/>
                      <w:sz w:val="24"/>
                      <w:color w:val="000000"/>
                    </w:rPr>
                    <w:t>（一）用户管理</w:t>
                  </w:r>
                </w:p>
                <w:p>
                  <w:pPr>
                    <w:pStyle w:val="null3"/>
                    <w:jc w:val="both"/>
                  </w:pPr>
                  <w:r>
                    <w:rPr>
                      <w:rFonts w:ascii="仿宋_GB2312" w:hAnsi="仿宋_GB2312" w:cs="仿宋_GB2312" w:eastAsia="仿宋_GB2312"/>
                      <w:sz w:val="24"/>
                      <w:color w:val="000000"/>
                    </w:rPr>
                    <w:t>1.用户登录</w:t>
                  </w:r>
                </w:p>
                <w:p>
                  <w:pPr>
                    <w:pStyle w:val="null3"/>
                    <w:jc w:val="both"/>
                  </w:pPr>
                  <w:r>
                    <w:rPr>
                      <w:rFonts w:ascii="仿宋_GB2312" w:hAnsi="仿宋_GB2312" w:cs="仿宋_GB2312" w:eastAsia="仿宋_GB2312"/>
                      <w:sz w:val="24"/>
                      <w:color w:val="000000"/>
                    </w:rPr>
                    <w:t>·提供用户登录功能，用于后续请求的身份验证。</w:t>
                  </w:r>
                </w:p>
                <w:p>
                  <w:pPr>
                    <w:pStyle w:val="null3"/>
                    <w:jc w:val="both"/>
                  </w:pPr>
                  <w:r>
                    <w:rPr>
                      <w:rFonts w:ascii="仿宋_GB2312" w:hAnsi="仿宋_GB2312" w:cs="仿宋_GB2312" w:eastAsia="仿宋_GB2312"/>
                      <w:sz w:val="24"/>
                      <w:color w:val="000000"/>
                    </w:rPr>
                    <w:t>2.用户信息管理</w:t>
                  </w:r>
                </w:p>
                <w:p>
                  <w:pPr>
                    <w:pStyle w:val="null3"/>
                    <w:jc w:val="both"/>
                  </w:pPr>
                  <w:r>
                    <w:rPr>
                      <w:rFonts w:ascii="仿宋_GB2312" w:hAnsi="仿宋_GB2312" w:cs="仿宋_GB2312" w:eastAsia="仿宋_GB2312"/>
                      <w:sz w:val="24"/>
                      <w:color w:val="000000"/>
                    </w:rPr>
                    <w:t>·用户登录后可查看个人信息，包括用户名、角色（生产商、分销商、零售商、管理员）、地址等。</w:t>
                  </w:r>
                </w:p>
                <w:p>
                  <w:pPr>
                    <w:pStyle w:val="null3"/>
                    <w:jc w:val="both"/>
                  </w:pPr>
                  <w:r>
                    <w:rPr>
                      <w:rFonts w:ascii="仿宋_GB2312" w:hAnsi="仿宋_GB2312" w:cs="仿宋_GB2312" w:eastAsia="仿宋_GB2312"/>
                      <w:sz w:val="24"/>
                      <w:color w:val="000000"/>
                    </w:rPr>
                    <w:t>3.用户角色与权限</w:t>
                  </w:r>
                </w:p>
                <w:p>
                  <w:pPr>
                    <w:pStyle w:val="null3"/>
                    <w:jc w:val="both"/>
                  </w:pPr>
                  <w:r>
                    <w:rPr>
                      <w:rFonts w:ascii="仿宋_GB2312" w:hAnsi="仿宋_GB2312" w:cs="仿宋_GB2312" w:eastAsia="仿宋_GB2312"/>
                      <w:sz w:val="24"/>
                      <w:color w:val="000000"/>
                    </w:rPr>
                    <w:t>·根据用户角色分配不同的权限，例如生产商可录入食品信息，分销商可录入分销信息，零售商可录入出售信息，管理员可进行用户管理和系统维护。</w:t>
                  </w:r>
                </w:p>
                <w:p>
                  <w:pPr>
                    <w:pStyle w:val="null3"/>
                    <w:jc w:val="both"/>
                  </w:pPr>
                  <w:r>
                    <w:rPr>
                      <w:rFonts w:ascii="仿宋_GB2312" w:hAnsi="仿宋_GB2312" w:cs="仿宋_GB2312" w:eastAsia="仿宋_GB2312"/>
                      <w:sz w:val="24"/>
                      <w:color w:val="000000"/>
                    </w:rPr>
                    <w:t>（二）食品溯源信息管理</w:t>
                  </w:r>
                </w:p>
                <w:p>
                  <w:pPr>
                    <w:pStyle w:val="null3"/>
                    <w:jc w:val="both"/>
                  </w:pPr>
                  <w:r>
                    <w:rPr>
                      <w:rFonts w:ascii="仿宋_GB2312" w:hAnsi="仿宋_GB2312" w:cs="仿宋_GB2312" w:eastAsia="仿宋_GB2312"/>
                      <w:sz w:val="24"/>
                      <w:color w:val="000000"/>
                    </w:rPr>
                    <w:t>1.食品信息录入</w:t>
                  </w:r>
                </w:p>
                <w:p>
                  <w:pPr>
                    <w:pStyle w:val="null3"/>
                    <w:jc w:val="both"/>
                  </w:pPr>
                  <w:r>
                    <w:rPr>
                      <w:rFonts w:ascii="仿宋_GB2312" w:hAnsi="仿宋_GB2312" w:cs="仿宋_GB2312" w:eastAsia="仿宋_GB2312"/>
                      <w:sz w:val="24"/>
                      <w:color w:val="000000"/>
                    </w:rPr>
                    <w:t>·提供食品信息录入功能，包括食品编号、食品名称、质量等基本信息。</w:t>
                  </w:r>
                </w:p>
                <w:p>
                  <w:pPr>
                    <w:pStyle w:val="null3"/>
                    <w:jc w:val="both"/>
                  </w:pPr>
                  <w:r>
                    <w:rPr>
                      <w:rFonts w:ascii="仿宋_GB2312" w:hAnsi="仿宋_GB2312" w:cs="仿宋_GB2312" w:eastAsia="仿宋_GB2312"/>
                      <w:sz w:val="24"/>
                      <w:color w:val="000000"/>
                    </w:rPr>
                    <w:t>2.食品分销信息录入</w:t>
                  </w:r>
                </w:p>
                <w:p>
                  <w:pPr>
                    <w:pStyle w:val="null3"/>
                    <w:jc w:val="both"/>
                  </w:pPr>
                  <w:r>
                    <w:rPr>
                      <w:rFonts w:ascii="仿宋_GB2312" w:hAnsi="仿宋_GB2312" w:cs="仿宋_GB2312" w:eastAsia="仿宋_GB2312"/>
                      <w:sz w:val="24"/>
                      <w:color w:val="000000"/>
                    </w:rPr>
                    <w:t>·分销商可在食品分销过程中添加溯源信息，包括食品编号、质量等。系统需校验分销商的权限，确保只有合法的分销商可录入相关信息。</w:t>
                  </w:r>
                </w:p>
                <w:p>
                  <w:pPr>
                    <w:pStyle w:val="null3"/>
                    <w:jc w:val="both"/>
                  </w:pPr>
                  <w:r>
                    <w:rPr>
                      <w:rFonts w:ascii="仿宋_GB2312" w:hAnsi="仿宋_GB2312" w:cs="仿宋_GB2312" w:eastAsia="仿宋_GB2312"/>
                      <w:sz w:val="24"/>
                      <w:color w:val="000000"/>
                    </w:rPr>
                    <w:t>3.食品出售信息录入</w:t>
                  </w:r>
                </w:p>
                <w:p>
                  <w:pPr>
                    <w:pStyle w:val="null3"/>
                    <w:jc w:val="both"/>
                  </w:pPr>
                  <w:r>
                    <w:rPr>
                      <w:rFonts w:ascii="仿宋_GB2312" w:hAnsi="仿宋_GB2312" w:cs="仿宋_GB2312" w:eastAsia="仿宋_GB2312"/>
                      <w:sz w:val="24"/>
                      <w:color w:val="000000"/>
                    </w:rPr>
                    <w:t>·零售商可在食品出售过程中添加溯源信息，包括食品编号、质量等。系统需校验零售商的权限，确保只有合法的零售商可录入相关信息。</w:t>
                  </w:r>
                </w:p>
                <w:p>
                  <w:pPr>
                    <w:pStyle w:val="null3"/>
                    <w:jc w:val="both"/>
                  </w:pPr>
                  <w:r>
                    <w:rPr>
                      <w:rFonts w:ascii="仿宋_GB2312" w:hAnsi="仿宋_GB2312" w:cs="仿宋_GB2312" w:eastAsia="仿宋_GB2312"/>
                      <w:sz w:val="24"/>
                      <w:color w:val="000000"/>
                    </w:rPr>
                    <w:t>4.溯源信息查询</w:t>
                  </w:r>
                </w:p>
                <w:p>
                  <w:pPr>
                    <w:pStyle w:val="null3"/>
                    <w:jc w:val="both"/>
                  </w:pPr>
                  <w:r>
                    <w:rPr>
                      <w:rFonts w:ascii="仿宋_GB2312" w:hAnsi="仿宋_GB2312" w:cs="仿宋_GB2312" w:eastAsia="仿宋_GB2312"/>
                      <w:sz w:val="24"/>
                      <w:color w:val="000000"/>
                    </w:rPr>
                    <w:t>·提供溯源信息查询功能，用户可通过食品编号查询食品的全流程溯源信息，包括生产、分销、出售等环节的详细记录。查询结果应以清晰的表格形式展示，包含记录时间、记录人员、商品质量等信息。</w:t>
                  </w:r>
                </w:p>
                <w:p>
                  <w:pPr>
                    <w:pStyle w:val="null3"/>
                    <w:jc w:val="both"/>
                  </w:pPr>
                  <w:r>
                    <w:rPr>
                      <w:rFonts w:ascii="仿宋_GB2312" w:hAnsi="仿宋_GB2312" w:cs="仿宋_GB2312" w:eastAsia="仿宋_GB2312"/>
                      <w:sz w:val="24"/>
                      <w:color w:val="000000"/>
                    </w:rPr>
                    <w:t>5.食品列表展示</w:t>
                  </w:r>
                </w:p>
                <w:p>
                  <w:pPr>
                    <w:pStyle w:val="null3"/>
                    <w:jc w:val="both"/>
                  </w:pPr>
                  <w:r>
                    <w:rPr>
                      <w:rFonts w:ascii="仿宋_GB2312" w:hAnsi="仿宋_GB2312" w:cs="仿宋_GB2312" w:eastAsia="仿宋_GB2312"/>
                      <w:sz w:val="24"/>
                      <w:color w:val="000000"/>
                    </w:rPr>
                    <w:t>·系统应提供食品列表展示功能，列出所有食品的基本信息，如食品编号、食品名称、质量、创建时间、创建人员、最后记录人员等。用户可通过点击食品编号进入溯源信息详情页面。</w:t>
                  </w:r>
                </w:p>
                <w:p>
                  <w:pPr>
                    <w:pStyle w:val="null3"/>
                    <w:jc w:val="both"/>
                  </w:pPr>
                  <w:r>
                    <w:rPr>
                      <w:rFonts w:ascii="仿宋_GB2312" w:hAnsi="仿宋_GB2312" w:cs="仿宋_GB2312" w:eastAsia="仿宋_GB2312"/>
                      <w:sz w:val="24"/>
                      <w:color w:val="000000"/>
                    </w:rPr>
                    <w:t>（三）区块链交互</w:t>
                  </w:r>
                </w:p>
                <w:p>
                  <w:pPr>
                    <w:pStyle w:val="null3"/>
                    <w:jc w:val="both"/>
                  </w:pPr>
                  <w:r>
                    <w:rPr>
                      <w:rFonts w:ascii="仿宋_GB2312" w:hAnsi="仿宋_GB2312" w:cs="仿宋_GB2312" w:eastAsia="仿宋_GB2312"/>
                      <w:sz w:val="24"/>
                      <w:color w:val="000000"/>
                    </w:rPr>
                    <w:t>1.智能合约部署与管理</w:t>
                  </w:r>
                </w:p>
                <w:p>
                  <w:pPr>
                    <w:pStyle w:val="null3"/>
                    <w:jc w:val="both"/>
                  </w:pPr>
                  <w:r>
                    <w:rPr>
                      <w:rFonts w:ascii="仿宋_GB2312" w:hAnsi="仿宋_GB2312" w:cs="仿宋_GB2312" w:eastAsia="仿宋_GB2312"/>
                      <w:sz w:val="24"/>
                      <w:color w:val="000000"/>
                    </w:rPr>
                    <w:t>·系统需集成智能合约，通过 ABI 文件与智能合约进行交互。提供智能合约的部署、调用、查询等功能，确保食品溯源信息的上链和查询操作符合区块链的规范。</w:t>
                  </w:r>
                </w:p>
                <w:p>
                  <w:pPr>
                    <w:pStyle w:val="null3"/>
                    <w:jc w:val="both"/>
                  </w:pPr>
                  <w:r>
                    <w:rPr>
                      <w:rFonts w:ascii="仿宋_GB2312" w:hAnsi="仿宋_GB2312" w:cs="仿宋_GB2312" w:eastAsia="仿宋_GB2312"/>
                      <w:sz w:val="24"/>
                      <w:color w:val="000000"/>
                    </w:rPr>
                    <w:t>2.区块链数据同步</w:t>
                  </w:r>
                </w:p>
                <w:p>
                  <w:pPr>
                    <w:pStyle w:val="null3"/>
                    <w:jc w:val="both"/>
                  </w:pPr>
                  <w:r>
                    <w:rPr>
                      <w:rFonts w:ascii="仿宋_GB2312" w:hAnsi="仿宋_GB2312" w:cs="仿宋_GB2312" w:eastAsia="仿宋_GB2312"/>
                      <w:sz w:val="24"/>
                      <w:color w:val="000000"/>
                    </w:rPr>
                    <w:t>·系统应支持与区块链网络的实时数据同步，确保食品溯源信息的及时性和准确性。</w:t>
                  </w:r>
                </w:p>
                <w:p>
                  <w:pPr>
                    <w:pStyle w:val="null3"/>
                    <w:jc w:val="both"/>
                  </w:pPr>
                  <w:r>
                    <w:rPr>
                      <w:rFonts w:ascii="仿宋_GB2312" w:hAnsi="仿宋_GB2312" w:cs="仿宋_GB2312" w:eastAsia="仿宋_GB2312"/>
                      <w:sz w:val="24"/>
                      <w:color w:val="000000"/>
                    </w:rPr>
                    <w:t>（四）前端界面</w:t>
                  </w:r>
                </w:p>
                <w:p>
                  <w:pPr>
                    <w:pStyle w:val="null3"/>
                    <w:jc w:val="both"/>
                  </w:pPr>
                  <w:r>
                    <w:rPr>
                      <w:rFonts w:ascii="仿宋_GB2312" w:hAnsi="仿宋_GB2312" w:cs="仿宋_GB2312" w:eastAsia="仿宋_GB2312"/>
                      <w:sz w:val="24"/>
                      <w:color w:val="000000"/>
                    </w:rPr>
                    <w:t>1.导航栏与侧边栏</w:t>
                  </w:r>
                </w:p>
                <w:p>
                  <w:pPr>
                    <w:pStyle w:val="null3"/>
                    <w:jc w:val="both"/>
                  </w:pPr>
                  <w:r>
                    <w:rPr>
                      <w:rFonts w:ascii="仿宋_GB2312" w:hAnsi="仿宋_GB2312" w:cs="仿宋_GB2312" w:eastAsia="仿宋_GB2312"/>
                      <w:sz w:val="24"/>
                      <w:color w:val="000000"/>
                    </w:rPr>
                    <w:t>·提供主导航栏和侧边栏，展示系统的功能模块和用户信息。导航栏应包含用户登录状态显示、退出登录功能；侧边栏应提供食品录入、溯源信息查询、个人信息等菜单项。</w:t>
                  </w:r>
                </w:p>
                <w:p>
                  <w:pPr>
                    <w:pStyle w:val="null3"/>
                    <w:jc w:val="both"/>
                  </w:pPr>
                  <w:r>
                    <w:rPr>
                      <w:rFonts w:ascii="仿宋_GB2312" w:hAnsi="仿宋_GB2312" w:cs="仿宋_GB2312" w:eastAsia="仿宋_GB2312"/>
                      <w:sz w:val="24"/>
                      <w:color w:val="000000"/>
                    </w:rPr>
                    <w:t>2.界面友好性</w:t>
                  </w:r>
                </w:p>
                <w:p>
                  <w:pPr>
                    <w:pStyle w:val="null3"/>
                    <w:jc w:val="both"/>
                  </w:pPr>
                  <w:r>
                    <w:rPr>
                      <w:rFonts w:ascii="仿宋_GB2312" w:hAnsi="仿宋_GB2312" w:cs="仿宋_GB2312" w:eastAsia="仿宋_GB2312"/>
                      <w:sz w:val="24"/>
                      <w:color w:val="000000"/>
                    </w:rPr>
                    <w:t>·系统界面应简洁美观，操作便捷，符合用户的使用习惯。提供清晰的表单输入提示和操作反馈信息，提升用户体验。</w:t>
                  </w:r>
                </w:p>
                <w:p>
                  <w:pPr>
                    <w:pStyle w:val="null3"/>
                    <w:jc w:val="both"/>
                  </w:pPr>
                  <w:r>
                    <w:rPr>
                      <w:rFonts w:ascii="仿宋_GB2312" w:hAnsi="仿宋_GB2312" w:cs="仿宋_GB2312" w:eastAsia="仿宋_GB2312"/>
                      <w:sz w:val="24"/>
                      <w:color w:val="000000"/>
                    </w:rPr>
                    <w:t>三、技术要求</w:t>
                  </w:r>
                </w:p>
                <w:p>
                  <w:pPr>
                    <w:pStyle w:val="null3"/>
                    <w:jc w:val="both"/>
                  </w:pPr>
                  <w:r>
                    <w:rPr>
                      <w:rFonts w:ascii="仿宋_GB2312" w:hAnsi="仿宋_GB2312" w:cs="仿宋_GB2312" w:eastAsia="仿宋_GB2312"/>
                      <w:sz w:val="24"/>
                      <w:color w:val="000000"/>
                    </w:rPr>
                    <w:t>1.后端开发</w:t>
                  </w:r>
                </w:p>
                <w:p>
                  <w:pPr>
                    <w:pStyle w:val="null3"/>
                    <w:jc w:val="both"/>
                  </w:pPr>
                  <w:r>
                    <w:rPr>
                      <w:rFonts w:ascii="仿宋_GB2312" w:hAnsi="仿宋_GB2312" w:cs="仿宋_GB2312" w:eastAsia="仿宋_GB2312"/>
                      <w:sz w:val="24"/>
                      <w:color w:val="000000"/>
                    </w:rPr>
                    <w:t>·使用 Java 语言进行后端开发，基于 Spring Boot 框架构建。数据库采用 MongoDB，支持数据的灵活存储和查询。集成 WeBASE-APP-SDK，实现与区块链平台的交互。</w:t>
                  </w:r>
                </w:p>
                <w:p>
                  <w:pPr>
                    <w:pStyle w:val="null3"/>
                    <w:jc w:val="both"/>
                  </w:pPr>
                  <w:r>
                    <w:rPr>
                      <w:rFonts w:ascii="仿宋_GB2312" w:hAnsi="仿宋_GB2312" w:cs="仿宋_GB2312" w:eastAsia="仿宋_GB2312"/>
                      <w:sz w:val="24"/>
                      <w:color w:val="000000"/>
                    </w:rPr>
                    <w:t>2.前端开发</w:t>
                  </w:r>
                </w:p>
                <w:p>
                  <w:pPr>
                    <w:pStyle w:val="null3"/>
                    <w:jc w:val="both"/>
                  </w:pPr>
                  <w:r>
                    <w:rPr>
                      <w:rFonts w:ascii="仿宋_GB2312" w:hAnsi="仿宋_GB2312" w:cs="仿宋_GB2312" w:eastAsia="仿宋_GB2312"/>
                      <w:sz w:val="24"/>
                      <w:color w:val="000000"/>
                    </w:rPr>
                    <w:t>·使用 Vue.js 框架进行前端开发，构建单页面应用。集成 Element UI 组件库，提升界面的美观性和易用性。使用 Axios 进行前端与后端的数据交互。</w:t>
                  </w:r>
                </w:p>
                <w:p>
                  <w:pPr>
                    <w:pStyle w:val="null3"/>
                    <w:jc w:val="both"/>
                  </w:pPr>
                  <w:r>
                    <w:rPr>
                      <w:rFonts w:ascii="仿宋_GB2312" w:hAnsi="仿宋_GB2312" w:cs="仿宋_GB2312" w:eastAsia="仿宋_GB2312"/>
                      <w:sz w:val="24"/>
                      <w:color w:val="000000"/>
                    </w:rPr>
                    <w:t>3.区块链技术</w:t>
                  </w:r>
                </w:p>
                <w:p>
                  <w:pPr>
                    <w:pStyle w:val="null3"/>
                    <w:jc w:val="both"/>
                  </w:pPr>
                  <w:r>
                    <w:rPr>
                      <w:rFonts w:ascii="仿宋_GB2312" w:hAnsi="仿宋_GB2312" w:cs="仿宋_GB2312" w:eastAsia="仿宋_GB2312"/>
                      <w:sz w:val="24"/>
                      <w:color w:val="000000"/>
                    </w:rPr>
                    <w:t>·系统需基于区块链技术实现食品溯源信息的上链和查询。支持智能合约的开发和部署，通过 ABI 文件与智能合约进行交互。提供区块链数据同步功能，确保数据的实时性和一致性。</w:t>
                  </w:r>
                </w:p>
                <w:p>
                  <w:pPr>
                    <w:pStyle w:val="null3"/>
                    <w:jc w:val="both"/>
                  </w:pPr>
                  <w:r>
                    <w:rPr>
                      <w:rFonts w:ascii="仿宋_GB2312" w:hAnsi="仿宋_GB2312" w:cs="仿宋_GB2312" w:eastAsia="仿宋_GB2312"/>
                      <w:sz w:val="24"/>
                      <w:color w:val="000000"/>
                    </w:rPr>
                    <w:t>四、专业技能项目化学习平台：</w:t>
                  </w:r>
                </w:p>
                <w:p>
                  <w:pPr>
                    <w:pStyle w:val="null3"/>
                    <w:jc w:val="both"/>
                  </w:pPr>
                  <w:r>
                    <w:rPr>
                      <w:rFonts w:ascii="仿宋_GB2312" w:hAnsi="仿宋_GB2312" w:cs="仿宋_GB2312" w:eastAsia="仿宋_GB2312"/>
                      <w:sz w:val="24"/>
                    </w:rPr>
                    <w:t>1.平台</w:t>
                  </w:r>
                  <w:r>
                    <w:rPr>
                      <w:rFonts w:ascii="仿宋_GB2312" w:hAnsi="仿宋_GB2312" w:cs="仿宋_GB2312" w:eastAsia="仿宋_GB2312"/>
                      <w:sz w:val="24"/>
                    </w:rPr>
                    <w:t>包含实验管理、大数据教学资源、大数据虚仿微实验</w:t>
                  </w:r>
                  <w:r>
                    <w:rPr>
                      <w:rFonts w:ascii="仿宋_GB2312" w:hAnsi="仿宋_GB2312" w:cs="仿宋_GB2312" w:eastAsia="仿宋_GB2312"/>
                      <w:sz w:val="24"/>
                    </w:rPr>
                    <w:t>、人工智能教学资源、人工智能</w:t>
                  </w:r>
                  <w:r>
                    <w:rPr>
                      <w:rFonts w:ascii="仿宋_GB2312" w:hAnsi="仿宋_GB2312" w:cs="仿宋_GB2312" w:eastAsia="仿宋_GB2312"/>
                      <w:sz w:val="24"/>
                    </w:rPr>
                    <w:t>虚拟仿真</w:t>
                  </w:r>
                  <w:r>
                    <w:rPr>
                      <w:rFonts w:ascii="仿宋_GB2312" w:hAnsi="仿宋_GB2312" w:cs="仿宋_GB2312" w:eastAsia="仿宋_GB2312"/>
                      <w:sz w:val="24"/>
                    </w:rPr>
                    <w:t>微实验。</w:t>
                  </w:r>
                  <w:r>
                    <w:rPr>
                      <w:rFonts w:ascii="仿宋_GB2312" w:hAnsi="仿宋_GB2312" w:cs="仿宋_GB2312" w:eastAsia="仿宋_GB2312"/>
                      <w:sz w:val="24"/>
                    </w:rPr>
                    <w:t>采用云部署模式，</w:t>
                  </w:r>
                  <w:r>
                    <w:rPr>
                      <w:rFonts w:ascii="仿宋_GB2312" w:hAnsi="仿宋_GB2312" w:cs="仿宋_GB2312" w:eastAsia="仿宋_GB2312"/>
                      <w:sz w:val="24"/>
                    </w:rPr>
                    <w:t>支持不低于</w:t>
                  </w:r>
                  <w:r>
                    <w:rPr>
                      <w:rFonts w:ascii="仿宋_GB2312" w:hAnsi="仿宋_GB2312" w:cs="仿宋_GB2312" w:eastAsia="仿宋_GB2312"/>
                      <w:sz w:val="24"/>
                    </w:rPr>
                    <w:t>100人在线使用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实验管理模块包含实验资源、在线实验报告模板、实验任务小模块。实验资源部分支持查看系统更新的实验模型资源信息；支持报告模板的增删改查；支持实验任务增删改查、下发以及学生实验任务学习完成情况查看，支持查询实验结果评分和测评报告。</w:t>
                  </w:r>
                </w:p>
                <w:p>
                  <w:pPr>
                    <w:pStyle w:val="null3"/>
                    <w:jc w:val="both"/>
                  </w:pPr>
                  <w:r>
                    <w:rPr>
                      <w:rFonts w:ascii="仿宋_GB2312" w:hAnsi="仿宋_GB2312" w:cs="仿宋_GB2312" w:eastAsia="仿宋_GB2312"/>
                      <w:sz w:val="24"/>
                    </w:rPr>
                    <w:t>3.虚拟仿真</w:t>
                  </w:r>
                  <w:r>
                    <w:rPr>
                      <w:rFonts w:ascii="仿宋_GB2312" w:hAnsi="仿宋_GB2312" w:cs="仿宋_GB2312" w:eastAsia="仿宋_GB2312"/>
                      <w:sz w:val="24"/>
                    </w:rPr>
                    <w:t>微实验要求如下：</w:t>
                  </w:r>
                </w:p>
                <w:p>
                  <w:pPr>
                    <w:pStyle w:val="null3"/>
                    <w:jc w:val="both"/>
                  </w:pPr>
                  <w:r>
                    <w:rPr>
                      <w:rFonts w:ascii="仿宋_GB2312" w:hAnsi="仿宋_GB2312" w:cs="仿宋_GB2312" w:eastAsia="仿宋_GB2312"/>
                      <w:sz w:val="24"/>
                    </w:rPr>
                    <w:t xml:space="preserve">① </w:t>
                  </w:r>
                  <w:r>
                    <w:rPr>
                      <w:rFonts w:ascii="仿宋_GB2312" w:hAnsi="仿宋_GB2312" w:cs="仿宋_GB2312" w:eastAsia="仿宋_GB2312"/>
                      <w:sz w:val="24"/>
                    </w:rPr>
                    <w:t>满足基于智慧交通场景下的大数据和人工智能虚仿微实验。</w:t>
                  </w:r>
                </w:p>
                <w:p>
                  <w:pPr>
                    <w:pStyle w:val="null3"/>
                    <w:jc w:val="both"/>
                  </w:pPr>
                  <w:r>
                    <w:rPr>
                      <w:rFonts w:ascii="仿宋_GB2312" w:hAnsi="仿宋_GB2312" w:cs="仿宋_GB2312" w:eastAsia="仿宋_GB2312"/>
                      <w:sz w:val="24"/>
                    </w:rPr>
                    <w:t xml:space="preserve">② </w:t>
                  </w:r>
                  <w:r>
                    <w:rPr>
                      <w:rFonts w:ascii="仿宋_GB2312" w:hAnsi="仿宋_GB2312" w:cs="仿宋_GB2312" w:eastAsia="仿宋_GB2312"/>
                      <w:sz w:val="24"/>
                    </w:rPr>
                    <w:t>平台内置微实验，实验以智慧交通为背景</w:t>
                  </w:r>
                  <w:r>
                    <w:rPr>
                      <w:rFonts w:ascii="仿宋_GB2312" w:hAnsi="仿宋_GB2312" w:cs="仿宋_GB2312" w:eastAsia="仿宋_GB2312"/>
                      <w:sz w:val="24"/>
                    </w:rPr>
                    <w:t>3D模型化实验场景设计，将数字化技术的理论知识与智慧交通场景应用结合，微实验需要按照需求分析、解决方案设计、部署实施、验证测试等工程实施流程设计，与实际项目流程一致。</w:t>
                  </w:r>
                  <w:r>
                    <w:rPr>
                      <w:rFonts w:ascii="仿宋_GB2312" w:hAnsi="仿宋_GB2312" w:cs="仿宋_GB2312" w:eastAsia="仿宋_GB2312"/>
                      <w:sz w:val="24"/>
                      <w:b/>
                    </w:rPr>
                    <w:t>（需提供操作演示视频）</w:t>
                  </w:r>
                </w:p>
                <w:p>
                  <w:pPr>
                    <w:pStyle w:val="null3"/>
                    <w:jc w:val="both"/>
                  </w:pPr>
                  <w:r>
                    <w:rPr>
                      <w:rFonts w:ascii="仿宋_GB2312" w:hAnsi="仿宋_GB2312" w:cs="仿宋_GB2312" w:eastAsia="仿宋_GB2312"/>
                      <w:sz w:val="24"/>
                    </w:rPr>
                    <w:t xml:space="preserve">③ </w:t>
                  </w:r>
                  <w:r>
                    <w:rPr>
                      <w:rFonts w:ascii="仿宋_GB2312" w:hAnsi="仿宋_GB2312" w:cs="仿宋_GB2312" w:eastAsia="仿宋_GB2312"/>
                      <w:sz w:val="24"/>
                    </w:rPr>
                    <w:t>微实验需要具备实验预置条件设置功能。</w:t>
                  </w:r>
                </w:p>
                <w:p>
                  <w:pPr>
                    <w:pStyle w:val="null3"/>
                    <w:jc w:val="both"/>
                  </w:pPr>
                  <w:r>
                    <w:rPr>
                      <w:rFonts w:ascii="仿宋_GB2312" w:hAnsi="仿宋_GB2312" w:cs="仿宋_GB2312" w:eastAsia="仿宋_GB2312"/>
                      <w:sz w:val="24"/>
                    </w:rPr>
                    <w:t xml:space="preserve">④ </w:t>
                  </w:r>
                  <w:r>
                    <w:rPr>
                      <w:rFonts w:ascii="仿宋_GB2312" w:hAnsi="仿宋_GB2312" w:cs="仿宋_GB2312" w:eastAsia="仿宋_GB2312"/>
                      <w:sz w:val="24"/>
                    </w:rPr>
                    <w:t>微实验需要支持自动评分并生成测评报告。</w:t>
                  </w:r>
                </w:p>
                <w:p>
                  <w:pPr>
                    <w:pStyle w:val="null3"/>
                    <w:jc w:val="both"/>
                  </w:pPr>
                  <w:r>
                    <w:rPr>
                      <w:rFonts w:ascii="仿宋_GB2312" w:hAnsi="仿宋_GB2312" w:cs="仿宋_GB2312" w:eastAsia="仿宋_GB2312"/>
                      <w:sz w:val="24"/>
                    </w:rPr>
                    <w:t xml:space="preserve">⑤ </w:t>
                  </w:r>
                  <w:r>
                    <w:rPr>
                      <w:rFonts w:ascii="仿宋_GB2312" w:hAnsi="仿宋_GB2312" w:cs="仿宋_GB2312" w:eastAsia="仿宋_GB2312"/>
                      <w:sz w:val="24"/>
                    </w:rPr>
                    <w:t>开发的微实验模块需要能接入到数字化素养与技能学习平台，由平台统一管理，后台可以设置微实验的预设条件，实验评分和测评报告能通过数字化学习平台查询，支持课程管理和实验任务管理关联微实验。</w:t>
                  </w:r>
                </w:p>
                <w:p>
                  <w:pPr>
                    <w:pStyle w:val="null3"/>
                    <w:jc w:val="both"/>
                  </w:pPr>
                  <w:r>
                    <w:rPr>
                      <w:rFonts w:ascii="仿宋_GB2312" w:hAnsi="仿宋_GB2312" w:cs="仿宋_GB2312" w:eastAsia="仿宋_GB2312"/>
                      <w:sz w:val="24"/>
                    </w:rPr>
                    <w:t>3.1 大数据实验要求：</w:t>
                  </w:r>
                </w:p>
                <w:p>
                  <w:pPr>
                    <w:pStyle w:val="null3"/>
                    <w:jc w:val="both"/>
                  </w:pPr>
                  <w:r>
                    <w:rPr>
                      <w:rFonts w:ascii="仿宋_GB2312" w:hAnsi="仿宋_GB2312" w:cs="仿宋_GB2312" w:eastAsia="仿宋_GB2312"/>
                      <w:sz w:val="24"/>
                    </w:rPr>
                    <w:t xml:space="preserve">① </w:t>
                  </w:r>
                  <w:r>
                    <w:rPr>
                      <w:rFonts w:ascii="仿宋_GB2312" w:hAnsi="仿宋_GB2312" w:cs="仿宋_GB2312" w:eastAsia="仿宋_GB2312"/>
                      <w:sz w:val="24"/>
                    </w:rPr>
                    <w:t>需要满足大数据技术基础认知的学习要求，实验以智慧交通数据分析处理（大数据</w:t>
                  </w:r>
                  <w:r>
                    <w:rPr>
                      <w:rFonts w:ascii="仿宋_GB2312" w:hAnsi="仿宋_GB2312" w:cs="仿宋_GB2312" w:eastAsia="仿宋_GB2312"/>
                      <w:sz w:val="24"/>
                    </w:rPr>
                    <w:t>)）为背景设计，内容需要涵盖大数据平台架构、hadoop、HDFS分布式文件系统、MapReduce、YARN、Hbase、Hive等大数据基本概念，包含大数据分析处理过程。</w:t>
                  </w:r>
                </w:p>
                <w:p>
                  <w:pPr>
                    <w:pStyle w:val="null3"/>
                    <w:jc w:val="both"/>
                  </w:pPr>
                  <w:r>
                    <w:rPr>
                      <w:rFonts w:ascii="仿宋_GB2312" w:hAnsi="仿宋_GB2312" w:cs="仿宋_GB2312" w:eastAsia="仿宋_GB2312"/>
                      <w:sz w:val="24"/>
                    </w:rPr>
                    <w:t xml:space="preserve">② </w:t>
                  </w:r>
                  <w:r>
                    <w:rPr>
                      <w:rFonts w:ascii="仿宋_GB2312" w:hAnsi="仿宋_GB2312" w:cs="仿宋_GB2312" w:eastAsia="仿宋_GB2312"/>
                      <w:sz w:val="24"/>
                    </w:rPr>
                    <w:t>解决方案设计中应包含大数据平台架构、采集数据选型以及技术选型模块。其中采集数据选型应根据交通数据采集的任务要求分析解决交通问题所需的数据，可选数据类型应至少包含位置、时间、车速、车道、行驶方向、行驶状态等。</w:t>
                  </w:r>
                </w:p>
                <w:p>
                  <w:pPr>
                    <w:pStyle w:val="null3"/>
                    <w:jc w:val="both"/>
                  </w:pPr>
                  <w:r>
                    <w:rPr>
                      <w:rFonts w:ascii="仿宋_GB2312" w:hAnsi="仿宋_GB2312" w:cs="仿宋_GB2312" w:eastAsia="仿宋_GB2312"/>
                      <w:sz w:val="24"/>
                    </w:rPr>
                    <w:t xml:space="preserve">③ </w:t>
                  </w:r>
                  <w:r>
                    <w:rPr>
                      <w:rFonts w:ascii="仿宋_GB2312" w:hAnsi="仿宋_GB2312" w:cs="仿宋_GB2312" w:eastAsia="仿宋_GB2312"/>
                      <w:sz w:val="24"/>
                    </w:rPr>
                    <w:t>项目部署实施应包含大数据平台部署和大数据业务分析两个模块，大数据平台部署应按照部署流程设计，包含大数据平台资源准备、</w:t>
                  </w:r>
                  <w:r>
                    <w:rPr>
                      <w:rFonts w:ascii="仿宋_GB2312" w:hAnsi="仿宋_GB2312" w:cs="仿宋_GB2312" w:eastAsia="仿宋_GB2312"/>
                      <w:sz w:val="24"/>
                    </w:rPr>
                    <w:t>Hadoop安装、Hbase安装，Spark安装以及可视化部署等实验过程，支持对提取的数据进行清洗，支持对清洗的数据进行分析并能通过可视化工具的选择实现大数据可视化的功能。</w:t>
                  </w:r>
                </w:p>
                <w:p>
                  <w:pPr>
                    <w:pStyle w:val="null3"/>
                    <w:jc w:val="both"/>
                  </w:pPr>
                  <w:r>
                    <w:rPr>
                      <w:rFonts w:ascii="仿宋_GB2312" w:hAnsi="仿宋_GB2312" w:cs="仿宋_GB2312" w:eastAsia="仿宋_GB2312"/>
                      <w:sz w:val="24"/>
                    </w:rPr>
                    <w:t xml:space="preserve">④ </w:t>
                  </w:r>
                  <w:r>
                    <w:rPr>
                      <w:rFonts w:ascii="仿宋_GB2312" w:hAnsi="仿宋_GB2312" w:cs="仿宋_GB2312" w:eastAsia="仿宋_GB2312"/>
                      <w:sz w:val="24"/>
                    </w:rPr>
                    <w:t>验收测试能实现大数据平台测试及大数据可视化展示功能，平台测试至少包含</w:t>
                  </w:r>
                  <w:r>
                    <w:rPr>
                      <w:rFonts w:ascii="仿宋_GB2312" w:hAnsi="仿宋_GB2312" w:cs="仿宋_GB2312" w:eastAsia="仿宋_GB2312"/>
                      <w:sz w:val="24"/>
                    </w:rPr>
                    <w:t>HDFS测试、MapReduce测试、Yarn测试、Hbase测试、Spark测试等。</w:t>
                  </w:r>
                </w:p>
                <w:p>
                  <w:pPr>
                    <w:pStyle w:val="null3"/>
                    <w:jc w:val="both"/>
                  </w:pPr>
                  <w:r>
                    <w:rPr>
                      <w:rFonts w:ascii="仿宋_GB2312" w:hAnsi="仿宋_GB2312" w:cs="仿宋_GB2312" w:eastAsia="仿宋_GB2312"/>
                      <w:sz w:val="24"/>
                    </w:rPr>
                    <w:t>3.2人工智能实验要求：</w:t>
                  </w:r>
                </w:p>
                <w:p>
                  <w:pPr>
                    <w:pStyle w:val="null3"/>
                    <w:jc w:val="both"/>
                  </w:pPr>
                  <w:r>
                    <w:rPr>
                      <w:rFonts w:ascii="仿宋_GB2312" w:hAnsi="仿宋_GB2312" w:cs="仿宋_GB2312" w:eastAsia="仿宋_GB2312"/>
                      <w:sz w:val="24"/>
                    </w:rPr>
                    <w:t xml:space="preserve">① </w:t>
                  </w:r>
                  <w:r>
                    <w:rPr>
                      <w:rFonts w:ascii="仿宋_GB2312" w:hAnsi="仿宋_GB2312" w:cs="仿宋_GB2312" w:eastAsia="仿宋_GB2312"/>
                      <w:sz w:val="24"/>
                    </w:rPr>
                    <w:t>需要满足人工智能技术基础认知的学习要求，实验以智慧交通智能决策为背景设计，内容上需要涵盖人工智能基本概念人工智能机器学习、人工智能三要素等。</w:t>
                  </w:r>
                </w:p>
                <w:p>
                  <w:pPr>
                    <w:pStyle w:val="null3"/>
                    <w:jc w:val="both"/>
                  </w:pPr>
                  <w:r>
                    <w:rPr>
                      <w:rFonts w:ascii="仿宋_GB2312" w:hAnsi="仿宋_GB2312" w:cs="仿宋_GB2312" w:eastAsia="仿宋_GB2312"/>
                      <w:sz w:val="24"/>
                    </w:rPr>
                    <w:t xml:space="preserve">② </w:t>
                  </w:r>
                  <w:r>
                    <w:rPr>
                      <w:rFonts w:ascii="仿宋_GB2312" w:hAnsi="仿宋_GB2312" w:cs="仿宋_GB2312" w:eastAsia="仿宋_GB2312"/>
                      <w:sz w:val="24"/>
                    </w:rPr>
                    <w:t>解决方案设计至少包含任务分析、技术选型、容量规划等模块，任务分析与智慧交通需要人工智能解决的问题关联，设置交通问题解决所需收集的数据信息，技术选型部分应为人工智能选择合适的数据、算法和算力资源，容量规划应支持算法和算力的估算。</w:t>
                  </w:r>
                </w:p>
                <w:p>
                  <w:pPr>
                    <w:pStyle w:val="null3"/>
                    <w:jc w:val="both"/>
                  </w:pPr>
                  <w:r>
                    <w:rPr>
                      <w:rFonts w:ascii="仿宋_GB2312" w:hAnsi="仿宋_GB2312" w:cs="仿宋_GB2312" w:eastAsia="仿宋_GB2312"/>
                      <w:sz w:val="24"/>
                    </w:rPr>
                    <w:t xml:space="preserve">③ </w:t>
                  </w:r>
                  <w:r>
                    <w:rPr>
                      <w:rFonts w:ascii="仿宋_GB2312" w:hAnsi="仿宋_GB2312" w:cs="仿宋_GB2312" w:eastAsia="仿宋_GB2312"/>
                      <w:sz w:val="24"/>
                    </w:rPr>
                    <w:t>项目实施至少包含平台部署和模型训练等功能模块，应包含服务器部署、</w:t>
                  </w:r>
                  <w:r>
                    <w:rPr>
                      <w:rFonts w:ascii="仿宋_GB2312" w:hAnsi="仿宋_GB2312" w:cs="仿宋_GB2312" w:eastAsia="仿宋_GB2312"/>
                      <w:sz w:val="24"/>
                    </w:rPr>
                    <w:t>Python部署和模型训练算法部署、数据过滤、训练轮数和批次的选择并支持训练结果查看。</w:t>
                  </w:r>
                </w:p>
                <w:p>
                  <w:pPr>
                    <w:pStyle w:val="null3"/>
                    <w:jc w:val="both"/>
                  </w:pPr>
                  <w:r>
                    <w:rPr>
                      <w:rFonts w:ascii="仿宋_GB2312" w:hAnsi="仿宋_GB2312" w:cs="仿宋_GB2312" w:eastAsia="仿宋_GB2312"/>
                      <w:sz w:val="24"/>
                      <w:color w:val="000000"/>
                    </w:rPr>
                    <w:t xml:space="preserve">④ </w:t>
                  </w:r>
                  <w:r>
                    <w:rPr>
                      <w:rFonts w:ascii="仿宋_GB2312" w:hAnsi="仿宋_GB2312" w:cs="仿宋_GB2312" w:eastAsia="仿宋_GB2312"/>
                      <w:sz w:val="24"/>
                    </w:rPr>
                    <w:t>验收测试至少包含模型评估和业务上线测试模块，模型评估需要支持过拟合和欠拟合，构建交通场景，设置模型参数，查看对交通流量变化、拥堵变化、平均行驶时间的影响，完成人工智能拥堵预测的功能。</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加强国际交流与合作</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协助院校参加相关国际论坛活动</w:t>
                  </w:r>
                  <w:r>
                    <w:rPr>
                      <w:rFonts w:ascii="仿宋_GB2312" w:hAnsi="仿宋_GB2312" w:cs="仿宋_GB2312" w:eastAsia="仿宋_GB2312"/>
                      <w:sz w:val="24"/>
                    </w:rPr>
                    <w:t>1场；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协助院校参加相关国际竞赛，开展赛前技术培训工作，力争获奖</w:t>
                  </w:r>
                  <w:r>
                    <w:rPr>
                      <w:rFonts w:ascii="仿宋_GB2312" w:hAnsi="仿宋_GB2312" w:cs="仿宋_GB2312" w:eastAsia="仿宋_GB2312"/>
                      <w:sz w:val="24"/>
                    </w:rPr>
                    <w:t>1项。</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ind w:firstLine="480"/>
              <w:jc w:val="both"/>
            </w:pPr>
            <w:r>
              <w:rPr>
                <w:rFonts w:ascii="仿宋_GB2312" w:hAnsi="仿宋_GB2312" w:cs="仿宋_GB2312" w:eastAsia="仿宋_GB2312"/>
                <w:sz w:val="24"/>
              </w:rPr>
              <w:t>四、商务要求</w:t>
            </w:r>
          </w:p>
          <w:p>
            <w:pPr>
              <w:pStyle w:val="null3"/>
              <w:ind w:firstLine="960"/>
              <w:jc w:val="both"/>
            </w:pPr>
            <w:r>
              <w:rPr>
                <w:rFonts w:ascii="仿宋_GB2312" w:hAnsi="仿宋_GB2312" w:cs="仿宋_GB2312" w:eastAsia="仿宋_GB2312"/>
                <w:sz w:val="24"/>
              </w:rPr>
              <w:t>本项目为交钥匙项目，包含所有的税费、安装、调试、培训等费用；</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、其他</w:t>
            </w:r>
          </w:p>
          <w:p>
            <w:pPr>
              <w:pStyle w:val="null3"/>
              <w:ind w:firstLine="480"/>
              <w:jc w:val="both"/>
            </w:pPr>
            <w:r>
              <w:rPr>
                <w:rFonts w:ascii="仿宋_GB2312" w:hAnsi="仿宋_GB2312" w:cs="仿宋_GB2312" w:eastAsia="仿宋_GB2312"/>
                <w:sz w:val="24"/>
              </w:rPr>
              <w:t>（一）质量验收标准或规范</w:t>
            </w:r>
          </w:p>
          <w:p>
            <w:pPr>
              <w:pStyle w:val="null3"/>
              <w:ind w:firstLine="960"/>
              <w:jc w:val="both"/>
            </w:pPr>
            <w:r>
              <w:rPr>
                <w:rFonts w:ascii="仿宋_GB2312" w:hAnsi="仿宋_GB2312" w:cs="仿宋_GB2312" w:eastAsia="仿宋_GB2312"/>
                <w:sz w:val="24"/>
              </w:rPr>
              <w:t>以合同具体要求为准。</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产品质保期</w:t>
            </w:r>
          </w:p>
          <w:p>
            <w:pPr>
              <w:pStyle w:val="null3"/>
              <w:ind w:left="420" w:firstLine="480"/>
              <w:jc w:val="both"/>
            </w:pPr>
            <w:r>
              <w:rPr>
                <w:rFonts w:ascii="仿宋_GB2312" w:hAnsi="仿宋_GB2312" w:cs="仿宋_GB2312" w:eastAsia="仿宋_GB2312"/>
                <w:sz w:val="24"/>
              </w:rPr>
              <w:t>项目终验合格后一年。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）违约责任</w:t>
            </w:r>
          </w:p>
          <w:p>
            <w:pPr>
              <w:pStyle w:val="null3"/>
              <w:jc w:val="both"/>
            </w:pPr>
            <w:r>
              <w:rPr>
                <w:rFonts w:ascii="仿宋_GB2312" w:hAnsi="仿宋_GB2312" w:cs="仿宋_GB2312" w:eastAsia="仿宋_GB2312"/>
                <w:sz w:val="24"/>
              </w:rPr>
              <w:t>根据合同条款。</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详见招标文件采购内容及合同模板</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，达到付款条件起 10 日内，支付合同总金额的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 ，达到付款条件起 10 日内，支付合同总金额的 60.00%。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详见招标文件采购内容及合同模板</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或2024年度财务审计报告（成立时间至提交投标文件截止时间不足一年的可提供成立后任意时段的资产负债表）或开标前6个月内的基本存款账户开户银行资信证明或财政部门认可的政府采购专业担保机构出具的投标担保函）； 3.具有履行合同所必需的设备和专业技术能力（格式详见附件）； 4.具有依法缴纳税收和社会保障资金的良好记录（同时提供投标截止时间前6个月内缴存的任意1个月的社保及税收缴纳证明；依法不需要缴纳的应提供相关证明文件)； 5.参加政府采购活动前三年内，在经营活动中没有重大违法记录（格式详见附件）；供应商需在项目电子化交易系统中按要求填写《投标函》完成承诺并进行电子签章。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本项目为非专门面向中小企业采购</w:t>
            </w:r>
          </w:p>
        </w:tc>
        <w:tc>
          <w:tcPr>
            <w:tcW w:type="dxa" w:w="3322"/>
          </w:tcPr>
          <w:p>
            <w:pPr>
              <w:pStyle w:val="null3"/>
            </w:pPr>
            <w:r>
              <w:rPr>
                <w:rFonts w:ascii="仿宋_GB2312" w:hAnsi="仿宋_GB2312" w:cs="仿宋_GB2312" w:eastAsia="仿宋_GB2312"/>
              </w:rPr>
              <w:t>本项目为非专门面向中小企业采购；满足要求的供应商须提供《中小企业声明函》并为其真实性负责；供应商需在项目电子化交易系统中按要求上传相应证明文件并进行电子签章。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付款方式是否满足公开招标文件的要求；</w:t>
            </w:r>
          </w:p>
        </w:tc>
        <w:tc>
          <w:tcPr>
            <w:tcW w:type="dxa" w:w="1661"/>
          </w:tcPr>
          <w:p>
            <w:pPr>
              <w:pStyle w:val="null3"/>
            </w:pPr>
            <w:r>
              <w:rPr>
                <w:rFonts w:ascii="仿宋_GB2312" w:hAnsi="仿宋_GB2312" w:cs="仿宋_GB2312" w:eastAsia="仿宋_GB2312"/>
              </w:rPr>
              <w:t>开标一览表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服务期限是否满足公开招标文件的要求；</w:t>
            </w:r>
          </w:p>
        </w:tc>
        <w:tc>
          <w:tcPr>
            <w:tcW w:type="dxa" w:w="1661"/>
          </w:tcPr>
          <w:p>
            <w:pPr>
              <w:pStyle w:val="null3"/>
            </w:pPr>
            <w:r>
              <w:rPr>
                <w:rFonts w:ascii="仿宋_GB2312" w:hAnsi="仿宋_GB2312" w:cs="仿宋_GB2312" w:eastAsia="仿宋_GB2312"/>
              </w:rPr>
              <w:t>投标函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投标有效期是否满足公开招标文件的要求；</w:t>
            </w:r>
          </w:p>
        </w:tc>
        <w:tc>
          <w:tcPr>
            <w:tcW w:type="dxa" w:w="1661"/>
          </w:tcPr>
          <w:p>
            <w:pPr>
              <w:pStyle w:val="null3"/>
            </w:pPr>
            <w:r>
              <w:rPr>
                <w:rFonts w:ascii="仿宋_GB2312" w:hAnsi="仿宋_GB2312" w:cs="仿宋_GB2312" w:eastAsia="仿宋_GB2312"/>
              </w:rPr>
              <w:t>投标函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报价唯一，且报价不超过采购预算及最高限价</w:t>
            </w:r>
          </w:p>
        </w:tc>
        <w:tc>
          <w:tcPr>
            <w:tcW w:type="dxa" w:w="1661"/>
          </w:tcPr>
          <w:p>
            <w:pPr>
              <w:pStyle w:val="null3"/>
            </w:pPr>
            <w:r>
              <w:rPr>
                <w:rFonts w:ascii="仿宋_GB2312" w:hAnsi="仿宋_GB2312" w:cs="仿宋_GB2312" w:eastAsia="仿宋_GB2312"/>
              </w:rPr>
              <w:t>开标一览表 投标函 标的清单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符合法律、法规和公开招标文件中规定的其他实质性要求</w:t>
            </w:r>
          </w:p>
        </w:tc>
        <w:tc>
          <w:tcPr>
            <w:tcW w:type="dxa" w:w="3322"/>
          </w:tcPr>
          <w:p>
            <w:pPr>
              <w:pStyle w:val="null3"/>
            </w:pPr>
            <w:r>
              <w:rPr>
                <w:rFonts w:ascii="仿宋_GB2312" w:hAnsi="仿宋_GB2312" w:cs="仿宋_GB2312" w:eastAsia="仿宋_GB2312"/>
              </w:rPr>
              <w:t>是否符合法律、法规和公开招标文件中规定的其他实质性要求。</w:t>
            </w:r>
          </w:p>
        </w:tc>
        <w:tc>
          <w:tcPr>
            <w:tcW w:type="dxa" w:w="1661"/>
          </w:tcPr>
          <w:p>
            <w:pPr>
              <w:pStyle w:val="null3"/>
            </w:pPr>
            <w:r>
              <w:rPr>
                <w:rFonts w:ascii="仿宋_GB2312" w:hAnsi="仿宋_GB2312" w:cs="仿宋_GB2312" w:eastAsia="仿宋_GB2312"/>
              </w:rPr>
              <w:t>供应商应提交的相关资格证明材料.pdf 商务应答表.docx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主要技术服务要求内容</w:t>
            </w:r>
          </w:p>
        </w:tc>
        <w:tc>
          <w:tcPr>
            <w:tcW w:type="dxa" w:w="2492"/>
          </w:tcPr>
          <w:p>
            <w:pPr>
              <w:pStyle w:val="null3"/>
            </w:pPr>
            <w:r>
              <w:rPr>
                <w:rFonts w:ascii="仿宋_GB2312" w:hAnsi="仿宋_GB2312" w:cs="仿宋_GB2312" w:eastAsia="仿宋_GB2312"/>
              </w:rPr>
              <w:t>供应商对技术服务要求内容进行明确响应，满足要求并提供相关证明材料的，得16分。带“▲”号项为关键技术服务要求指标，每负偏离一项扣2分；其他未带标识项为一般功能项，每负偏离一项扣除1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对本项目的需求理解方案，方案内容包括但不限于：项目整体设想、项目重点难点、实施流程、管理规章制度方案，对项目的需求理解内容详实、条理清晰、完全满足采购人需求，能有效保障本项目实施得4分，每有一项缺项扣1分，每有一项内容存在缺陷扣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质量保证措施进行评审，具体内容包括但不限于：质量管理体系、质量管理人员配备、质量计划、咨询及绩效评价过程质量控制的方法措施、测试过程质量控制、交付和售后服务质量控制等内容。 对项目的质量保证措施内容全面、可行性强，能有效保障本项目实施得4分，每有一项缺项扣1分，每有一项内容存在缺陷扣0.5分，未提供不得分。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针对本项目采购需求及项目实际情况，提供进度保障措施：包括各阶段工作安排及交付计划、工作进度计划，切合项目具体情况，能有效保障本项目实施得4分，每有一项缺项扣1分，每有一项内容存在缺陷扣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采购需求及项目实际情况，设有项目组织管理机构：组织结构健全，有完善的岗位制度和岗位职责，人员安排合理、分工明确，可操作性强，得4分；组织结构较为健全，有较为完善的岗位制度和岗位职责，人员安排及分工较为合理，具有一定的操作性，得3分；组织结构不健全，岗位制度和岗位职责安排简单，操作性较差，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法定代表人身份证明和法定代表人授权委托书.pdf</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安全保障体系及方案</w:t>
            </w:r>
          </w:p>
        </w:tc>
        <w:tc>
          <w:tcPr>
            <w:tcW w:type="dxa" w:w="2492"/>
          </w:tcPr>
          <w:p>
            <w:pPr>
              <w:pStyle w:val="null3"/>
            </w:pPr>
            <w:r>
              <w:rPr>
                <w:rFonts w:ascii="仿宋_GB2312" w:hAnsi="仿宋_GB2312" w:cs="仿宋_GB2312" w:eastAsia="仿宋_GB2312"/>
              </w:rPr>
              <w:t>针对本项目采购需求及项目实际情况，构建安全保障体系并制定相关方案，包含安全生产责任制、安全管理标准化及遇突发事件的应急预案措施和解决方案等内容。体系完善，方案完整、全面细致、科学合理，得4分；体系较完善，方案较完整、全面细致、科学合理，得3分；体系基本完善，方案基本完整、全面细致、科学合理，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包括：培训体系、培训目标、培训内容、培训计划、培训课程等）。每项内容得1分，最高得4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对演示内容进行视频演示并进行说明的，功能介绍完整详细、操作便利快捷，完全满足使用要求的每项得3分；内容基本齐全，功能基本相符，操作性较差的每项得1分； 单项功能演示不完整不得分；单项功能演示内容不全的不得分；未提供不得分。 （注：所有演示内容，须在15分钟内完成，演示形式为开评标当天通过腾讯视频会议进行线上演示，未提供不得分。）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采购需求及项目实际情况，提供的服务承诺及保障措施。服务承诺具体、可行，保障措施详细，得4分；服务承诺较具体、可行，保障措施较详细，得3分；服务承诺基本具体、可行，保障措施基本详细，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其他1</w:t>
            </w:r>
          </w:p>
        </w:tc>
        <w:tc>
          <w:tcPr>
            <w:tcW w:type="dxa" w:w="2492"/>
          </w:tcPr>
          <w:p>
            <w:pPr>
              <w:pStyle w:val="null3"/>
            </w:pPr>
            <w:r>
              <w:rPr>
                <w:rFonts w:ascii="仿宋_GB2312" w:hAnsi="仿宋_GB2312" w:cs="仿宋_GB2312" w:eastAsia="仿宋_GB2312"/>
              </w:rPr>
              <w:t>供应商每提供1个拥有大数据领域相关的软件著作权或相关发明专利的，每提供一项内容得1分，最高得2分，未提供不得分。（需提供加盖公章的对应的证书复印件或相关证明材料）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其他2</w:t>
            </w:r>
          </w:p>
        </w:tc>
        <w:tc>
          <w:tcPr>
            <w:tcW w:type="dxa" w:w="2492"/>
          </w:tcPr>
          <w:p>
            <w:pPr>
              <w:pStyle w:val="null3"/>
            </w:pPr>
            <w:r>
              <w:rPr>
                <w:rFonts w:ascii="仿宋_GB2312" w:hAnsi="仿宋_GB2312" w:cs="仿宋_GB2312" w:eastAsia="仿宋_GB2312"/>
              </w:rPr>
              <w:t>供应商具有支撑国家级/省级职业院校技能大赛的能力及经验，每提供一项内容得1分；最高得2分，未提供不得分。 （需提供对应的证书复印件或相关证明材料）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其他3</w:t>
            </w:r>
          </w:p>
        </w:tc>
        <w:tc>
          <w:tcPr>
            <w:tcW w:type="dxa" w:w="2492"/>
          </w:tcPr>
          <w:p>
            <w:pPr>
              <w:pStyle w:val="null3"/>
            </w:pPr>
            <w:r>
              <w:rPr>
                <w:rFonts w:ascii="仿宋_GB2312" w:hAnsi="仿宋_GB2312" w:cs="仿宋_GB2312" w:eastAsia="仿宋_GB2312"/>
              </w:rPr>
              <w:t>供应商已有校企合作成熟、稳定的经验，与院校具有良好的校企合作关系。每提供一项内容得1分；最高得2分，未提供不得分。（需提供合同或协议复印件，或公开网站可查询的公示公告截图）</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其他4</w:t>
            </w:r>
          </w:p>
        </w:tc>
        <w:tc>
          <w:tcPr>
            <w:tcW w:type="dxa" w:w="2492"/>
          </w:tcPr>
          <w:p>
            <w:pPr>
              <w:pStyle w:val="null3"/>
            </w:pPr>
            <w:r>
              <w:rPr>
                <w:rFonts w:ascii="仿宋_GB2312" w:hAnsi="仿宋_GB2312" w:cs="仿宋_GB2312" w:eastAsia="仿宋_GB2312"/>
              </w:rPr>
              <w:t>供应商为国家级/省级职业教育教师企业实践基地的，提供相关证明材料的，得2分，未提供不得分。 （需提供有效的证书复印件或公开网站可查询的公示公告截图）</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提供2022年1月1日至投标截止时间前的同类服务项目业绩合同关键页，每提供一个得1分，最高得3分，未提供不得分。 （注：提供合同复印件加盖供应商公章。资料不全或未按照上述要求提供的不得分）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满足招标文件要求的最低投标报价为评标基准价，其价格分为满分。其他供应商的价格分统一按照下列公式计算： 投标报价得分=（评标基准价/投标报价）×30 （注：中小企业参加政府采购活动，应当出具本办法规定的《中小企业声明函》（见附件），符合本办法规定的小微企业报价给予10%的扣除，用扣除后的价格参加评审。）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