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80736">
      <w:pPr>
        <w:keepNext w:val="0"/>
        <w:keepLines w:val="0"/>
        <w:pageBreakBefore w:val="0"/>
        <w:widowControl w:val="0"/>
        <w:kinsoku/>
        <w:wordWrap/>
        <w:overflowPunct/>
        <w:topLinePunct w:val="0"/>
        <w:autoSpaceDE/>
        <w:autoSpaceDN/>
        <w:bidi w:val="0"/>
        <w:adjustRightInd/>
        <w:snapToGrid/>
        <w:spacing w:line="578" w:lineRule="exact"/>
        <w:textAlignment w:val="auto"/>
        <w:rPr>
          <w:rFonts w:ascii="黑体" w:hAnsi="宋体" w:eastAsia="黑体" w:cs="仿宋_GB2312"/>
          <w:sz w:val="32"/>
          <w:szCs w:val="32"/>
        </w:rPr>
      </w:pPr>
      <w:r>
        <w:rPr>
          <w:rFonts w:hint="eastAsia" w:ascii="黑体" w:hAnsi="宋体" w:eastAsia="黑体" w:cs="仿宋_GB2312"/>
          <w:sz w:val="32"/>
          <w:szCs w:val="32"/>
        </w:rPr>
        <w:t>项目名称：</w:t>
      </w:r>
    </w:p>
    <w:p w14:paraId="6414994A">
      <w:pPr>
        <w:keepNext w:val="0"/>
        <w:keepLines w:val="0"/>
        <w:pageBreakBefore w:val="0"/>
        <w:widowControl w:val="0"/>
        <w:kinsoku/>
        <w:wordWrap/>
        <w:overflowPunct/>
        <w:topLinePunct w:val="0"/>
        <w:autoSpaceDE/>
        <w:autoSpaceDN/>
        <w:bidi w:val="0"/>
        <w:adjustRightInd/>
        <w:snapToGrid/>
        <w:spacing w:line="578" w:lineRule="exact"/>
        <w:textAlignment w:val="auto"/>
        <w:rPr>
          <w:rFonts w:ascii="黑体" w:hAnsi="宋体" w:eastAsia="黑体" w:cs="仿宋_GB2312"/>
          <w:sz w:val="32"/>
          <w:szCs w:val="32"/>
        </w:rPr>
      </w:pPr>
      <w:r>
        <w:rPr>
          <w:rFonts w:hint="eastAsia" w:ascii="黑体" w:hAnsi="宋体" w:eastAsia="黑体" w:cs="仿宋_GB2312"/>
          <w:sz w:val="32"/>
          <w:szCs w:val="32"/>
        </w:rPr>
        <w:t>项目编号：</w:t>
      </w:r>
    </w:p>
    <w:p w14:paraId="2577E866">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宋体" w:hAnsi="宋体" w:cs="仿宋_GB2312"/>
          <w:b/>
          <w:spacing w:val="-20"/>
          <w:sz w:val="58"/>
          <w:szCs w:val="58"/>
        </w:rPr>
      </w:pPr>
    </w:p>
    <w:p w14:paraId="56F03B41">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黑体" w:hAnsi="宋体" w:eastAsia="黑体" w:cs="仿宋_GB2312"/>
          <w:b/>
          <w:sz w:val="52"/>
          <w:szCs w:val="52"/>
        </w:rPr>
      </w:pPr>
      <w:r>
        <w:rPr>
          <w:rFonts w:hint="eastAsia" w:ascii="黑体" w:hAnsi="宋体" w:eastAsia="黑体" w:cs="仿宋_GB2312"/>
          <w:b/>
          <w:sz w:val="52"/>
          <w:szCs w:val="52"/>
        </w:rPr>
        <w:t>西安市人民医院（西安市第四医院）</w:t>
      </w:r>
    </w:p>
    <w:p w14:paraId="727FEDAF">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ins w:id="0" w:author="V.eronica" w:date="2025-04-02T15:01:00Z"/>
          <w:rFonts w:hint="eastAsia" w:ascii="黑体" w:hAnsi="宋体" w:eastAsia="黑体" w:cs="仿宋_GB2312"/>
          <w:b/>
          <w:sz w:val="52"/>
          <w:szCs w:val="52"/>
        </w:rPr>
      </w:pPr>
    </w:p>
    <w:p w14:paraId="1E83F884">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黑体" w:hAnsi="宋体" w:eastAsia="黑体" w:cs="仿宋_GB2312"/>
          <w:b/>
          <w:sz w:val="52"/>
          <w:szCs w:val="52"/>
        </w:rPr>
      </w:pPr>
      <w:r>
        <w:rPr>
          <w:rFonts w:hint="eastAsia" w:ascii="黑体" w:hAnsi="宋体" w:eastAsia="黑体" w:cs="仿宋_GB2312"/>
          <w:b/>
          <w:sz w:val="52"/>
          <w:szCs w:val="52"/>
          <w:lang w:val="en-US" w:eastAsia="zh-CN"/>
        </w:rPr>
        <w:t>供 货</w:t>
      </w:r>
      <w:r>
        <w:rPr>
          <w:rFonts w:hint="eastAsia" w:ascii="黑体" w:hAnsi="宋体" w:eastAsia="黑体" w:cs="仿宋_GB2312"/>
          <w:b/>
          <w:sz w:val="52"/>
          <w:szCs w:val="52"/>
        </w:rPr>
        <w:t xml:space="preserve"> 合 同（软件）</w:t>
      </w:r>
    </w:p>
    <w:p w14:paraId="3A0FD328">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宋体" w:hAnsi="宋体" w:cs="仿宋_GB2312"/>
          <w:sz w:val="30"/>
          <w:szCs w:val="30"/>
        </w:rPr>
      </w:pPr>
    </w:p>
    <w:p w14:paraId="0247E5DD">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宋体" w:hAnsi="宋体" w:cs="仿宋_GB2312"/>
          <w:sz w:val="30"/>
          <w:szCs w:val="30"/>
        </w:rPr>
      </w:pPr>
    </w:p>
    <w:p w14:paraId="205DB40E">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宋体" w:hAnsi="宋体" w:cs="仿宋_GB2312"/>
          <w:sz w:val="30"/>
          <w:szCs w:val="30"/>
        </w:rPr>
      </w:pPr>
    </w:p>
    <w:p w14:paraId="2A233377">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宋体" w:hAnsi="宋体" w:cs="仿宋_GB2312"/>
          <w:sz w:val="30"/>
          <w:szCs w:val="30"/>
        </w:rPr>
      </w:pPr>
    </w:p>
    <w:p w14:paraId="3556E987">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宋体" w:hAnsi="宋体" w:cs="仿宋_GB2312"/>
          <w:sz w:val="30"/>
          <w:szCs w:val="30"/>
        </w:rPr>
      </w:pPr>
    </w:p>
    <w:p w14:paraId="57A24C19">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宋体" w:hAnsi="宋体" w:cs="仿宋_GB2312"/>
          <w:sz w:val="30"/>
          <w:szCs w:val="30"/>
        </w:rPr>
      </w:pPr>
    </w:p>
    <w:p w14:paraId="65BF46FC">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宋体" w:hAnsi="宋体" w:cs="仿宋_GB2312"/>
          <w:sz w:val="30"/>
          <w:szCs w:val="30"/>
        </w:rPr>
      </w:pPr>
    </w:p>
    <w:p w14:paraId="34B7B6D1">
      <w:pPr>
        <w:keepNext w:val="0"/>
        <w:keepLines w:val="0"/>
        <w:pageBreakBefore w:val="0"/>
        <w:widowControl w:val="0"/>
        <w:kinsoku/>
        <w:wordWrap/>
        <w:overflowPunct/>
        <w:topLinePunct w:val="0"/>
        <w:autoSpaceDE/>
        <w:autoSpaceDN/>
        <w:bidi w:val="0"/>
        <w:adjustRightInd/>
        <w:snapToGrid/>
        <w:spacing w:line="578" w:lineRule="exact"/>
        <w:ind w:firstLine="2080" w:firstLineChars="650"/>
        <w:textAlignment w:val="auto"/>
        <w:rPr>
          <w:rFonts w:ascii="黑体" w:eastAsia="黑体"/>
          <w:sz w:val="32"/>
          <w:szCs w:val="32"/>
        </w:rPr>
      </w:pPr>
      <w:r>
        <w:rPr>
          <w:rFonts w:hint="eastAsia" w:ascii="黑体" w:eastAsia="黑体"/>
          <w:sz w:val="32"/>
          <w:szCs w:val="32"/>
        </w:rPr>
        <w:t>甲  方：西安市人民医院（</w:t>
      </w:r>
      <w:r>
        <w:rPr>
          <w:rFonts w:hint="eastAsia" w:ascii="黑体" w:hAnsi="宋体" w:eastAsia="黑体"/>
          <w:sz w:val="32"/>
          <w:szCs w:val="32"/>
        </w:rPr>
        <w:t>西安市第四医院</w:t>
      </w:r>
      <w:r>
        <w:rPr>
          <w:rFonts w:hint="eastAsia" w:ascii="黑体" w:eastAsia="黑体"/>
          <w:sz w:val="32"/>
          <w:szCs w:val="32"/>
        </w:rPr>
        <w:t>）</w:t>
      </w:r>
    </w:p>
    <w:p w14:paraId="10FEE6F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640" w:firstLineChars="200"/>
        <w:textAlignment w:val="auto"/>
        <w:rPr>
          <w:rFonts w:ascii="黑体" w:hAnsi="黑体" w:eastAsia="黑体"/>
          <w:color w:val="000000"/>
          <w:sz w:val="32"/>
          <w:szCs w:val="32"/>
        </w:rPr>
      </w:pPr>
      <w:r>
        <w:rPr>
          <w:rFonts w:hint="eastAsia" w:ascii="黑体" w:eastAsia="黑体"/>
          <w:color w:val="000000"/>
          <w:sz w:val="32"/>
          <w:szCs w:val="32"/>
        </w:rPr>
        <w:t xml:space="preserve">         </w:t>
      </w:r>
      <w:r>
        <w:rPr>
          <w:rFonts w:hint="eastAsia" w:ascii="黑体" w:hAnsi="黑体" w:eastAsia="黑体"/>
          <w:color w:val="000000"/>
          <w:sz w:val="32"/>
          <w:szCs w:val="32"/>
        </w:rPr>
        <w:t>乙  方：</w:t>
      </w:r>
    </w:p>
    <w:p w14:paraId="606C5BF9">
      <w:pPr>
        <w:keepNext w:val="0"/>
        <w:keepLines w:val="0"/>
        <w:pageBreakBefore w:val="0"/>
        <w:widowControl w:val="0"/>
        <w:kinsoku/>
        <w:wordWrap/>
        <w:overflowPunct/>
        <w:topLinePunct w:val="0"/>
        <w:autoSpaceDE/>
        <w:autoSpaceDN/>
        <w:bidi w:val="0"/>
        <w:adjustRightInd/>
        <w:snapToGrid/>
        <w:spacing w:line="578" w:lineRule="exact"/>
        <w:textAlignment w:val="auto"/>
        <w:rPr>
          <w:rFonts w:ascii="黑体" w:eastAsia="黑体"/>
          <w:color w:val="000000"/>
          <w:sz w:val="32"/>
          <w:szCs w:val="32"/>
        </w:rPr>
      </w:pPr>
      <w:r>
        <w:rPr>
          <w:rFonts w:hint="eastAsia" w:ascii="黑体" w:eastAsia="黑体"/>
          <w:color w:val="000000"/>
          <w:sz w:val="32"/>
          <w:szCs w:val="32"/>
        </w:rPr>
        <w:t xml:space="preserve">             </w:t>
      </w:r>
      <w:r>
        <w:rPr>
          <w:rFonts w:hint="eastAsia" w:ascii="宋体" w:hAnsi="宋体"/>
          <w:b/>
          <w:color w:val="000000"/>
          <w:sz w:val="32"/>
          <w:szCs w:val="21"/>
        </w:rPr>
        <w:t>鉴证</w:t>
      </w:r>
      <w:r>
        <w:rPr>
          <w:rFonts w:hint="eastAsia" w:ascii="黑体" w:eastAsia="黑体"/>
          <w:color w:val="000000"/>
          <w:sz w:val="32"/>
          <w:szCs w:val="32"/>
        </w:rPr>
        <w:t>方：</w:t>
      </w:r>
    </w:p>
    <w:p w14:paraId="405CCA51">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黑体" w:eastAsia="黑体"/>
          <w:sz w:val="30"/>
          <w:szCs w:val="30"/>
        </w:rPr>
      </w:pPr>
    </w:p>
    <w:p w14:paraId="35BF5406">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黑体" w:eastAsia="黑体"/>
          <w:sz w:val="30"/>
          <w:szCs w:val="30"/>
        </w:rPr>
      </w:pPr>
    </w:p>
    <w:p w14:paraId="64E7DA1A">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黑体" w:eastAsia="黑体"/>
          <w:sz w:val="30"/>
          <w:szCs w:val="30"/>
        </w:rPr>
      </w:pPr>
    </w:p>
    <w:p w14:paraId="02D43CFD">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黑体" w:eastAsia="黑体"/>
          <w:sz w:val="32"/>
          <w:szCs w:val="32"/>
          <w:u w:val="single"/>
        </w:rPr>
      </w:pPr>
      <w:r>
        <w:rPr>
          <w:rFonts w:hint="eastAsia" w:ascii="黑体" w:eastAsia="黑体"/>
          <w:sz w:val="32"/>
          <w:szCs w:val="32"/>
        </w:rPr>
        <w:t xml:space="preserve">202 </w:t>
      </w:r>
      <w:r>
        <w:rPr>
          <w:rFonts w:hint="eastAsia" w:ascii="黑体" w:eastAsia="黑体"/>
          <w:sz w:val="32"/>
          <w:szCs w:val="32"/>
          <w:lang w:val="en-US" w:eastAsia="zh-CN"/>
        </w:rPr>
        <w:t xml:space="preserve"> </w:t>
      </w:r>
      <w:r>
        <w:rPr>
          <w:rFonts w:hint="eastAsia" w:ascii="黑体" w:eastAsia="黑体"/>
          <w:sz w:val="32"/>
          <w:szCs w:val="32"/>
        </w:rPr>
        <w:t>年</w:t>
      </w:r>
      <w:r>
        <w:rPr>
          <w:rFonts w:hint="eastAsia" w:ascii="黑体" w:eastAsia="黑体"/>
          <w:sz w:val="32"/>
          <w:szCs w:val="32"/>
          <w:lang w:val="en-US" w:eastAsia="zh-CN"/>
        </w:rPr>
        <w:t xml:space="preserve"> </w:t>
      </w:r>
      <w:r>
        <w:rPr>
          <w:rFonts w:hint="eastAsia" w:ascii="黑体" w:eastAsia="黑体"/>
          <w:sz w:val="32"/>
          <w:szCs w:val="32"/>
        </w:rPr>
        <w:t xml:space="preserve"> 月</w:t>
      </w:r>
    </w:p>
    <w:p w14:paraId="0CF913EE">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eastAsia="黑体"/>
          <w:sz w:val="32"/>
          <w:szCs w:val="32"/>
        </w:rPr>
      </w:pPr>
      <w:r>
        <w:rPr>
          <w:rFonts w:hint="eastAsia" w:ascii="黑体" w:eastAsia="黑体"/>
          <w:sz w:val="32"/>
          <w:szCs w:val="32"/>
        </w:rPr>
        <w:t>中国  西安</w:t>
      </w:r>
    </w:p>
    <w:p w14:paraId="3F8480A7">
      <w:pPr>
        <w:rPr>
          <w:rFonts w:hint="eastAsia" w:ascii="黑体" w:eastAsia="黑体"/>
          <w:sz w:val="32"/>
          <w:szCs w:val="32"/>
        </w:rPr>
      </w:pPr>
      <w:r>
        <w:rPr>
          <w:rFonts w:hint="eastAsia" w:ascii="黑体" w:eastAsia="黑体"/>
          <w:sz w:val="32"/>
          <w:szCs w:val="32"/>
        </w:rPr>
        <w:br w:type="page"/>
      </w:r>
    </w:p>
    <w:p w14:paraId="622C1B0F">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黑体" w:eastAsia="黑体"/>
          <w:sz w:val="32"/>
          <w:szCs w:val="32"/>
        </w:rPr>
      </w:pPr>
    </w:p>
    <w:p w14:paraId="43D422BE">
      <w:pPr>
        <w:rPr>
          <w:rFonts w:hint="eastAsia" w:ascii="黑体" w:eastAsia="黑体"/>
          <w:sz w:val="32"/>
          <w:szCs w:val="32"/>
        </w:rPr>
      </w:pPr>
      <w:r>
        <w:rPr>
          <w:rFonts w:hint="eastAsia" w:ascii="黑体" w:eastAsia="黑体"/>
          <w:sz w:val="32"/>
          <w:szCs w:val="32"/>
        </w:rPr>
        <w:br w:type="page"/>
      </w:r>
    </w:p>
    <w:p w14:paraId="5762A67E">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服 务 合 同</w:t>
      </w:r>
    </w:p>
    <w:p w14:paraId="2272ED5B">
      <w:pPr>
        <w:keepNext w:val="0"/>
        <w:keepLines w:val="0"/>
        <w:pageBreakBefore w:val="0"/>
        <w:widowControl w:val="0"/>
        <w:tabs>
          <w:tab w:val="left" w:pos="480"/>
        </w:tabs>
        <w:kinsoku/>
        <w:wordWrap/>
        <w:overflowPunct/>
        <w:topLinePunct w:val="0"/>
        <w:autoSpaceDE/>
        <w:autoSpaceDN/>
        <w:bidi w:val="0"/>
        <w:adjustRightInd/>
        <w:snapToGrid/>
        <w:spacing w:line="578"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甲方：西安市人民医院（西安市第四医院）</w:t>
      </w:r>
    </w:p>
    <w:p w14:paraId="48BCC093">
      <w:pPr>
        <w:keepNext w:val="0"/>
        <w:keepLines w:val="0"/>
        <w:pageBreakBefore w:val="0"/>
        <w:widowControl w:val="0"/>
        <w:tabs>
          <w:tab w:val="left" w:pos="480"/>
        </w:tabs>
        <w:kinsoku/>
        <w:wordWrap/>
        <w:overflowPunct/>
        <w:topLinePunct w:val="0"/>
        <w:autoSpaceDE/>
        <w:autoSpaceDN/>
        <w:bidi w:val="0"/>
        <w:adjustRightInd/>
        <w:snapToGrid/>
        <w:spacing w:line="578"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乙方：</w:t>
      </w:r>
    </w:p>
    <w:p w14:paraId="1922AFF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lang w:val="en-US" w:eastAsia="zh-CN"/>
        </w:rPr>
        <w:t>就</w:t>
      </w:r>
      <w:r>
        <w:rPr>
          <w:rFonts w:hint="eastAsia" w:ascii="仿宋_GB2312" w:hAnsi="仿宋_GB2312" w:eastAsia="仿宋_GB2312" w:cs="仿宋_GB2312"/>
          <w:sz w:val="28"/>
          <w:szCs w:val="28"/>
        </w:rPr>
        <w:t>所需服务，按照采购程序组织公开招标，确定乙方为中标供应商。依据《中华人民共和国招标投标法》及实施条例、《中华人民共和国政府采购法》及实施条例、《中华人民共和国民法典》、中标供应商投标文件正本、中标通知书，经甲、乙双方协商确认，达成如下条款。</w:t>
      </w:r>
    </w:p>
    <w:p w14:paraId="6F8DD96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一、合同标的物内容及数量</w:t>
      </w:r>
    </w:p>
    <w:tbl>
      <w:tblPr>
        <w:tblStyle w:val="3"/>
        <w:tblW w:w="88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4506"/>
        <w:gridCol w:w="811"/>
        <w:gridCol w:w="2475"/>
      </w:tblGrid>
      <w:tr w14:paraId="6751F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59" w:type="dxa"/>
            <w:noWrap w:val="0"/>
            <w:vAlign w:val="center"/>
          </w:tcPr>
          <w:p w14:paraId="47F97E9F">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4506" w:type="dxa"/>
            <w:noWrap w:val="0"/>
            <w:vAlign w:val="center"/>
          </w:tcPr>
          <w:p w14:paraId="6A772E0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811" w:type="dxa"/>
            <w:noWrap w:val="0"/>
            <w:vAlign w:val="center"/>
          </w:tcPr>
          <w:p w14:paraId="79C318F5">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数量</w:t>
            </w:r>
          </w:p>
        </w:tc>
        <w:tc>
          <w:tcPr>
            <w:tcW w:w="2475" w:type="dxa"/>
            <w:noWrap w:val="0"/>
            <w:vAlign w:val="center"/>
          </w:tcPr>
          <w:p w14:paraId="698DE6EF">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金额合计（小写）</w:t>
            </w:r>
          </w:p>
        </w:tc>
      </w:tr>
      <w:tr w14:paraId="24A74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59" w:type="dxa"/>
            <w:noWrap w:val="0"/>
            <w:vAlign w:val="center"/>
          </w:tcPr>
          <w:p w14:paraId="57BF0F62">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1</w:t>
            </w:r>
          </w:p>
        </w:tc>
        <w:tc>
          <w:tcPr>
            <w:tcW w:w="4506" w:type="dxa"/>
            <w:noWrap w:val="0"/>
            <w:vAlign w:val="center"/>
          </w:tcPr>
          <w:p w14:paraId="5084E95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jc w:val="center"/>
              <w:textAlignment w:val="auto"/>
              <w:rPr>
                <w:rFonts w:ascii="仿宋_GB2312" w:hAnsi="仿宋_GB2312" w:eastAsia="仿宋_GB2312" w:cs="仿宋_GB2312"/>
                <w:szCs w:val="21"/>
              </w:rPr>
            </w:pPr>
          </w:p>
        </w:tc>
        <w:tc>
          <w:tcPr>
            <w:tcW w:w="811" w:type="dxa"/>
            <w:noWrap w:val="0"/>
            <w:vAlign w:val="center"/>
          </w:tcPr>
          <w:p w14:paraId="787448AE">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1项</w:t>
            </w:r>
          </w:p>
        </w:tc>
        <w:tc>
          <w:tcPr>
            <w:tcW w:w="2475" w:type="dxa"/>
            <w:noWrap w:val="0"/>
            <w:vAlign w:val="center"/>
          </w:tcPr>
          <w:p w14:paraId="62D685D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元</w:t>
            </w:r>
          </w:p>
        </w:tc>
      </w:tr>
      <w:tr w14:paraId="25283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8851" w:type="dxa"/>
            <w:gridSpan w:val="4"/>
            <w:noWrap w:val="0"/>
            <w:vAlign w:val="center"/>
          </w:tcPr>
          <w:p w14:paraId="1750CC8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合同金额人民币（大写）：       元整（￥           ）</w:t>
            </w:r>
          </w:p>
        </w:tc>
      </w:tr>
    </w:tbl>
    <w:p w14:paraId="3A5444D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二、明细报价表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2875"/>
        <w:gridCol w:w="1757"/>
        <w:gridCol w:w="851"/>
        <w:gridCol w:w="1209"/>
        <w:gridCol w:w="1209"/>
      </w:tblGrid>
      <w:tr w14:paraId="77565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6B73A9D3">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875" w:type="dxa"/>
            <w:noWrap w:val="0"/>
            <w:vAlign w:val="center"/>
          </w:tcPr>
          <w:p w14:paraId="2D3A74B2">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模块</w:t>
            </w:r>
          </w:p>
        </w:tc>
        <w:tc>
          <w:tcPr>
            <w:tcW w:w="1757" w:type="dxa"/>
            <w:noWrap w:val="0"/>
            <w:vAlign w:val="center"/>
          </w:tcPr>
          <w:p w14:paraId="384BC475">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功能</w:t>
            </w:r>
          </w:p>
        </w:tc>
        <w:tc>
          <w:tcPr>
            <w:tcW w:w="851" w:type="dxa"/>
            <w:noWrap w:val="0"/>
            <w:vAlign w:val="center"/>
          </w:tcPr>
          <w:p w14:paraId="785113AA">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数量</w:t>
            </w:r>
          </w:p>
        </w:tc>
        <w:tc>
          <w:tcPr>
            <w:tcW w:w="1209" w:type="dxa"/>
            <w:noWrap w:val="0"/>
            <w:vAlign w:val="top"/>
          </w:tcPr>
          <w:p w14:paraId="4FCA6C06">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单价（元）</w:t>
            </w:r>
          </w:p>
        </w:tc>
        <w:tc>
          <w:tcPr>
            <w:tcW w:w="1209" w:type="dxa"/>
            <w:noWrap w:val="0"/>
            <w:vAlign w:val="center"/>
          </w:tcPr>
          <w:p w14:paraId="50E5AA4A">
            <w:pPr>
              <w:keepNext w:val="0"/>
              <w:keepLines w:val="0"/>
              <w:pageBreakBefore w:val="0"/>
              <w:widowControl w:val="0"/>
              <w:tabs>
                <w:tab w:val="left" w:pos="480"/>
              </w:tabs>
              <w:kinsoku/>
              <w:wordWrap/>
              <w:overflowPunct/>
              <w:topLinePunct w:val="0"/>
              <w:autoSpaceDE/>
              <w:autoSpaceDN/>
              <w:bidi w:val="0"/>
              <w:adjustRightInd/>
              <w:snapToGrid/>
              <w:spacing w:line="578" w:lineRule="exact"/>
              <w:jc w:val="center"/>
              <w:textAlignment w:val="auto"/>
              <w:rPr>
                <w:rFonts w:ascii="仿宋_GB2312" w:hAnsi="仿宋_GB2312" w:eastAsia="仿宋_GB2312" w:cs="仿宋_GB2312"/>
                <w:szCs w:val="21"/>
              </w:rPr>
            </w:pPr>
            <w:r>
              <w:rPr>
                <w:rFonts w:hint="eastAsia" w:ascii="仿宋_GB2312" w:hAnsi="仿宋_GB2312" w:eastAsia="仿宋_GB2312" w:cs="仿宋_GB2312"/>
                <w:szCs w:val="21"/>
              </w:rPr>
              <w:t>合计（元）</w:t>
            </w:r>
          </w:p>
        </w:tc>
      </w:tr>
      <w:tr w14:paraId="449D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113DE4A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2875" w:type="dxa"/>
            <w:noWrap w:val="0"/>
            <w:vAlign w:val="center"/>
          </w:tcPr>
          <w:p w14:paraId="03BF762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757" w:type="dxa"/>
            <w:noWrap w:val="0"/>
            <w:vAlign w:val="center"/>
          </w:tcPr>
          <w:p w14:paraId="6AD5DC8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851" w:type="dxa"/>
            <w:noWrap w:val="0"/>
            <w:vAlign w:val="center"/>
          </w:tcPr>
          <w:p w14:paraId="78E74D7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top"/>
          </w:tcPr>
          <w:p w14:paraId="60A9D65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center"/>
          </w:tcPr>
          <w:p w14:paraId="69518F3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r>
      <w:tr w14:paraId="1A908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20EAEE4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2875" w:type="dxa"/>
            <w:noWrap w:val="0"/>
            <w:vAlign w:val="center"/>
          </w:tcPr>
          <w:p w14:paraId="79CC9C2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757" w:type="dxa"/>
            <w:noWrap w:val="0"/>
            <w:vAlign w:val="center"/>
          </w:tcPr>
          <w:p w14:paraId="6A337FA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851" w:type="dxa"/>
            <w:noWrap w:val="0"/>
            <w:vAlign w:val="center"/>
          </w:tcPr>
          <w:p w14:paraId="347AB3D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top"/>
          </w:tcPr>
          <w:p w14:paraId="480C42A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center"/>
          </w:tcPr>
          <w:p w14:paraId="7BD7F36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r>
      <w:tr w14:paraId="4EBFE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7B1BD30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2875" w:type="dxa"/>
            <w:noWrap w:val="0"/>
            <w:vAlign w:val="center"/>
          </w:tcPr>
          <w:p w14:paraId="375EF45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757" w:type="dxa"/>
            <w:noWrap w:val="0"/>
            <w:vAlign w:val="center"/>
          </w:tcPr>
          <w:p w14:paraId="1DC995F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851" w:type="dxa"/>
            <w:noWrap w:val="0"/>
            <w:vAlign w:val="center"/>
          </w:tcPr>
          <w:p w14:paraId="736D940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top"/>
          </w:tcPr>
          <w:p w14:paraId="2B6A0D5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center"/>
          </w:tcPr>
          <w:p w14:paraId="6EA3E19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r>
      <w:tr w14:paraId="3AE4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7D006EC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2875" w:type="dxa"/>
            <w:noWrap w:val="0"/>
            <w:vAlign w:val="center"/>
          </w:tcPr>
          <w:p w14:paraId="33B1F35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757" w:type="dxa"/>
            <w:noWrap w:val="0"/>
            <w:vAlign w:val="center"/>
          </w:tcPr>
          <w:p w14:paraId="6316598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851" w:type="dxa"/>
            <w:noWrap w:val="0"/>
            <w:vAlign w:val="center"/>
          </w:tcPr>
          <w:p w14:paraId="26C862F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top"/>
          </w:tcPr>
          <w:p w14:paraId="10088D4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center"/>
          </w:tcPr>
          <w:p w14:paraId="4AC96E3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r>
      <w:tr w14:paraId="010D3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3BB8368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2875" w:type="dxa"/>
            <w:noWrap w:val="0"/>
            <w:vAlign w:val="center"/>
          </w:tcPr>
          <w:p w14:paraId="204E491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757" w:type="dxa"/>
            <w:noWrap w:val="0"/>
            <w:vAlign w:val="center"/>
          </w:tcPr>
          <w:p w14:paraId="7F0F03B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851" w:type="dxa"/>
            <w:noWrap w:val="0"/>
            <w:vAlign w:val="center"/>
          </w:tcPr>
          <w:p w14:paraId="0F9CC26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top"/>
          </w:tcPr>
          <w:p w14:paraId="627D670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center"/>
          </w:tcPr>
          <w:p w14:paraId="40313F1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r>
      <w:tr w14:paraId="344A8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1DDCE06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2875" w:type="dxa"/>
            <w:noWrap w:val="0"/>
            <w:vAlign w:val="center"/>
          </w:tcPr>
          <w:p w14:paraId="3F8AA71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757" w:type="dxa"/>
            <w:noWrap w:val="0"/>
            <w:vAlign w:val="center"/>
          </w:tcPr>
          <w:p w14:paraId="3E3038C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851" w:type="dxa"/>
            <w:noWrap w:val="0"/>
            <w:vAlign w:val="center"/>
          </w:tcPr>
          <w:p w14:paraId="06A7BB5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top"/>
          </w:tcPr>
          <w:p w14:paraId="71DBD61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center"/>
          </w:tcPr>
          <w:p w14:paraId="37C0F80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r>
      <w:tr w14:paraId="4D510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noWrap w:val="0"/>
            <w:vAlign w:val="center"/>
          </w:tcPr>
          <w:p w14:paraId="0464506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2875" w:type="dxa"/>
            <w:noWrap w:val="0"/>
            <w:vAlign w:val="center"/>
          </w:tcPr>
          <w:p w14:paraId="54A2A26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757" w:type="dxa"/>
            <w:noWrap w:val="0"/>
            <w:vAlign w:val="center"/>
          </w:tcPr>
          <w:p w14:paraId="62A5BEA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851" w:type="dxa"/>
            <w:noWrap w:val="0"/>
            <w:vAlign w:val="center"/>
          </w:tcPr>
          <w:p w14:paraId="24F4DD7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top"/>
          </w:tcPr>
          <w:p w14:paraId="3BA3751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c>
          <w:tcPr>
            <w:tcW w:w="1209" w:type="dxa"/>
            <w:noWrap w:val="0"/>
            <w:vAlign w:val="center"/>
          </w:tcPr>
          <w:p w14:paraId="0133327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420" w:firstLineChars="200"/>
              <w:textAlignment w:val="auto"/>
              <w:rPr>
                <w:rFonts w:ascii="仿宋_GB2312" w:hAnsi="仿宋_GB2312" w:eastAsia="仿宋_GB2312" w:cs="仿宋_GB2312"/>
                <w:szCs w:val="21"/>
              </w:rPr>
            </w:pPr>
          </w:p>
        </w:tc>
      </w:tr>
    </w:tbl>
    <w:p w14:paraId="6EF94CA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三、质保期</w:t>
      </w:r>
    </w:p>
    <w:p w14:paraId="6542CD8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从验收合格之日算起，整体项目免费提供X年质保。（质保期内乙方免费协助医院设备搬迁、系统调整、优化、故障排查、重装系统等相关工作。）</w:t>
      </w:r>
    </w:p>
    <w:p w14:paraId="4362752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四、实施条件</w:t>
      </w:r>
    </w:p>
    <w:p w14:paraId="48D59FC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（一）实施地点：甲方指定地点</w:t>
      </w:r>
    </w:p>
    <w:p w14:paraId="52C5E16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（二）交付期：自合同签订之日起X个日历日内完成全部项目实施、确保软件能够正</w:t>
      </w:r>
      <w:r>
        <w:rPr>
          <w:rFonts w:hint="eastAsia" w:ascii="仿宋_GB2312" w:hAnsi="仿宋_GB2312" w:eastAsia="仿宋_GB2312" w:cs="仿宋_GB2312"/>
          <w:color w:val="auto"/>
          <w:sz w:val="28"/>
          <w:szCs w:val="28"/>
        </w:rPr>
        <w:t>常使用并</w:t>
      </w:r>
      <w:r>
        <w:rPr>
          <w:rFonts w:hint="eastAsia" w:ascii="仿宋_GB2312" w:hAnsi="仿宋_GB2312" w:eastAsia="仿宋_GB2312" w:cs="仿宋_GB2312"/>
          <w:color w:val="auto"/>
          <w:sz w:val="28"/>
          <w:szCs w:val="28"/>
          <w:lang w:val="en-US" w:eastAsia="zh-CN"/>
        </w:rPr>
        <w:t>交付</w:t>
      </w:r>
      <w:r>
        <w:rPr>
          <w:rFonts w:hint="eastAsia" w:ascii="仿宋_GB2312" w:hAnsi="仿宋_GB2312" w:eastAsia="仿宋_GB2312" w:cs="仿宋_GB2312"/>
          <w:color w:val="auto"/>
          <w:sz w:val="28"/>
          <w:szCs w:val="28"/>
        </w:rPr>
        <w:t>甲方，</w:t>
      </w:r>
      <w:r>
        <w:rPr>
          <w:rFonts w:hint="eastAsia" w:ascii="仿宋_GB2312" w:hAnsi="仿宋_GB2312" w:eastAsia="仿宋_GB2312" w:cs="仿宋_GB2312"/>
          <w:color w:val="auto"/>
          <w:sz w:val="28"/>
          <w:szCs w:val="28"/>
          <w:lang w:val="en-US" w:eastAsia="zh-CN"/>
        </w:rPr>
        <w:t>不得延期。</w:t>
      </w:r>
      <w:r>
        <w:rPr>
          <w:rFonts w:hint="eastAsia" w:ascii="仿宋_GB2312" w:hAnsi="仿宋_GB2312" w:eastAsia="仿宋_GB2312" w:cs="仿宋_GB2312"/>
          <w:color w:val="auto"/>
          <w:sz w:val="28"/>
          <w:szCs w:val="28"/>
        </w:rPr>
        <w:t>否则，每推迟一天扣合同总价的</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/天作为违约金 ，累计超过X天的，视为乙方根本违约，乙方应按照合同总价的</w:t>
      </w:r>
      <w:r>
        <w:rPr>
          <w:rFonts w:hint="eastAsia" w:ascii="仿宋_GB2312" w:hAnsi="仿宋_GB2312" w:eastAsia="仿宋_GB2312" w:cs="仿宋_GB2312"/>
          <w:color w:val="auto"/>
          <w:sz w:val="28"/>
          <w:szCs w:val="28"/>
          <w:lang w:val="en-US" w:eastAsia="zh-CN"/>
        </w:rPr>
        <w:t>30</w:t>
      </w:r>
      <w:r>
        <w:rPr>
          <w:rFonts w:hint="eastAsia" w:ascii="仿宋_GB2312" w:hAnsi="仿宋_GB2312" w:eastAsia="仿宋_GB2312" w:cs="仿宋_GB2312"/>
          <w:color w:val="auto"/>
          <w:sz w:val="28"/>
          <w:szCs w:val="28"/>
        </w:rPr>
        <w:t>%支付违</w:t>
      </w:r>
      <w:r>
        <w:rPr>
          <w:rFonts w:hint="eastAsia" w:ascii="仿宋_GB2312" w:hAnsi="仿宋_GB2312" w:eastAsia="仿宋_GB2312" w:cs="仿宋_GB2312"/>
          <w:sz w:val="28"/>
          <w:szCs w:val="28"/>
        </w:rPr>
        <w:t>约金，若违约金不足以弥补甲方全部损失全部损失（包括但不限于重新采购产生的费用、合同未履行导致产品不能按规划交付使用及其它由此造成的甲方对第三方的违约损失），由乙方另行支付。</w:t>
      </w:r>
    </w:p>
    <w:p w14:paraId="5913606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五、合同价款</w:t>
      </w:r>
    </w:p>
    <w:p w14:paraId="3633A68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（一）合同总价款人民币（大写）：               元整 （￥             ）</w:t>
      </w:r>
    </w:p>
    <w:p w14:paraId="659B70B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（二）合同总价包括：软硬件供应费、运杂费、安装费、备件费、连接线、人工费、检测费、调试费、验收、税费、发票等</w:t>
      </w:r>
      <w:r>
        <w:rPr>
          <w:rFonts w:hint="eastAsia" w:ascii="仿宋_GB2312" w:hAnsi="仿宋" w:eastAsia="仿宋_GB2312" w:cs="仿宋_GB2312"/>
          <w:bCs/>
          <w:sz w:val="28"/>
          <w:szCs w:val="28"/>
        </w:rPr>
        <w:t>其它乙方履行合同义务所需的全部</w:t>
      </w:r>
      <w:r>
        <w:rPr>
          <w:rFonts w:hint="eastAsia" w:ascii="仿宋_GB2312" w:hAnsi="仿宋_GB2312" w:eastAsia="仿宋_GB2312" w:cs="仿宋_GB2312"/>
          <w:sz w:val="28"/>
          <w:szCs w:val="28"/>
        </w:rPr>
        <w:t>费用。</w:t>
      </w:r>
    </w:p>
    <w:p w14:paraId="42708C4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（三）合同金额一次性包死，不受市场价格变化等因素的影响，达到“交钥匙”项目目的。</w:t>
      </w:r>
    </w:p>
    <w:p w14:paraId="3DFAAF2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六、款项结算：</w:t>
      </w:r>
    </w:p>
    <w:p w14:paraId="53414FA8">
      <w:pPr>
        <w:pStyle w:val="6"/>
        <w:keepNext w:val="0"/>
        <w:keepLines w:val="0"/>
        <w:pageBreakBefore w:val="0"/>
        <w:widowControl/>
        <w:kinsoku/>
        <w:wordWrap/>
        <w:overflowPunct/>
        <w:topLinePunct w:val="0"/>
        <w:autoSpaceDE/>
        <w:autoSpaceDN/>
        <w:bidi w:val="0"/>
        <w:adjustRightInd/>
        <w:snapToGrid/>
        <w:spacing w:line="500" w:lineRule="exact"/>
        <w:ind w:firstLine="560" w:firstLineChars="200"/>
        <w:jc w:val="both"/>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（一）合同签订后，甲方支付合同总金额的40%款项作为预付款。所有项目按照甲方指定地点，实施、调试完成，平稳运行</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个月后组织验收。验收合格后，自乙方前往甲方办理资金结算之日起，10个工作日内支付合同总金额的</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0%，即人民币（大写）：               元整 （￥             ）。自验收合格之日起满</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年，经二次验收合格，自乙方前往甲方办理资金结算之日起，10个工作日内支付合同总金额的10%，即人民币（大写）：               元整 （￥             ）。</w:t>
      </w:r>
    </w:p>
    <w:p w14:paraId="3A3A962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（二）支付方式：银行转账。</w:t>
      </w:r>
    </w:p>
    <w:p w14:paraId="7B5097F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乙方确认以下信息为收款信息：</w:t>
      </w:r>
    </w:p>
    <w:p w14:paraId="3F7CE9D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开户名：</w:t>
      </w:r>
    </w:p>
    <w:p w14:paraId="4AB493F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开户行：</w:t>
      </w:r>
    </w:p>
    <w:p w14:paraId="3C17C70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银行账号：</w:t>
      </w:r>
    </w:p>
    <w:p w14:paraId="610B2B2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）结算方式：验收合格后乙方填写项目验收单（一式</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份），发票按合同总价直开甲方，乙方持服务合同、发票、项目验收单，与甲方结算。乙方延期提供发票或提供的发票不符合甲方要求的，甲方有权顺延付款期限，且不承担任何责任。</w:t>
      </w:r>
    </w:p>
    <w:p w14:paraId="24D1F4F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七、双方的权利和义务</w:t>
      </w:r>
    </w:p>
    <w:p w14:paraId="6418C98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（一）甲方的权利和义务</w:t>
      </w:r>
    </w:p>
    <w:p w14:paraId="418A0C1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1、甲方保证提供给乙方的资料、信息内容合法，不侵犯第三方的合法权益。</w:t>
      </w:r>
    </w:p>
    <w:p w14:paraId="35F25F4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2、甲方使用乙方的产品产生的数据归属于甲方。</w:t>
      </w:r>
    </w:p>
    <w:p w14:paraId="324B031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（二）乙方的权利和义务</w:t>
      </w:r>
    </w:p>
    <w:p w14:paraId="71BC76D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1、乙方保证在本项目设计、实施过程中，不侵犯第三方的合法权益。如因乙方原因致使甲方遭受第三方追诉的，乙方应承担由此给甲方造成的全部损失</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包括但不限于甲方因维权产生的诉讼费、公证费、保全费以及律师费等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，并按本合同第十三条违约责任第（二）款承担违约责任。</w:t>
      </w:r>
    </w:p>
    <w:p w14:paraId="328715B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2、乙方按照本合同约定在履行系统维护和技术服务的过程中，不允许利用甲方提供的工作条件和相关资料进行与本项目无关的工作。如因乙方原因致使甲方遭受经济损失及法律追诉的，由乙方承担一切责任</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包括但不限于甲方因维权产生的诉讼费、公证费、保全费以及律师费等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。乙方应该向甲方公开数据字典和数据结构，便于甲方灵活调取、统计。</w:t>
      </w:r>
    </w:p>
    <w:p w14:paraId="744FF15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乙方保证不将因履行本协议而获得的甲方数据用作履行本协议以外的其他用途。所有乙方因履行本协议而获取的甲方数据、文档、信息（包括但不限于甲方经营信息、患者信息）等，其所有权均归甲方所有，若乙方泄露甲方数据或将甲方数据用作履行本协议以外的其他用途的，应视为乙方违约，乙方应赔偿由此给甲方造成的全部损失，并按本合同第十三条违约责任第（二）款承担违约责任。本合同的终止、解除不影响本条款的效力。</w:t>
      </w:r>
    </w:p>
    <w:p w14:paraId="28066CD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4.在实施本项目经营管理时，需符合国家相关的政策法规；应无条件执行国家、地方政府、行业协会最新颁布的标准和条例；必须符合甲方有关部门和科室的工作时间和工作要求。</w:t>
      </w:r>
    </w:p>
    <w:p w14:paraId="4D70619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en-US" w:eastAsia="zh-CN"/>
        </w:rPr>
        <w:t>5</w:t>
      </w:r>
      <w:r>
        <w:rPr>
          <w:rFonts w:hint="eastAsia" w:ascii="仿宋_GB2312" w:hAnsi="仿宋_GB2312" w:eastAsia="仿宋_GB2312" w:cs="仿宋_GB2312"/>
          <w:bCs/>
          <w:sz w:val="28"/>
          <w:szCs w:val="28"/>
        </w:rPr>
        <w:t>.服务期间如因乙方过失或技术、设备、操作等发生意外事故，导致乙方、甲方或其他第三方人身、财产等损失，均由乙方承担全部责任</w:t>
      </w:r>
      <w:r>
        <w:rPr>
          <w:rFonts w:hint="eastAsia" w:ascii="仿宋_GB2312" w:hAnsi="仿宋" w:eastAsia="仿宋_GB2312" w:cs="仿宋_GB2312"/>
          <w:bCs/>
          <w:color w:val="auto"/>
          <w:kern w:val="36"/>
          <w:sz w:val="28"/>
          <w:szCs w:val="28"/>
          <w:highlight w:val="none"/>
        </w:rPr>
        <w:t>，若</w:t>
      </w:r>
      <w:r>
        <w:rPr>
          <w:rFonts w:hint="eastAsia" w:ascii="仿宋_GB2312" w:hAnsi="仿宋_GB2312" w:eastAsia="仿宋_GB2312" w:cs="仿宋_GB2312"/>
          <w:bCs/>
          <w:sz w:val="28"/>
          <w:szCs w:val="28"/>
        </w:rPr>
        <w:t>因此还造成甲方损失的，乙方应承担全部损失（包括但不限于甲方因维权产生的诉讼费、公证费、保全费以及律师费等）。</w:t>
      </w:r>
    </w:p>
    <w:p w14:paraId="6BFD351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en-US" w:eastAsia="zh-CN"/>
        </w:rPr>
        <w:t>6.</w:t>
      </w:r>
      <w:r>
        <w:rPr>
          <w:rFonts w:hint="eastAsia" w:ascii="仿宋_GB2312" w:hAnsi="仿宋_GB2312" w:eastAsia="仿宋_GB2312" w:cs="仿宋_GB2312"/>
          <w:bCs/>
          <w:sz w:val="28"/>
          <w:szCs w:val="28"/>
        </w:rPr>
        <w:t>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p>
    <w:p w14:paraId="1277296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八、运输</w:t>
      </w:r>
    </w:p>
    <w:p w14:paraId="1722F8B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（一）运输由乙方负责，运杂费已包含在合同总价内，包括从货物供应地点所含的运输费、装卸费、仓储费、保险费等</w:t>
      </w:r>
      <w:r>
        <w:rPr>
          <w:rFonts w:hint="eastAsia" w:ascii="仿宋_GB2312" w:hAnsi="仿宋_GB2312" w:eastAsia="仿宋_GB2312" w:cs="仿宋_GB2312"/>
          <w:sz w:val="28"/>
          <w:szCs w:val="28"/>
          <w:lang w:val="en-US" w:eastAsia="zh-CN"/>
        </w:rPr>
        <w:t>全部费用</w:t>
      </w:r>
      <w:r>
        <w:rPr>
          <w:rFonts w:hint="eastAsia" w:ascii="仿宋_GB2312" w:hAnsi="仿宋_GB2312" w:eastAsia="仿宋_GB2312" w:cs="仿宋_GB2312"/>
          <w:sz w:val="28"/>
          <w:szCs w:val="28"/>
        </w:rPr>
        <w:t>。</w:t>
      </w:r>
    </w:p>
    <w:p w14:paraId="27F598D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（二）运输方式由乙方自行选择，但必须保证按期交付。</w:t>
      </w:r>
    </w:p>
    <w:p w14:paraId="74C87AF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 w:eastAsia="仿宋_GB2312" w:cs="仿宋_GB2312"/>
          <w:bCs/>
          <w:kern w:val="36"/>
          <w:sz w:val="28"/>
          <w:szCs w:val="28"/>
        </w:rPr>
      </w:pPr>
      <w:r>
        <w:rPr>
          <w:rFonts w:hint="eastAsia" w:ascii="仿宋_GB2312" w:hAnsi="仿宋" w:eastAsia="仿宋_GB2312" w:cs="仿宋_GB2312"/>
          <w:bCs/>
          <w:kern w:val="36"/>
          <w:sz w:val="28"/>
          <w:szCs w:val="28"/>
        </w:rPr>
        <w:t>（三）货物验收合格前产生的一切毁损、灭失的风险及质量问题均由乙方承担。</w:t>
      </w:r>
    </w:p>
    <w:p w14:paraId="16F2ADD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九、质量保证</w:t>
      </w:r>
    </w:p>
    <w:p w14:paraId="4F334F2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（一）保证技术指标先进、质量性能可靠、进货渠道正常、功能齐全、配置合理，全面满足甲方技术要求。</w:t>
      </w:r>
    </w:p>
    <w:p w14:paraId="6225919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（二）符合国家有关规范要求，确保达到最佳运行状态。</w:t>
      </w:r>
    </w:p>
    <w:p w14:paraId="0D24F50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（三）乙方提供的产品，若发生侵权而产生的一切后果，由乙方负责，</w:t>
      </w:r>
      <w:r>
        <w:rPr>
          <w:rFonts w:hint="eastAsia" w:ascii="仿宋_GB2312" w:hAnsi="仿宋_GB2312" w:eastAsia="仿宋_GB2312" w:cs="仿宋_GB2312"/>
          <w:sz w:val="28"/>
          <w:szCs w:val="28"/>
          <w:lang w:val="en-US" w:eastAsia="zh-CN"/>
        </w:rPr>
        <w:t>造成甲方损失的，乙方应当承担甲方的全部经济损失，包括但不限于甲方因维权所产生的诉讼费、公证费、保全费以及律师费等一切费用</w:t>
      </w:r>
      <w:r>
        <w:rPr>
          <w:rFonts w:hint="eastAsia" w:ascii="仿宋_GB2312" w:hAnsi="仿宋_GB2312" w:eastAsia="仿宋_GB2312" w:cs="仿宋_GB2312"/>
          <w:sz w:val="28"/>
          <w:szCs w:val="28"/>
        </w:rPr>
        <w:t>。</w:t>
      </w:r>
    </w:p>
    <w:p w14:paraId="25F11B86">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（四）质保期内系统无条件升级，根据甲方需求与我院所有信息系统及自动化</w:t>
      </w:r>
      <w:r>
        <w:rPr>
          <w:rFonts w:hint="eastAsia" w:ascii="仿宋_GB2312" w:hAnsi="仿宋_GB2312" w:eastAsia="仿宋_GB2312" w:cs="仿宋_GB2312"/>
          <w:sz w:val="28"/>
          <w:szCs w:val="28"/>
          <w:lang w:val="en-US" w:eastAsia="zh-CN"/>
        </w:rPr>
        <w:t>存储</w:t>
      </w:r>
      <w:r>
        <w:rPr>
          <w:rFonts w:hint="eastAsia" w:ascii="仿宋_GB2312" w:hAnsi="仿宋_GB2312" w:eastAsia="仿宋_GB2312" w:cs="仿宋_GB2312"/>
          <w:sz w:val="28"/>
          <w:szCs w:val="28"/>
        </w:rPr>
        <w:t>设备双向对接，如产生第三方软件接口、硬件、人工及相关配件耗材等费用均包含在此项目合同总价款中。</w:t>
      </w:r>
    </w:p>
    <w:p w14:paraId="2BEE273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产品需有密码强度检测，密码复杂度检测，密码有效期等安全策略，保障系统用户的密码安全。</w:t>
      </w:r>
    </w:p>
    <w:p w14:paraId="4C07946F">
      <w:pPr>
        <w:numPr>
          <w:ilvl w:val="0"/>
          <w:numId w:val="0"/>
        </w:num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w:t>
      </w:r>
      <w:r>
        <w:rPr>
          <w:rFonts w:hint="eastAsia" w:ascii="仿宋_GB2312" w:hAnsi="仿宋_GB2312" w:eastAsia="仿宋_GB2312" w:cs="仿宋_GB2312"/>
          <w:bCs/>
          <w:kern w:val="2"/>
          <w:sz w:val="28"/>
          <w:szCs w:val="28"/>
          <w:lang w:val="en-US" w:eastAsia="zh-CN" w:bidi="ar-SA"/>
        </w:rPr>
        <w:t>所投产品需满足最新版《信息安全等级保护管理办法》中对三级系统的相关要求，并完全配合采购人进行信息系统等级保护备案与测评工作。</w:t>
      </w:r>
    </w:p>
    <w:p w14:paraId="39135D6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十、售后服务：</w:t>
      </w:r>
    </w:p>
    <w:p w14:paraId="6B6B546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（一）质保期内</w:t>
      </w:r>
    </w:p>
    <w:p w14:paraId="6375942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自安装调试、检测、正常运行并验收合格之日起：</w:t>
      </w:r>
    </w:p>
    <w:p w14:paraId="431608D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1、乙方电话响应时间小于30分钟，到达现场时间不超过2小时，解决问题不超过24小时。</w:t>
      </w:r>
    </w:p>
    <w:p w14:paraId="3692AFC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2、乙方不能解决的故障，甲方有权指定第三方维修，维修费用由乙方承担。甲方有权直接从合同尾款中扣除维修费，合同尾款已付或不足以支付全部维修费用的，由乙方另行支付。</w:t>
      </w:r>
    </w:p>
    <w:p w14:paraId="6A044E3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乙方不能两小时到现场、不能二十四小时解决问题，不能按时巡检、不能履行质保期内的义务，每出现一次，应向甲方支付合同总价的</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元的违约金。</w:t>
      </w:r>
    </w:p>
    <w:p w14:paraId="5C897BE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4、协助甲方制定相关应急制度，进行应急演练。</w:t>
      </w:r>
    </w:p>
    <w:p w14:paraId="3A2B817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、电话咨询</w:t>
      </w:r>
    </w:p>
    <w:p w14:paraId="058D766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免费提供每周7天/每天24小时不间断的电话支持服务，解答甲方在使用过程中遇到的问题，及时提出解决问题的建议和操作方法。</w:t>
      </w:r>
    </w:p>
    <w:p w14:paraId="292F1A8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、每季度巡检一次，提供巡检单一式两份，甲方一份，乙方一份，并由双方签字确认。内容包括巡检时间、巡检内容、巡检结果。</w:t>
      </w:r>
    </w:p>
    <w:p w14:paraId="1708BD4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、每次故障维修提供维修单一式两份，甲方一份，乙方一份，并由双方签字确认。内容包括得知故障时间、到达现场时间、故障处理结束时间、故障内容、故障处理方式方法，故障处理结果，并由双方签字确认。</w:t>
      </w:r>
    </w:p>
    <w:p w14:paraId="774D2D5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、凭借巡检单、维修单，作为后期付款依据。</w:t>
      </w:r>
    </w:p>
    <w:p w14:paraId="5491D7C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（二）款项结清前，乙方应对所提供服务进行全面检测，全面保养维护。</w:t>
      </w:r>
    </w:p>
    <w:p w14:paraId="4FFF47B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（三）质保期满后，乙方应保证</w:t>
      </w:r>
      <w:r>
        <w:rPr>
          <w:rFonts w:hint="eastAsia" w:ascii="仿宋_GB2312" w:hAnsi="仿宋_GB2312" w:eastAsia="仿宋_GB2312" w:cs="仿宋_GB2312"/>
          <w:sz w:val="28"/>
          <w:szCs w:val="28"/>
          <w:lang w:val="en-US" w:eastAsia="zh-CN"/>
        </w:rPr>
        <w:t>每年</w:t>
      </w:r>
      <w:r>
        <w:rPr>
          <w:rFonts w:hint="eastAsia" w:ascii="仿宋_GB2312" w:hAnsi="仿宋_GB2312" w:eastAsia="仿宋_GB2312" w:cs="仿宋_GB2312"/>
          <w:sz w:val="28"/>
          <w:szCs w:val="28"/>
        </w:rPr>
        <w:t>提供维保服务的价格</w:t>
      </w:r>
      <w:r>
        <w:rPr>
          <w:rFonts w:hint="eastAsia" w:ascii="仿宋_GB2312" w:hAnsi="仿宋_GB2312" w:eastAsia="仿宋_GB2312" w:cs="仿宋_GB2312"/>
          <w:sz w:val="28"/>
          <w:szCs w:val="28"/>
          <w:lang w:val="en-US" w:eastAsia="zh-CN"/>
        </w:rPr>
        <w:t>不高于合同总价款的8%</w:t>
      </w:r>
      <w:r>
        <w:rPr>
          <w:rFonts w:hint="eastAsia" w:ascii="仿宋_GB2312" w:hAnsi="仿宋_GB2312" w:eastAsia="仿宋_GB2312" w:cs="仿宋_GB2312"/>
          <w:sz w:val="28"/>
          <w:szCs w:val="28"/>
        </w:rPr>
        <w:t>，发生事故时，乙方应按质保期内同样的标准进行维护处理。</w:t>
      </w:r>
    </w:p>
    <w:p w14:paraId="6213136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（四）培训</w:t>
      </w:r>
    </w:p>
    <w:p w14:paraId="4D53C80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提供免费培训，使甲方操作、维护人员掌握使用、维护等操作方法，并达到熟练操作水平。具体培训内容可以根据甲方熟悉情况、现场使用情况等灵活调整。</w:t>
      </w:r>
    </w:p>
    <w:p w14:paraId="0F0B473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十一、安全保密</w:t>
      </w:r>
    </w:p>
    <w:p w14:paraId="1866860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自合同签订之日起：</w:t>
      </w:r>
    </w:p>
    <w:p w14:paraId="7E5D34F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（一）乙方负责对本公司所有实施人员、巡检人员进行安全教育，如发生任何意外或事故，乙方承担全部医疗费用、法律责任、经济赔偿。若甲方因此遭受任何损失的，乙方应承担全部赔偿责任。</w:t>
      </w:r>
    </w:p>
    <w:p w14:paraId="000B600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实施及巡检期间，乙方必须保证甲方现有网络、系统、设备运行安全及稳定。如造成重大事故，网络或设备停止运行超过24小时，甲方有权单方面解除合同（合同自书面解除通知送达乙方之日起解除），并退货退款，乙方应承担解除合同给甲方造成的全部损失（包括但不限于重新采购产生的费用、合同未履行导致产品不能按规划交付使用及其它由此造成的甲方对第三方的违约损失），并按合同总价的</w:t>
      </w:r>
      <w:r>
        <w:rPr>
          <w:rFonts w:hint="eastAsia" w:ascii="仿宋_GB2312" w:hAnsi="仿宋_GB2312" w:eastAsia="仿宋_GB2312" w:cs="仿宋_GB2312"/>
          <w:sz w:val="28"/>
          <w:szCs w:val="28"/>
          <w:lang w:val="en-US" w:eastAsia="zh-CN"/>
        </w:rPr>
        <w:t>30</w:t>
      </w:r>
      <w:r>
        <w:rPr>
          <w:rFonts w:hint="eastAsia" w:ascii="仿宋_GB2312" w:hAnsi="仿宋_GB2312" w:eastAsia="仿宋_GB2312" w:cs="仿宋_GB2312"/>
          <w:sz w:val="28"/>
          <w:szCs w:val="28"/>
        </w:rPr>
        <w:t>%支付违约金。</w:t>
      </w:r>
    </w:p>
    <w:p w14:paraId="5A8A82C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（三）自合同签订之日起，乙方必须与甲方签定《安全保密协议》，此保密协议义务不因合同终止而免除。</w:t>
      </w:r>
    </w:p>
    <w:p w14:paraId="6F13E27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十二、验收</w:t>
      </w:r>
    </w:p>
    <w:p w14:paraId="5C8C8E7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（一）按照甲方招标文件和乙方投标文件中的要求，安装、调试、检测，平稳运行一个月后，确认项目完成，乙方进行自检，自检合格后，准备验收文件，并书面通知甲方。</w:t>
      </w:r>
    </w:p>
    <w:p w14:paraId="59D0F545">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（二）甲方确认乙方的自检内容后，组织乙方（必要时请有关专家）进行项目验收。验收合格后，填写验收单（一式</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份）作为对项目的最终认可。</w:t>
      </w:r>
    </w:p>
    <w:p w14:paraId="750116F2">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（三）乙方向甲方提交项目实施过程中的所有资料，以便甲方日后管理和维护。</w:t>
      </w:r>
    </w:p>
    <w:p w14:paraId="32DC865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（四）验收依据</w:t>
      </w:r>
    </w:p>
    <w:p w14:paraId="7E3526AB">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1、招标文件、投标文件、澄清表（函）；</w:t>
      </w:r>
    </w:p>
    <w:p w14:paraId="5A1D558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2、本合同及附件文本；</w:t>
      </w:r>
    </w:p>
    <w:p w14:paraId="08EA83C4">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3、国家相应的标准、规范；</w:t>
      </w:r>
    </w:p>
    <w:p w14:paraId="67614B0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4、使用说明书；（中文）；</w:t>
      </w:r>
    </w:p>
    <w:p w14:paraId="228BB91A">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5、其它资料（如数据字典、数据结构、</w:t>
      </w:r>
      <w:r>
        <w:rPr>
          <w:rFonts w:hint="eastAsia" w:ascii="仿宋_GB2312" w:hAnsi="仿宋_GB2312" w:eastAsia="仿宋_GB2312" w:cs="仿宋_GB2312"/>
          <w:sz w:val="28"/>
          <w:szCs w:val="28"/>
          <w:lang w:val="en-US" w:eastAsia="zh-CN"/>
        </w:rPr>
        <w:t>接口文档、上线报告、</w:t>
      </w:r>
      <w:r>
        <w:rPr>
          <w:rFonts w:hint="eastAsia" w:ascii="仿宋_GB2312" w:hAnsi="仿宋_GB2312" w:eastAsia="仿宋_GB2312" w:cs="仿宋_GB2312"/>
          <w:sz w:val="28"/>
          <w:szCs w:val="28"/>
        </w:rPr>
        <w:t>应急方案、应急演练记录、培训记录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用户手册</w:t>
      </w:r>
      <w:r>
        <w:rPr>
          <w:rFonts w:hint="eastAsia" w:ascii="仿宋_GB2312" w:hAnsi="仿宋_GB2312" w:eastAsia="仿宋_GB2312" w:cs="仿宋_GB2312"/>
          <w:sz w:val="28"/>
          <w:szCs w:val="28"/>
        </w:rPr>
        <w:t>等）。</w:t>
      </w:r>
    </w:p>
    <w:p w14:paraId="7AD41C23">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十三、违约责任</w:t>
      </w:r>
    </w:p>
    <w:p w14:paraId="254C93A1">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（一）按《中华人民共和国民法典》中的相关条款执行。</w:t>
      </w:r>
    </w:p>
    <w:p w14:paraId="7D6FACDC">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（二）乙方未按合同要求提供，质量不能满足</w:t>
      </w:r>
      <w:r>
        <w:rPr>
          <w:rFonts w:hint="eastAsia" w:ascii="仿宋_GB2312" w:hAnsi="仿宋" w:eastAsia="仿宋_GB2312" w:cs="仿宋_GB2312"/>
          <w:sz w:val="28"/>
          <w:szCs w:val="28"/>
        </w:rPr>
        <w:t>本合同、招标文件、投标文件等相关文件</w:t>
      </w:r>
      <w:r>
        <w:rPr>
          <w:rFonts w:hint="eastAsia" w:ascii="仿宋_GB2312" w:hAnsi="仿宋_GB2312" w:eastAsia="仿宋_GB2312" w:cs="仿宋_GB2312"/>
          <w:sz w:val="28"/>
          <w:szCs w:val="28"/>
        </w:rPr>
        <w:t>技术要求的，甲方会同政府采购机构有权解除本合同（合同自</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书面解除通知到达乙方之日起解除），乙方应</w:t>
      </w:r>
      <w:r>
        <w:rPr>
          <w:rFonts w:hint="eastAsia" w:ascii="仿宋_GB2312" w:hAnsi="仿宋_GB2312" w:eastAsia="仿宋_GB2312" w:cs="仿宋_GB2312"/>
          <w:sz w:val="28"/>
          <w:szCs w:val="28"/>
          <w:lang w:val="en-US" w:eastAsia="zh-CN"/>
        </w:rPr>
        <w:t>退还甲方已支付的全部款项并</w:t>
      </w:r>
      <w:r>
        <w:rPr>
          <w:rFonts w:hint="eastAsia" w:ascii="仿宋_GB2312" w:hAnsi="仿宋_GB2312" w:eastAsia="仿宋_GB2312" w:cs="仿宋_GB2312"/>
          <w:sz w:val="28"/>
          <w:szCs w:val="28"/>
        </w:rPr>
        <w:t>赔偿解除合同给甲方造成的全部损失（包括但不限于重新采购产生的费用、合同未履行导致产品不能按规划交付使用及其它由此造成的甲方对第三方的违约损失</w:t>
      </w:r>
      <w:r>
        <w:rPr>
          <w:rFonts w:hint="eastAsia" w:ascii="仿宋_GB2312" w:hAnsi="仿宋_GB2312" w:eastAsia="仿宋_GB2312" w:cs="仿宋_GB2312"/>
          <w:sz w:val="28"/>
          <w:szCs w:val="28"/>
          <w:lang w:val="en-US" w:eastAsia="zh-CN"/>
        </w:rPr>
        <w:t>以及甲方因维权所产生的诉讼费、公证费、保全费以及律师费等一切费用</w:t>
      </w:r>
      <w:r>
        <w:rPr>
          <w:rFonts w:hint="eastAsia" w:ascii="仿宋_GB2312" w:hAnsi="仿宋_GB2312" w:eastAsia="仿宋_GB2312" w:cs="仿宋_GB2312"/>
          <w:sz w:val="28"/>
          <w:szCs w:val="28"/>
        </w:rPr>
        <w:t>），并按照合同总价的</w:t>
      </w:r>
      <w:r>
        <w:rPr>
          <w:rFonts w:hint="eastAsia" w:ascii="仿宋_GB2312" w:hAnsi="仿宋_GB2312" w:eastAsia="仿宋_GB2312" w:cs="仿宋_GB2312"/>
          <w:sz w:val="28"/>
          <w:szCs w:val="28"/>
          <w:lang w:val="en-US" w:eastAsia="zh-CN"/>
        </w:rPr>
        <w:t>30</w:t>
      </w:r>
      <w:r>
        <w:rPr>
          <w:rFonts w:hint="eastAsia" w:ascii="仿宋_GB2312" w:hAnsi="仿宋_GB2312" w:eastAsia="仿宋_GB2312" w:cs="仿宋_GB2312"/>
          <w:sz w:val="28"/>
          <w:szCs w:val="28"/>
        </w:rPr>
        <w:t>%支付违约金。同时甲方有权按《招投标法》《政府采购法》有关处罚条款报监管机构进行相应的处罚。</w:t>
      </w:r>
    </w:p>
    <w:p w14:paraId="1BFA1DF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（三）在合同期限内，未经甲方同意，乙方不得转包、分包本合同项下的合同义务，否则甲方有权依据本条第（二）款之约定单方解除本合同并有权要求乙方承担违约责任。</w:t>
      </w:r>
    </w:p>
    <w:p w14:paraId="22D6ED7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（四）乙方违约时，甲方为主张权利而支出的律师费、保全费、保全保险费、差旅费等费用由乙方承担。</w:t>
      </w:r>
    </w:p>
    <w:p w14:paraId="0F9F5AC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十四、合同争议的解决</w:t>
      </w:r>
    </w:p>
    <w:p w14:paraId="406726C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合同执行中发生争议的，当事人双方应协商解决，协商达不成一致时，向甲方所在地人民法院提请诉讼。</w:t>
      </w:r>
    </w:p>
    <w:p w14:paraId="016C5D6E">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十五、合同生效</w:t>
      </w:r>
    </w:p>
    <w:p w14:paraId="38CF6400">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合同一式六份，甲方四份、乙方</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份。合同经甲方、乙方签字盖章后生效，合同执行完毕后，自动</w:t>
      </w:r>
      <w:r>
        <w:rPr>
          <w:rFonts w:hint="eastAsia" w:ascii="仿宋_GB2312" w:hAnsi="仿宋_GB2312" w:eastAsia="仿宋_GB2312" w:cs="仿宋_GB2312"/>
          <w:sz w:val="28"/>
          <w:szCs w:val="28"/>
          <w:lang w:val="en-US" w:eastAsia="zh-CN"/>
        </w:rPr>
        <w:t>终止</w:t>
      </w:r>
      <w:r>
        <w:rPr>
          <w:rFonts w:hint="eastAsia" w:ascii="仿宋_GB2312" w:hAnsi="仿宋_GB2312" w:eastAsia="仿宋_GB2312" w:cs="仿宋_GB2312"/>
          <w:sz w:val="28"/>
          <w:szCs w:val="28"/>
        </w:rPr>
        <w:t>（合同的服务承诺则长期有效）。</w:t>
      </w:r>
    </w:p>
    <w:p w14:paraId="4F1A7F9F">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黑体" w:hAnsi="黑体" w:eastAsia="黑体" w:cs="黑体"/>
          <w:sz w:val="28"/>
          <w:szCs w:val="28"/>
        </w:rPr>
      </w:pPr>
      <w:r>
        <w:rPr>
          <w:rFonts w:hint="eastAsia" w:ascii="黑体" w:hAnsi="黑体" w:eastAsia="黑体" w:cs="黑体"/>
          <w:sz w:val="28"/>
          <w:szCs w:val="28"/>
        </w:rPr>
        <w:t>十六、其他事项</w:t>
      </w:r>
    </w:p>
    <w:p w14:paraId="5D9B6409">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（一）招标文件、投标文件、澄清表（函）、中标通知书、合同附件均成为合同不可分割的部分，与本合同具有同等法律效力。</w:t>
      </w:r>
    </w:p>
    <w:p w14:paraId="367E70B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（二）本合同未尽事宜，由甲、乙双方协商，经鉴证方确认后，签订补充协议作为合同补充，补充协议与原合同具有同等法律效力，补充协议与本合同不一致的，以补充协议为准。</w:t>
      </w:r>
    </w:p>
    <w:p w14:paraId="4FBF1C07">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（三）本合同按照中华人民共和国的现行法律进行解释。</w:t>
      </w:r>
    </w:p>
    <w:p w14:paraId="016C266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（四）本合同附件作为本合同的组成部份，与本合同具有同等法律效力。</w:t>
      </w:r>
    </w:p>
    <w:p w14:paraId="12962778">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ascii="仿宋_GB2312" w:hAnsi="仿宋_GB2312" w:eastAsia="仿宋_GB2312" w:cs="仿宋_GB2312"/>
          <w:sz w:val="28"/>
          <w:szCs w:val="28"/>
        </w:rPr>
      </w:pPr>
    </w:p>
    <w:p w14:paraId="42071DBD">
      <w:pPr>
        <w:keepNext w:val="0"/>
        <w:keepLines w:val="0"/>
        <w:pageBreakBefore w:val="0"/>
        <w:widowControl w:val="0"/>
        <w:tabs>
          <w:tab w:val="left" w:pos="480"/>
        </w:tabs>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（以下无正文）</w:t>
      </w:r>
    </w:p>
    <w:p w14:paraId="03EA454A">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tbl>
      <w:tblPr>
        <w:tblStyle w:val="4"/>
        <w:tblW w:w="92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47"/>
        <w:gridCol w:w="4349"/>
      </w:tblGrid>
      <w:tr w14:paraId="32526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47" w:type="dxa"/>
            <w:noWrap w:val="0"/>
            <w:vAlign w:val="top"/>
          </w:tcPr>
          <w:p w14:paraId="37ED9069">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sz w:val="28"/>
                <w:szCs w:val="28"/>
              </w:rPr>
              <w:t>甲方：西安市人民医院（西安市第四医院）</w:t>
            </w:r>
          </w:p>
        </w:tc>
        <w:tc>
          <w:tcPr>
            <w:tcW w:w="4349" w:type="dxa"/>
            <w:noWrap w:val="0"/>
            <w:vAlign w:val="top"/>
          </w:tcPr>
          <w:p w14:paraId="6F14CC99">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sz w:val="28"/>
                <w:szCs w:val="28"/>
              </w:rPr>
              <w:t>乙方</w:t>
            </w:r>
            <w:r>
              <w:rPr>
                <w:rFonts w:hint="eastAsia" w:ascii="仿宋_GB2312" w:hAnsi="仿宋_GB2312" w:eastAsia="仿宋_GB2312" w:cs="仿宋_GB2312"/>
                <w:color w:val="auto"/>
                <w:sz w:val="28"/>
                <w:szCs w:val="28"/>
                <w:lang w:val="en-US"/>
              </w:rPr>
              <w:t>：</w:t>
            </w:r>
          </w:p>
        </w:tc>
      </w:tr>
      <w:tr w14:paraId="4525B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47" w:type="dxa"/>
            <w:noWrap w:val="0"/>
            <w:vAlign w:val="top"/>
          </w:tcPr>
          <w:p w14:paraId="4532591F">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lang w:val="en-US"/>
              </w:rPr>
            </w:pPr>
            <w:r>
              <w:rPr>
                <w:rFonts w:hint="eastAsia" w:ascii="仿宋_GB2312" w:hAnsi="仿宋_GB2312" w:eastAsia="仿宋_GB2312" w:cs="仿宋_GB2312"/>
                <w:color w:val="auto"/>
                <w:sz w:val="28"/>
                <w:szCs w:val="28"/>
              </w:rPr>
              <w:t>地址：西安市新城区解放路21号，</w:t>
            </w:r>
            <w:r>
              <w:rPr>
                <w:rFonts w:hint="eastAsia" w:ascii="仿宋_GB2312" w:hAnsi="仿宋_GB2312" w:eastAsia="仿宋_GB2312" w:cs="仿宋_GB2312"/>
                <w:color w:val="auto"/>
                <w:sz w:val="28"/>
                <w:szCs w:val="28"/>
                <w:lang w:val="en-US"/>
              </w:rPr>
              <w:t>西安市长安区航天东路155号</w:t>
            </w:r>
          </w:p>
        </w:tc>
        <w:tc>
          <w:tcPr>
            <w:tcW w:w="4349" w:type="dxa"/>
            <w:noWrap w:val="0"/>
            <w:vAlign w:val="top"/>
          </w:tcPr>
          <w:p w14:paraId="7EEED393">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地址：</w:t>
            </w:r>
          </w:p>
        </w:tc>
      </w:tr>
      <w:tr w14:paraId="101B5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0" w:hRule="atLeast"/>
          <w:jc w:val="center"/>
        </w:trPr>
        <w:tc>
          <w:tcPr>
            <w:tcW w:w="4947" w:type="dxa"/>
            <w:noWrap w:val="0"/>
            <w:vAlign w:val="top"/>
          </w:tcPr>
          <w:p w14:paraId="2E69BE9B">
            <w:pPr>
              <w:widowControl w:val="0"/>
              <w:autoSpaceDE/>
              <w:autoSpaceDN/>
              <w:spacing w:line="500" w:lineRule="exact"/>
              <w:jc w:val="both"/>
              <w:rPr>
                <w:rFonts w:hint="eastAsia" w:eastAsia="仿宋_GB2312"/>
                <w:color w:val="auto"/>
                <w:kern w:val="2"/>
                <w:sz w:val="27"/>
                <w:szCs w:val="27"/>
                <w:lang w:val="en-US" w:bidi="ar-SA"/>
              </w:rPr>
            </w:pPr>
            <w:r>
              <w:rPr>
                <w:rFonts w:hint="eastAsia" w:ascii="仿宋_GB2312" w:hAnsi="仿宋_GB2312" w:eastAsia="仿宋_GB2312" w:cs="仿宋_GB2312"/>
                <w:color w:val="auto"/>
                <w:sz w:val="28"/>
                <w:szCs w:val="28"/>
              </w:rPr>
              <w:t>法定代表人：</w:t>
            </w:r>
          </w:p>
          <w:p w14:paraId="2F92B0F0">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rPr>
            </w:pPr>
          </w:p>
        </w:tc>
        <w:tc>
          <w:tcPr>
            <w:tcW w:w="4349" w:type="dxa"/>
            <w:noWrap w:val="0"/>
            <w:vAlign w:val="top"/>
          </w:tcPr>
          <w:p w14:paraId="0F45FD7E">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w:t>
            </w:r>
          </w:p>
        </w:tc>
      </w:tr>
      <w:tr w14:paraId="089BB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47" w:type="dxa"/>
            <w:noWrap w:val="0"/>
            <w:vAlign w:val="top"/>
          </w:tcPr>
          <w:p w14:paraId="5457E821">
            <w:pPr>
              <w:widowControl w:val="0"/>
              <w:tabs>
                <w:tab w:val="left" w:pos="480"/>
              </w:tabs>
              <w:autoSpaceDE/>
              <w:autoSpaceDN/>
              <w:spacing w:line="520" w:lineRule="exact"/>
              <w:jc w:val="both"/>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联系电话：</w:t>
            </w:r>
            <w:r>
              <w:rPr>
                <w:rFonts w:hint="eastAsia" w:eastAsia="仿宋_GB2312"/>
                <w:color w:val="auto"/>
                <w:sz w:val="28"/>
                <w:szCs w:val="28"/>
                <w:u w:val="none"/>
                <w:lang w:val="en-US" w:eastAsia="zh-CN"/>
              </w:rPr>
              <w:t>029-61199762</w:t>
            </w:r>
          </w:p>
        </w:tc>
        <w:tc>
          <w:tcPr>
            <w:tcW w:w="4349" w:type="dxa"/>
            <w:noWrap w:val="0"/>
            <w:vAlign w:val="top"/>
          </w:tcPr>
          <w:p w14:paraId="64DF04C2">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w:t>
            </w:r>
          </w:p>
        </w:tc>
      </w:tr>
      <w:tr w14:paraId="772EA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47" w:type="dxa"/>
            <w:noWrap w:val="0"/>
            <w:vAlign w:val="top"/>
          </w:tcPr>
          <w:p w14:paraId="698BC1F9">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签订日期：20</w:t>
            </w:r>
            <w:r>
              <w:rPr>
                <w:rFonts w:hint="eastAsia" w:ascii="仿宋_GB2312" w:hAnsi="仿宋_GB2312" w:eastAsia="仿宋_GB2312" w:cs="仿宋_GB2312"/>
                <w:color w:val="auto"/>
                <w:sz w:val="28"/>
                <w:szCs w:val="28"/>
                <w:lang w:val="en-US"/>
              </w:rPr>
              <w:t>2</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年</w:t>
            </w:r>
            <w:r>
              <w:rPr>
                <w:rFonts w:hint="eastAsia" w:ascii="仿宋_GB2312" w:hAnsi="仿宋_GB2312" w:eastAsia="仿宋_GB2312" w:cs="仿宋_GB2312"/>
                <w:color w:val="auto"/>
                <w:sz w:val="28"/>
                <w:szCs w:val="28"/>
                <w:lang w:val="en-US"/>
              </w:rPr>
              <w:t xml:space="preserve">   </w:t>
            </w:r>
            <w:r>
              <w:rPr>
                <w:rFonts w:hint="eastAsia" w:ascii="仿宋_GB2312" w:hAnsi="仿宋_GB2312" w:eastAsia="仿宋_GB2312" w:cs="仿宋_GB2312"/>
                <w:color w:val="auto"/>
                <w:sz w:val="28"/>
                <w:szCs w:val="28"/>
              </w:rPr>
              <w:t>月</w:t>
            </w:r>
            <w:r>
              <w:rPr>
                <w:rFonts w:hint="eastAsia" w:ascii="仿宋_GB2312" w:hAnsi="仿宋_GB2312" w:eastAsia="仿宋_GB2312" w:cs="仿宋_GB2312"/>
                <w:color w:val="auto"/>
                <w:sz w:val="28"/>
                <w:szCs w:val="28"/>
                <w:lang w:val="en-US"/>
              </w:rPr>
              <w:t xml:space="preserve">   </w:t>
            </w:r>
            <w:r>
              <w:rPr>
                <w:rFonts w:hint="eastAsia" w:ascii="仿宋_GB2312" w:hAnsi="仿宋_GB2312" w:eastAsia="仿宋_GB2312" w:cs="仿宋_GB2312"/>
                <w:color w:val="auto"/>
                <w:sz w:val="28"/>
                <w:szCs w:val="28"/>
              </w:rPr>
              <w:t>日</w:t>
            </w:r>
          </w:p>
        </w:tc>
        <w:tc>
          <w:tcPr>
            <w:tcW w:w="4349" w:type="dxa"/>
            <w:noWrap w:val="0"/>
            <w:vAlign w:val="top"/>
          </w:tcPr>
          <w:p w14:paraId="4A3BB7F1">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签订日期：20</w:t>
            </w:r>
            <w:r>
              <w:rPr>
                <w:rFonts w:hint="eastAsia" w:ascii="仿宋_GB2312" w:hAnsi="仿宋_GB2312" w:eastAsia="仿宋_GB2312" w:cs="仿宋_GB2312"/>
                <w:color w:val="auto"/>
                <w:sz w:val="28"/>
                <w:szCs w:val="28"/>
                <w:lang w:val="en-US"/>
              </w:rPr>
              <w:t>2</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年</w:t>
            </w:r>
            <w:r>
              <w:rPr>
                <w:rFonts w:hint="eastAsia" w:ascii="仿宋_GB2312" w:hAnsi="仿宋_GB2312" w:eastAsia="仿宋_GB2312" w:cs="仿宋_GB2312"/>
                <w:color w:val="auto"/>
                <w:sz w:val="28"/>
                <w:szCs w:val="28"/>
                <w:lang w:val="en-US"/>
              </w:rPr>
              <w:t xml:space="preserve">   </w:t>
            </w:r>
            <w:r>
              <w:rPr>
                <w:rFonts w:hint="eastAsia" w:ascii="仿宋_GB2312" w:hAnsi="仿宋_GB2312" w:eastAsia="仿宋_GB2312" w:cs="仿宋_GB2312"/>
                <w:color w:val="auto"/>
                <w:sz w:val="28"/>
                <w:szCs w:val="28"/>
              </w:rPr>
              <w:t>月</w:t>
            </w:r>
            <w:r>
              <w:rPr>
                <w:rFonts w:hint="eastAsia" w:ascii="仿宋_GB2312" w:hAnsi="仿宋_GB2312" w:eastAsia="仿宋_GB2312" w:cs="仿宋_GB2312"/>
                <w:color w:val="auto"/>
                <w:sz w:val="28"/>
                <w:szCs w:val="28"/>
                <w:lang w:val="en-US"/>
              </w:rPr>
              <w:t xml:space="preserve">   </w:t>
            </w:r>
            <w:r>
              <w:rPr>
                <w:rFonts w:hint="eastAsia" w:ascii="仿宋_GB2312" w:hAnsi="仿宋_GB2312" w:eastAsia="仿宋_GB2312" w:cs="仿宋_GB2312"/>
                <w:color w:val="auto"/>
                <w:sz w:val="28"/>
                <w:szCs w:val="28"/>
              </w:rPr>
              <w:t>日</w:t>
            </w:r>
          </w:p>
        </w:tc>
      </w:tr>
      <w:tr w14:paraId="0781F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947" w:type="dxa"/>
            <w:noWrap w:val="0"/>
            <w:vAlign w:val="top"/>
          </w:tcPr>
          <w:p w14:paraId="64AB7605">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rPr>
            </w:pPr>
          </w:p>
        </w:tc>
        <w:tc>
          <w:tcPr>
            <w:tcW w:w="4349" w:type="dxa"/>
            <w:noWrap w:val="0"/>
            <w:vAlign w:val="top"/>
          </w:tcPr>
          <w:p w14:paraId="41C29C41">
            <w:pPr>
              <w:widowControl w:val="0"/>
              <w:tabs>
                <w:tab w:val="left" w:pos="480"/>
              </w:tabs>
              <w:autoSpaceDE/>
              <w:autoSpaceDN/>
              <w:spacing w:line="520" w:lineRule="exact"/>
              <w:jc w:val="both"/>
              <w:rPr>
                <w:rFonts w:hint="eastAsia" w:ascii="仿宋_GB2312" w:hAnsi="仿宋_GB2312" w:eastAsia="仿宋_GB2312" w:cs="仿宋_GB2312"/>
                <w:color w:val="auto"/>
                <w:sz w:val="28"/>
                <w:szCs w:val="28"/>
              </w:rPr>
            </w:pPr>
          </w:p>
        </w:tc>
      </w:tr>
    </w:tbl>
    <w:p w14:paraId="746BCC7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eronica">
    <w15:presenceInfo w15:providerId="None" w15:userId="V.eron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276245"/>
    <w:rsid w:val="0D5F6D00"/>
    <w:rsid w:val="3B276245"/>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2025-05-22T03:34:00Z</dcterms:created>
  <dc:creator>陕西中技招标有限公司</dc:creator>
  <cp:lastModifiedBy>陕西中技招标有限公司</cp:lastModifiedBy>
  <dcterms:modified xsi:type="dcterms:W3CDTF">2025-05-22T03:34:13Z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4B93D85943824B579EE995AA240A18FA_11</vt:lpwstr>
  </property>
  <property fmtid="{D5CDD505-2E9C-101B-9397-08002B2CF9AE}" pid="4" name="KSOTemplateDocerSaveRecord">
    <vt:lpwstr>eyJoZGlkIjoiNzg2NmMxNjQ3YjEwMWQ0NzY0ZGIyNjIyNDMzNDY3MjciLCJ1c2VySWQiOiI0ODM0NjExNDgifQ==</vt:lpwstr>
  </property>
</Properties>
</file>