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B95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b/>
          <w:bCs/>
          <w:sz w:val="24"/>
          <w:szCs w:val="24"/>
          <w:u w:val="single"/>
        </w:rPr>
        <w:t>西安市疾病预防控制中心</w:t>
      </w:r>
    </w:p>
    <w:p w14:paraId="467124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乙  方：                       </w:t>
      </w:r>
    </w:p>
    <w:p w14:paraId="5CC7894E">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鉴证方：                       </w:t>
      </w:r>
    </w:p>
    <w:p w14:paraId="6F9B5E60">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14:paraId="4EA5AD9F">
      <w:pPr>
        <w:numPr>
          <w:ilvl w:val="0"/>
          <w:numId w:val="1"/>
        </w:numPr>
        <w:tabs>
          <w:tab w:val="left" w:pos="480"/>
        </w:tabs>
        <w:spacing w:line="360" w:lineRule="auto"/>
        <w:rPr>
          <w:rFonts w:hint="eastAsia" w:ascii="宋体" w:hAnsi="宋体" w:eastAsia="宋体" w:cs="宋体"/>
          <w:b/>
          <w:sz w:val="24"/>
          <w:szCs w:val="24"/>
        </w:rPr>
      </w:pPr>
      <w:r>
        <w:rPr>
          <w:rFonts w:hint="eastAsia" w:ascii="宋体" w:hAnsi="宋体" w:eastAsia="宋体" w:cs="宋体"/>
          <w:b/>
          <w:sz w:val="24"/>
          <w:szCs w:val="24"/>
        </w:rPr>
        <w:t>合同标的物内容及数量</w:t>
      </w:r>
    </w:p>
    <w:tbl>
      <w:tblPr>
        <w:tblStyle w:val="4"/>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7"/>
        <w:gridCol w:w="1253"/>
        <w:gridCol w:w="1129"/>
        <w:gridCol w:w="680"/>
        <w:gridCol w:w="1110"/>
        <w:gridCol w:w="680"/>
        <w:gridCol w:w="836"/>
        <w:gridCol w:w="964"/>
        <w:gridCol w:w="1275"/>
        <w:gridCol w:w="694"/>
      </w:tblGrid>
      <w:tr w14:paraId="29B50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3DEFE331">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序号</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74B52515">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名称</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8DB5DAE">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3258448B">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产地</w:t>
            </w:r>
          </w:p>
        </w:tc>
        <w:tc>
          <w:tcPr>
            <w:tcW w:w="599" w:type="pct"/>
            <w:tcBorders>
              <w:top w:val="single" w:color="auto" w:sz="4" w:space="0"/>
              <w:left w:val="single" w:color="auto" w:sz="4" w:space="0"/>
              <w:bottom w:val="single" w:color="auto" w:sz="4" w:space="0"/>
              <w:right w:val="single" w:color="auto" w:sz="4" w:space="0"/>
            </w:tcBorders>
            <w:noWrap w:val="0"/>
            <w:vAlign w:val="center"/>
          </w:tcPr>
          <w:p w14:paraId="01D7EFC8">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367" w:type="pct"/>
            <w:tcBorders>
              <w:top w:val="single" w:color="auto" w:sz="4" w:space="0"/>
              <w:left w:val="single" w:color="auto" w:sz="4" w:space="0"/>
              <w:bottom w:val="single" w:color="auto" w:sz="4" w:space="0"/>
              <w:right w:val="single" w:color="auto" w:sz="4" w:space="0"/>
            </w:tcBorders>
            <w:noWrap w:val="0"/>
            <w:vAlign w:val="center"/>
          </w:tcPr>
          <w:p w14:paraId="371987AB">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单位</w:t>
            </w:r>
          </w:p>
        </w:tc>
        <w:tc>
          <w:tcPr>
            <w:tcW w:w="451" w:type="pct"/>
            <w:tcBorders>
              <w:top w:val="single" w:color="auto" w:sz="4" w:space="0"/>
              <w:left w:val="single" w:color="auto" w:sz="4" w:space="0"/>
              <w:bottom w:val="single" w:color="auto" w:sz="4" w:space="0"/>
              <w:right w:val="single" w:color="auto" w:sz="4" w:space="0"/>
            </w:tcBorders>
            <w:noWrap w:val="0"/>
            <w:vAlign w:val="center"/>
          </w:tcPr>
          <w:p w14:paraId="1807A8A0">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数量</w:t>
            </w:r>
          </w:p>
        </w:tc>
        <w:tc>
          <w:tcPr>
            <w:tcW w:w="520" w:type="pct"/>
            <w:tcBorders>
              <w:top w:val="single" w:color="auto" w:sz="4" w:space="0"/>
              <w:left w:val="single" w:color="auto" w:sz="4" w:space="0"/>
              <w:bottom w:val="single" w:color="auto" w:sz="4" w:space="0"/>
              <w:right w:val="single" w:color="auto" w:sz="4" w:space="0"/>
            </w:tcBorders>
            <w:noWrap w:val="0"/>
            <w:vAlign w:val="center"/>
          </w:tcPr>
          <w:p w14:paraId="10F00909">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688" w:type="pct"/>
            <w:tcBorders>
              <w:top w:val="single" w:color="auto" w:sz="4" w:space="0"/>
              <w:left w:val="single" w:color="auto" w:sz="4" w:space="0"/>
              <w:bottom w:val="single" w:color="auto" w:sz="4" w:space="0"/>
              <w:right w:val="single" w:color="auto" w:sz="4" w:space="0"/>
            </w:tcBorders>
            <w:noWrap w:val="0"/>
            <w:vAlign w:val="center"/>
          </w:tcPr>
          <w:p w14:paraId="76225B68">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总价（元）</w:t>
            </w:r>
          </w:p>
        </w:tc>
        <w:tc>
          <w:tcPr>
            <w:tcW w:w="371" w:type="pct"/>
            <w:tcBorders>
              <w:top w:val="single" w:color="auto" w:sz="4" w:space="0"/>
              <w:left w:val="single" w:color="auto" w:sz="4" w:space="0"/>
              <w:bottom w:val="single" w:color="auto" w:sz="4" w:space="0"/>
              <w:right w:val="single" w:color="auto" w:sz="4" w:space="0"/>
            </w:tcBorders>
            <w:noWrap w:val="0"/>
            <w:vAlign w:val="center"/>
          </w:tcPr>
          <w:p w14:paraId="54154D08">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备注</w:t>
            </w:r>
          </w:p>
        </w:tc>
      </w:tr>
      <w:tr w14:paraId="4D8F8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06D87936">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1</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513EC3F7">
            <w:pPr>
              <w:tabs>
                <w:tab w:val="left" w:pos="480"/>
              </w:tabs>
              <w:jc w:val="center"/>
              <w:rPr>
                <w:rFonts w:hint="eastAsia" w:ascii="宋体" w:hAnsi="宋体" w:eastAsia="宋体" w:cs="宋体"/>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218715A">
            <w:pPr>
              <w:tabs>
                <w:tab w:val="left" w:pos="480"/>
              </w:tabs>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17FB4291">
            <w:pPr>
              <w:tabs>
                <w:tab w:val="left" w:pos="480"/>
              </w:tabs>
              <w:jc w:val="center"/>
              <w:rPr>
                <w:rFonts w:hint="eastAsia" w:ascii="宋体" w:hAnsi="宋体" w:eastAsia="宋体" w:cs="宋体"/>
                <w:sz w:val="24"/>
                <w:szCs w:val="24"/>
              </w:rPr>
            </w:pPr>
          </w:p>
        </w:tc>
        <w:tc>
          <w:tcPr>
            <w:tcW w:w="599" w:type="pct"/>
            <w:tcBorders>
              <w:top w:val="single" w:color="auto" w:sz="4" w:space="0"/>
              <w:left w:val="single" w:color="auto" w:sz="4" w:space="0"/>
              <w:bottom w:val="single" w:color="auto" w:sz="4" w:space="0"/>
              <w:right w:val="single" w:color="auto" w:sz="4" w:space="0"/>
            </w:tcBorders>
            <w:noWrap w:val="0"/>
            <w:vAlign w:val="center"/>
          </w:tcPr>
          <w:p w14:paraId="2183A715">
            <w:pPr>
              <w:tabs>
                <w:tab w:val="left" w:pos="480"/>
              </w:tabs>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5F96B5A3">
            <w:pPr>
              <w:tabs>
                <w:tab w:val="left" w:pos="480"/>
              </w:tabs>
              <w:jc w:val="center"/>
              <w:rPr>
                <w:rFonts w:hint="eastAsia" w:ascii="宋体" w:hAnsi="宋体" w:eastAsia="宋体" w:cs="宋体"/>
                <w:sz w:val="24"/>
                <w:szCs w:val="24"/>
              </w:rPr>
            </w:pPr>
          </w:p>
        </w:tc>
        <w:tc>
          <w:tcPr>
            <w:tcW w:w="451" w:type="pct"/>
            <w:tcBorders>
              <w:top w:val="single" w:color="auto" w:sz="4" w:space="0"/>
              <w:left w:val="single" w:color="auto" w:sz="4" w:space="0"/>
              <w:bottom w:val="single" w:color="auto" w:sz="4" w:space="0"/>
              <w:right w:val="single" w:color="auto" w:sz="4" w:space="0"/>
            </w:tcBorders>
            <w:noWrap w:val="0"/>
            <w:vAlign w:val="center"/>
          </w:tcPr>
          <w:p w14:paraId="4675EE78">
            <w:pPr>
              <w:tabs>
                <w:tab w:val="left" w:pos="480"/>
              </w:tabs>
              <w:jc w:val="center"/>
              <w:rPr>
                <w:rFonts w:hint="eastAsia" w:ascii="宋体" w:hAnsi="宋体" w:eastAsia="宋体" w:cs="宋体"/>
                <w:sz w:val="24"/>
                <w:szCs w:val="24"/>
              </w:rPr>
            </w:pPr>
          </w:p>
        </w:tc>
        <w:tc>
          <w:tcPr>
            <w:tcW w:w="520" w:type="pct"/>
            <w:tcBorders>
              <w:top w:val="single" w:color="auto" w:sz="4" w:space="0"/>
              <w:left w:val="single" w:color="auto" w:sz="4" w:space="0"/>
              <w:bottom w:val="single" w:color="auto" w:sz="4" w:space="0"/>
              <w:right w:val="single" w:color="auto" w:sz="4" w:space="0"/>
            </w:tcBorders>
            <w:noWrap w:val="0"/>
            <w:vAlign w:val="center"/>
          </w:tcPr>
          <w:p w14:paraId="440EC14E">
            <w:pPr>
              <w:tabs>
                <w:tab w:val="left" w:pos="480"/>
              </w:tabs>
              <w:jc w:val="center"/>
              <w:rPr>
                <w:rFonts w:hint="eastAsia" w:ascii="宋体" w:hAnsi="宋体" w:eastAsia="宋体" w:cs="宋体"/>
                <w:sz w:val="24"/>
                <w:szCs w:val="24"/>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05DB0279">
            <w:pPr>
              <w:tabs>
                <w:tab w:val="left" w:pos="480"/>
              </w:tabs>
              <w:jc w:val="center"/>
              <w:rPr>
                <w:rFonts w:hint="eastAsia" w:ascii="宋体" w:hAnsi="宋体" w:eastAsia="宋体" w:cs="宋体"/>
                <w:sz w:val="24"/>
                <w:szCs w:val="24"/>
              </w:rPr>
            </w:pPr>
          </w:p>
        </w:tc>
        <w:tc>
          <w:tcPr>
            <w:tcW w:w="371" w:type="pct"/>
            <w:tcBorders>
              <w:top w:val="single" w:color="auto" w:sz="4" w:space="0"/>
              <w:left w:val="single" w:color="auto" w:sz="4" w:space="0"/>
              <w:bottom w:val="single" w:color="auto" w:sz="4" w:space="0"/>
              <w:right w:val="single" w:color="auto" w:sz="4" w:space="0"/>
            </w:tcBorders>
            <w:noWrap w:val="0"/>
            <w:vAlign w:val="center"/>
          </w:tcPr>
          <w:p w14:paraId="2510A37C">
            <w:pPr>
              <w:tabs>
                <w:tab w:val="left" w:pos="480"/>
              </w:tabs>
              <w:jc w:val="center"/>
              <w:rPr>
                <w:rFonts w:hint="eastAsia" w:ascii="宋体" w:hAnsi="宋体" w:eastAsia="宋体" w:cs="宋体"/>
                <w:sz w:val="24"/>
                <w:szCs w:val="24"/>
              </w:rPr>
            </w:pPr>
          </w:p>
        </w:tc>
      </w:tr>
      <w:tr w14:paraId="6FD8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14:paraId="5974630C">
            <w:pPr>
              <w:tabs>
                <w:tab w:val="left" w:pos="480"/>
              </w:tabs>
              <w:jc w:val="center"/>
              <w:rPr>
                <w:rFonts w:hint="eastAsia" w:ascii="宋体" w:hAnsi="宋体" w:eastAsia="宋体" w:cs="宋体"/>
                <w:sz w:val="24"/>
                <w:szCs w:val="24"/>
              </w:rPr>
            </w:pPr>
            <w:r>
              <w:rPr>
                <w:rFonts w:hint="eastAsia" w:ascii="宋体" w:hAnsi="宋体" w:eastAsia="宋体" w:cs="宋体"/>
                <w:sz w:val="24"/>
                <w:szCs w:val="24"/>
              </w:rPr>
              <w:t>2</w:t>
            </w:r>
          </w:p>
        </w:tc>
        <w:tc>
          <w:tcPr>
            <w:tcW w:w="676" w:type="pct"/>
            <w:tcBorders>
              <w:top w:val="single" w:color="auto" w:sz="4" w:space="0"/>
              <w:left w:val="single" w:color="auto" w:sz="4" w:space="0"/>
              <w:bottom w:val="single" w:color="auto" w:sz="4" w:space="0"/>
              <w:right w:val="single" w:color="auto" w:sz="4" w:space="0"/>
            </w:tcBorders>
            <w:noWrap w:val="0"/>
            <w:vAlign w:val="center"/>
          </w:tcPr>
          <w:p w14:paraId="70FE7842">
            <w:pPr>
              <w:tabs>
                <w:tab w:val="left" w:pos="480"/>
              </w:tabs>
              <w:jc w:val="center"/>
              <w:rPr>
                <w:rFonts w:hint="eastAsia" w:ascii="宋体" w:hAnsi="宋体" w:eastAsia="宋体" w:cs="宋体"/>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F0D60A6">
            <w:pPr>
              <w:tabs>
                <w:tab w:val="left" w:pos="480"/>
              </w:tabs>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389F4717">
            <w:pPr>
              <w:tabs>
                <w:tab w:val="left" w:pos="480"/>
              </w:tabs>
              <w:jc w:val="center"/>
              <w:rPr>
                <w:rFonts w:hint="eastAsia" w:ascii="宋体" w:hAnsi="宋体" w:eastAsia="宋体" w:cs="宋体"/>
                <w:sz w:val="24"/>
                <w:szCs w:val="24"/>
              </w:rPr>
            </w:pPr>
          </w:p>
        </w:tc>
        <w:tc>
          <w:tcPr>
            <w:tcW w:w="599" w:type="pct"/>
            <w:tcBorders>
              <w:top w:val="single" w:color="auto" w:sz="4" w:space="0"/>
              <w:left w:val="single" w:color="auto" w:sz="4" w:space="0"/>
              <w:bottom w:val="single" w:color="auto" w:sz="4" w:space="0"/>
              <w:right w:val="single" w:color="auto" w:sz="4" w:space="0"/>
            </w:tcBorders>
            <w:noWrap w:val="0"/>
            <w:vAlign w:val="center"/>
          </w:tcPr>
          <w:p w14:paraId="433584FA">
            <w:pPr>
              <w:tabs>
                <w:tab w:val="left" w:pos="480"/>
              </w:tabs>
              <w:jc w:val="center"/>
              <w:rPr>
                <w:rFonts w:hint="eastAsia" w:ascii="宋体" w:hAnsi="宋体" w:eastAsia="宋体" w:cs="宋体"/>
                <w:sz w:val="24"/>
                <w:szCs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14:paraId="52D5F0E2">
            <w:pPr>
              <w:tabs>
                <w:tab w:val="left" w:pos="480"/>
              </w:tabs>
              <w:jc w:val="center"/>
              <w:rPr>
                <w:rFonts w:hint="eastAsia" w:ascii="宋体" w:hAnsi="宋体" w:eastAsia="宋体" w:cs="宋体"/>
                <w:sz w:val="24"/>
                <w:szCs w:val="24"/>
              </w:rPr>
            </w:pPr>
          </w:p>
        </w:tc>
        <w:tc>
          <w:tcPr>
            <w:tcW w:w="451" w:type="pct"/>
            <w:tcBorders>
              <w:top w:val="single" w:color="auto" w:sz="4" w:space="0"/>
              <w:left w:val="single" w:color="auto" w:sz="4" w:space="0"/>
              <w:bottom w:val="single" w:color="auto" w:sz="4" w:space="0"/>
              <w:right w:val="single" w:color="auto" w:sz="4" w:space="0"/>
            </w:tcBorders>
            <w:noWrap w:val="0"/>
            <w:vAlign w:val="center"/>
          </w:tcPr>
          <w:p w14:paraId="7F11E00B">
            <w:pPr>
              <w:tabs>
                <w:tab w:val="left" w:pos="480"/>
              </w:tabs>
              <w:jc w:val="center"/>
              <w:rPr>
                <w:rFonts w:hint="eastAsia" w:ascii="宋体" w:hAnsi="宋体" w:eastAsia="宋体" w:cs="宋体"/>
                <w:sz w:val="24"/>
                <w:szCs w:val="24"/>
              </w:rPr>
            </w:pPr>
          </w:p>
        </w:tc>
        <w:tc>
          <w:tcPr>
            <w:tcW w:w="520" w:type="pct"/>
            <w:tcBorders>
              <w:top w:val="single" w:color="auto" w:sz="4" w:space="0"/>
              <w:left w:val="single" w:color="auto" w:sz="4" w:space="0"/>
              <w:bottom w:val="single" w:color="auto" w:sz="4" w:space="0"/>
              <w:right w:val="single" w:color="auto" w:sz="4" w:space="0"/>
            </w:tcBorders>
            <w:noWrap w:val="0"/>
            <w:vAlign w:val="center"/>
          </w:tcPr>
          <w:p w14:paraId="65C47514">
            <w:pPr>
              <w:tabs>
                <w:tab w:val="left" w:pos="480"/>
              </w:tabs>
              <w:jc w:val="center"/>
              <w:rPr>
                <w:rFonts w:hint="eastAsia" w:ascii="宋体" w:hAnsi="宋体" w:eastAsia="宋体" w:cs="宋体"/>
                <w:sz w:val="24"/>
                <w:szCs w:val="24"/>
              </w:rPr>
            </w:pPr>
          </w:p>
        </w:tc>
        <w:tc>
          <w:tcPr>
            <w:tcW w:w="688" w:type="pct"/>
            <w:tcBorders>
              <w:top w:val="single" w:color="auto" w:sz="4" w:space="0"/>
              <w:left w:val="single" w:color="auto" w:sz="4" w:space="0"/>
              <w:bottom w:val="single" w:color="auto" w:sz="4" w:space="0"/>
              <w:right w:val="single" w:color="auto" w:sz="4" w:space="0"/>
            </w:tcBorders>
            <w:noWrap w:val="0"/>
            <w:vAlign w:val="center"/>
          </w:tcPr>
          <w:p w14:paraId="5A09DE96">
            <w:pPr>
              <w:tabs>
                <w:tab w:val="left" w:pos="480"/>
              </w:tabs>
              <w:jc w:val="center"/>
              <w:rPr>
                <w:rFonts w:hint="eastAsia" w:ascii="宋体" w:hAnsi="宋体" w:eastAsia="宋体" w:cs="宋体"/>
                <w:sz w:val="24"/>
                <w:szCs w:val="24"/>
              </w:rPr>
            </w:pPr>
          </w:p>
        </w:tc>
        <w:tc>
          <w:tcPr>
            <w:tcW w:w="371" w:type="pct"/>
            <w:tcBorders>
              <w:top w:val="single" w:color="auto" w:sz="4" w:space="0"/>
              <w:left w:val="single" w:color="auto" w:sz="4" w:space="0"/>
              <w:bottom w:val="single" w:color="auto" w:sz="4" w:space="0"/>
              <w:right w:val="single" w:color="auto" w:sz="4" w:space="0"/>
            </w:tcBorders>
            <w:noWrap w:val="0"/>
            <w:vAlign w:val="center"/>
          </w:tcPr>
          <w:p w14:paraId="6FAE1493">
            <w:pPr>
              <w:tabs>
                <w:tab w:val="left" w:pos="480"/>
              </w:tabs>
              <w:jc w:val="center"/>
              <w:rPr>
                <w:rFonts w:hint="eastAsia" w:ascii="宋体" w:hAnsi="宋体" w:eastAsia="宋体" w:cs="宋体"/>
                <w:sz w:val="24"/>
                <w:szCs w:val="24"/>
              </w:rPr>
            </w:pPr>
          </w:p>
        </w:tc>
      </w:tr>
      <w:tr w14:paraId="2642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noWrap w:val="0"/>
            <w:vAlign w:val="center"/>
          </w:tcPr>
          <w:p w14:paraId="268DC0F1">
            <w:pPr>
              <w:tabs>
                <w:tab w:val="left" w:pos="480"/>
              </w:tabs>
              <w:jc w:val="left"/>
              <w:rPr>
                <w:rFonts w:hint="eastAsia" w:ascii="宋体" w:hAnsi="宋体" w:eastAsia="宋体" w:cs="宋体"/>
                <w:sz w:val="24"/>
                <w:szCs w:val="24"/>
              </w:rPr>
            </w:pPr>
            <w:r>
              <w:rPr>
                <w:rFonts w:hint="eastAsia" w:ascii="宋体" w:hAnsi="宋体" w:eastAsia="宋体" w:cs="宋体"/>
                <w:sz w:val="24"/>
                <w:szCs w:val="24"/>
              </w:rPr>
              <w:t>合计：</w:t>
            </w:r>
            <w:r>
              <w:rPr>
                <w:rFonts w:hint="eastAsia" w:ascii="宋体" w:hAnsi="宋体" w:eastAsia="宋体" w:cs="宋体"/>
                <w:b/>
                <w:bCs/>
                <w:sz w:val="24"/>
                <w:szCs w:val="24"/>
              </w:rPr>
              <w:t>人民币（大写）：          元整  （¥:0000000.00元）</w:t>
            </w:r>
          </w:p>
        </w:tc>
      </w:tr>
    </w:tbl>
    <w:p w14:paraId="1739BC99">
      <w:pPr>
        <w:tabs>
          <w:tab w:val="left" w:pos="480"/>
        </w:tabs>
        <w:spacing w:line="360" w:lineRule="auto"/>
        <w:rPr>
          <w:rFonts w:hint="eastAsia" w:ascii="宋体" w:hAnsi="宋体" w:eastAsia="宋体" w:cs="宋体"/>
          <w:b/>
          <w:sz w:val="24"/>
          <w:szCs w:val="24"/>
        </w:rPr>
      </w:pPr>
      <w:r>
        <w:rPr>
          <w:rFonts w:hint="eastAsia" w:ascii="宋体" w:hAnsi="宋体" w:eastAsia="宋体" w:cs="宋体"/>
          <w:b/>
          <w:sz w:val="24"/>
          <w:szCs w:val="24"/>
        </w:rPr>
        <w:t>二、合同价款</w:t>
      </w:r>
    </w:p>
    <w:p w14:paraId="6B29752E">
      <w:pPr>
        <w:tabs>
          <w:tab w:val="left" w:pos="480"/>
        </w:tabs>
        <w:spacing w:line="360" w:lineRule="auto"/>
        <w:jc w:val="left"/>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元整（</w:t>
      </w:r>
      <w:r>
        <w:rPr>
          <w:rFonts w:hint="eastAsia" w:ascii="宋体" w:hAnsi="宋体" w:eastAsia="宋体" w:cs="宋体"/>
          <w:color w:val="000000"/>
          <w:sz w:val="24"/>
          <w:szCs w:val="24"/>
          <w:u w:val="single"/>
        </w:rPr>
        <w:t>¥:</w:t>
      </w:r>
      <w:r>
        <w:rPr>
          <w:rFonts w:hint="eastAsia" w:ascii="宋体" w:hAnsi="宋体" w:eastAsia="宋体" w:cs="宋体"/>
          <w:sz w:val="24"/>
          <w:szCs w:val="24"/>
          <w:u w:val="single"/>
        </w:rPr>
        <w:t xml:space="preserve">         元）</w:t>
      </w:r>
      <w:r>
        <w:rPr>
          <w:rFonts w:hint="eastAsia" w:ascii="宋体" w:hAnsi="宋体" w:eastAsia="宋体" w:cs="宋体"/>
          <w:sz w:val="24"/>
          <w:szCs w:val="24"/>
        </w:rPr>
        <w:t>。</w:t>
      </w:r>
    </w:p>
    <w:p w14:paraId="3CC0A3DE">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（二）合同总价包括：货物费、运输费（含保险费）、装卸费、安装调试费、检测验收、税金（含关税）、培训费、技术服务及其它费用。</w:t>
      </w:r>
    </w:p>
    <w:p w14:paraId="65E4E981">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53B8213A">
      <w:pPr>
        <w:tabs>
          <w:tab w:val="left" w:pos="480"/>
        </w:tabs>
        <w:spacing w:line="360" w:lineRule="auto"/>
        <w:rPr>
          <w:rFonts w:hint="eastAsia" w:ascii="宋体" w:hAnsi="宋体" w:eastAsia="宋体" w:cs="宋体"/>
          <w:b/>
          <w:sz w:val="24"/>
          <w:szCs w:val="24"/>
        </w:rPr>
      </w:pPr>
      <w:r>
        <w:rPr>
          <w:rFonts w:hint="eastAsia" w:ascii="宋体" w:hAnsi="宋体" w:eastAsia="宋体" w:cs="宋体"/>
          <w:b/>
          <w:sz w:val="24"/>
          <w:szCs w:val="24"/>
        </w:rPr>
        <w:t>三、款项结算</w:t>
      </w:r>
    </w:p>
    <w:p w14:paraId="2E0CD9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合同签订后，乙方须按其投标文件中响应的供货期按时交货并提供全额合规发票，保证“货票同行”。设备验收合格后</w:t>
      </w:r>
      <w:r>
        <w:rPr>
          <w:rFonts w:hint="eastAsia" w:ascii="宋体" w:hAnsi="宋体" w:eastAsia="宋体" w:cs="宋体"/>
          <w:sz w:val="24"/>
          <w:szCs w:val="24"/>
          <w:lang w:val="en-US" w:eastAsia="zh-CN"/>
        </w:rPr>
        <w:t>3</w:t>
      </w:r>
      <w:r>
        <w:rPr>
          <w:rFonts w:hint="eastAsia" w:ascii="宋体" w:hAnsi="宋体" w:eastAsia="宋体" w:cs="宋体"/>
          <w:sz w:val="24"/>
          <w:szCs w:val="24"/>
        </w:rPr>
        <w:t>0日内甲方一次性支付合同总价款，即人民币（大写）     元整（¥:     元）。</w:t>
      </w:r>
    </w:p>
    <w:p w14:paraId="4E5F9080">
      <w:pPr>
        <w:spacing w:line="360" w:lineRule="auto"/>
        <w:rPr>
          <w:rFonts w:hint="eastAsia" w:ascii="宋体" w:hAnsi="宋体" w:eastAsia="宋体" w:cs="宋体"/>
          <w:b/>
          <w:sz w:val="24"/>
          <w:szCs w:val="24"/>
        </w:rPr>
      </w:pPr>
      <w:r>
        <w:rPr>
          <w:rFonts w:hint="eastAsia" w:ascii="宋体" w:hAnsi="宋体" w:eastAsia="宋体" w:cs="宋体"/>
          <w:b/>
          <w:sz w:val="24"/>
          <w:szCs w:val="24"/>
        </w:rPr>
        <w:t>四、交货条件：</w:t>
      </w:r>
    </w:p>
    <w:p w14:paraId="593B3B4A">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b/>
          <w:bCs/>
          <w:sz w:val="24"/>
          <w:szCs w:val="24"/>
        </w:rPr>
        <w:t>西安市疾病预防控制中心新址指定地点</w:t>
      </w:r>
      <w:r>
        <w:rPr>
          <w:rFonts w:hint="eastAsia" w:ascii="宋体" w:hAnsi="宋体" w:eastAsia="宋体" w:cs="宋体"/>
          <w:bCs/>
          <w:sz w:val="24"/>
          <w:szCs w:val="24"/>
        </w:rPr>
        <w:t>。</w:t>
      </w:r>
    </w:p>
    <w:p w14:paraId="011B252A">
      <w:pPr>
        <w:tabs>
          <w:tab w:val="left" w:pos="480"/>
        </w:tabs>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（二）供货期限：</w:t>
      </w:r>
      <w:r>
        <w:rPr>
          <w:rFonts w:hint="eastAsia" w:ascii="宋体" w:hAnsi="宋体" w:eastAsia="宋体" w:cs="宋体"/>
          <w:b/>
          <w:bCs/>
          <w:sz w:val="24"/>
          <w:szCs w:val="24"/>
        </w:rPr>
        <w:t>新址具备安装条件后，采购人下达供货通知2日内将货物送至安装地点，并按要求在5个工作日内完成安装调试。</w:t>
      </w:r>
    </w:p>
    <w:p w14:paraId="3F8FEEF6">
      <w:pPr>
        <w:tabs>
          <w:tab w:val="left" w:pos="480"/>
        </w:tabs>
        <w:spacing w:line="360" w:lineRule="auto"/>
        <w:rPr>
          <w:rFonts w:hint="eastAsia" w:ascii="宋体" w:hAnsi="宋体" w:eastAsia="宋体" w:cs="宋体"/>
          <w:b/>
          <w:sz w:val="24"/>
          <w:szCs w:val="24"/>
        </w:rPr>
      </w:pPr>
      <w:r>
        <w:rPr>
          <w:rFonts w:hint="eastAsia" w:ascii="宋体" w:hAnsi="宋体" w:eastAsia="宋体" w:cs="宋体"/>
          <w:b/>
          <w:sz w:val="24"/>
          <w:szCs w:val="24"/>
        </w:rPr>
        <w:t>五、运输</w:t>
      </w:r>
    </w:p>
    <w:p w14:paraId="6D2C7A06">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（一）运输由乙方负责，运杂费已包含在合同总价内，包括从货物供应地点至交货地点所含的运输费、装卸费、仓储费、保险费等。</w:t>
      </w:r>
    </w:p>
    <w:p w14:paraId="293AC1DB">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（二）运输方式由乙方自行选择，但必须保证按期交货。</w:t>
      </w:r>
      <w:bookmarkStart w:id="0" w:name="_GoBack"/>
      <w:bookmarkEnd w:id="0"/>
    </w:p>
    <w:p w14:paraId="5F29B087">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（三）因运输产生的一切风险及质量问题均由乙方承担。</w:t>
      </w:r>
    </w:p>
    <w:p w14:paraId="7BDB7191">
      <w:pPr>
        <w:tabs>
          <w:tab w:val="left" w:pos="48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六、质量保证</w:t>
      </w:r>
    </w:p>
    <w:p w14:paraId="2A2456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14:paraId="08B611A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14:paraId="12E02D5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乙方为甲方所供货物须提供以下售后服务：</w:t>
      </w:r>
    </w:p>
    <w:p w14:paraId="6E08BD2B">
      <w:pPr>
        <w:spacing w:line="360" w:lineRule="auto"/>
        <w:ind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1．自设备安装调试并正常投入使用后起,主机及相关配套设备</w:t>
      </w:r>
      <w:r>
        <w:rPr>
          <w:rFonts w:hint="eastAsia" w:ascii="宋体" w:hAnsi="宋体" w:eastAsia="宋体" w:cs="宋体"/>
          <w:b/>
          <w:bCs/>
          <w:color w:val="000000"/>
          <w:sz w:val="24"/>
          <w:szCs w:val="24"/>
          <w:u w:val="single"/>
        </w:rPr>
        <w:t>质保1年</w:t>
      </w:r>
      <w:r>
        <w:rPr>
          <w:rFonts w:hint="eastAsia" w:ascii="宋体" w:hAnsi="宋体" w:eastAsia="宋体" w:cs="宋体"/>
          <w:color w:val="000000"/>
          <w:sz w:val="24"/>
          <w:szCs w:val="24"/>
        </w:rPr>
        <w:t>，并承担质保期内产生的所有维修、维护、保养等费用。</w:t>
      </w:r>
    </w:p>
    <w:p w14:paraId="3D13579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2．在质保期内系统发生故障，维修响应时间≤4小时，维修工程师抵达现场时间≤24小时，排除故障的期限≤48小时。否则甲方有权指定第三方机构维修，维修产生的全部费用由乙方承担；</w:t>
      </w:r>
    </w:p>
    <w:p w14:paraId="409E8D3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3．在设备最终验收后的质量保证期内，乙方对由于设计、工艺或材料的缺陷而产生的故障负责（负责解决并承担全部费用）。质保期满后如出现此类问题亦应负责。</w:t>
      </w:r>
    </w:p>
    <w:p w14:paraId="6DA29C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4．每年派技术人员到现场走访，给予检查维护；</w:t>
      </w:r>
    </w:p>
    <w:p w14:paraId="09AF7A6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5．质保期结束前，进行系统测试，全面保养维护，确保正常运行。</w:t>
      </w:r>
    </w:p>
    <w:p w14:paraId="28FE312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6．供应商应在合同规定时间内完成仪器的安装调试，并达到标书和技术文件（仪器说明书等）要求的性能，如果现场安装测试指标未通过，购买方有权要求退货并要求赔偿损失。</w:t>
      </w:r>
    </w:p>
    <w:p w14:paraId="2F60F062">
      <w:pPr>
        <w:tabs>
          <w:tab w:val="left" w:pos="48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八、技术与服务</w:t>
      </w:r>
    </w:p>
    <w:p w14:paraId="204D5F43">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（一）技术资料：</w:t>
      </w:r>
    </w:p>
    <w:p w14:paraId="65EDF74F">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1.完整的设备操作使用手册和维护、修理技术文件，图纸、保修卡等。</w:t>
      </w:r>
    </w:p>
    <w:p w14:paraId="56B90BD3">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2.制造厂的检验、测试报告、设备检验合格证书，质量保证书等文件须验收时一并提供。        </w:t>
      </w:r>
    </w:p>
    <w:p w14:paraId="32662E40">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3.设备验收标准      </w:t>
      </w:r>
    </w:p>
    <w:p w14:paraId="35E4EF4B">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4.技术说明书                </w:t>
      </w:r>
    </w:p>
    <w:p w14:paraId="3FED134A">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5.使用说明书                </w:t>
      </w:r>
    </w:p>
    <w:p w14:paraId="146E9D5D">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6.系统安装，调试、维修线路图及原理图</w:t>
      </w:r>
    </w:p>
    <w:p w14:paraId="11F245FB">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7.零部件目录                 </w:t>
      </w:r>
    </w:p>
    <w:p w14:paraId="2E41B8AB">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8.备品备件、易损件清单</w:t>
      </w:r>
    </w:p>
    <w:p w14:paraId="32E87AF2">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9.必须的其它技术资料。      </w:t>
      </w:r>
    </w:p>
    <w:p w14:paraId="4938B71E">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10.合同中要求的其他文件资料</w:t>
      </w:r>
    </w:p>
    <w:p w14:paraId="24297297">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（二）培训要求：安装验收后，乙方需为甲方免费培训操作使用技术人员2名，提高操作培训2名，培训服务以受培训人员熟练掌握相应技能为原则。培训内容包括仪器原理，仪器操作，保养维修等技</w:t>
      </w:r>
      <w:r>
        <w:rPr>
          <w:rFonts w:hint="eastAsia" w:ascii="宋体" w:hAnsi="宋体" w:eastAsia="宋体" w:cs="宋体"/>
          <w:bCs/>
          <w:sz w:val="24"/>
          <w:szCs w:val="24"/>
          <w:highlight w:val="none"/>
        </w:rPr>
        <w:t>术。（包教会）</w:t>
      </w:r>
    </w:p>
    <w:p w14:paraId="4F83CB8C">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（三）服务承诺：以投标文件、澄清表（函）、合同和随货物的相关文件为准。</w:t>
      </w:r>
    </w:p>
    <w:p w14:paraId="123EC8D3">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九、验收</w:t>
      </w:r>
    </w:p>
    <w:p w14:paraId="7A47CBD0">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由甲方和乙方共同对设备进行验收。其内容包括确认设备的准确产地、规格、型号和数量，对其设备技术指标、性能参数进行逐项检查。</w:t>
      </w:r>
    </w:p>
    <w:p w14:paraId="5645367C">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1.验收设备的指标、性能参数通过验收达到合同要求，或出现甲方不能正常使用的情况，将视为设备验收不合格，乙方应免费更换或退货。</w:t>
      </w:r>
    </w:p>
    <w:p w14:paraId="5C76BF4F">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2.若发现乙方有弄虚作假的，故意或随意夸大设备技术性能，甲方除要求退货外，有权要求乙方赔偿甲方相应的损失。</w:t>
      </w:r>
    </w:p>
    <w:p w14:paraId="0285B358">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3.验收标准：系统及设备按合同文件及澄清等技术指标进行验收。设备质量、安装调试各项指标均应符合验收标准及要求。</w:t>
      </w:r>
    </w:p>
    <w:p w14:paraId="225F58A0">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4.验收合格后，填写验收单，甲方签字后生效。                </w:t>
      </w:r>
    </w:p>
    <w:p w14:paraId="0202CF39">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5.验收依据：                                                    </w:t>
      </w:r>
    </w:p>
    <w:p w14:paraId="1D85341A">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5.1本合同文本：                                                                         </w:t>
      </w:r>
    </w:p>
    <w:p w14:paraId="6CD2D49C">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5.2国家和行业制定的相应的标准和规范。                          </w:t>
      </w:r>
    </w:p>
    <w:p w14:paraId="32E155C6">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5.3设备验收清单（注明各部件的品名、数量、价格、规格型号、原产地和生产厂家）。</w:t>
      </w:r>
    </w:p>
    <w:p w14:paraId="077D4DEE">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十、违约责任</w:t>
      </w:r>
    </w:p>
    <w:p w14:paraId="4BB4D1BE">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（一）按《民法典》中的相关条款执行。</w:t>
      </w:r>
    </w:p>
    <w:p w14:paraId="13FF7AEA">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4455B8DC">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789EF04B">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2.乙方支付甲方违约金，违约金计算方法：以合同总价为基数，支付甲方合同总价的30%为违约金。同时对乙方的违约行为报监管机构进行相应的处罚。</w:t>
      </w:r>
    </w:p>
    <w:p w14:paraId="70262EC5">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十一、合同争议解决的方式</w:t>
      </w:r>
    </w:p>
    <w:p w14:paraId="1602E3A7">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本合同在履行过程中发生的争议，由甲、乙双方当事人协商解决，协商不成的依法向甲方所在地人民法院起诉。</w:t>
      </w:r>
    </w:p>
    <w:p w14:paraId="61FC5D51">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十二、合同生效</w:t>
      </w:r>
    </w:p>
    <w:p w14:paraId="2C64EDE2">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本合同一式</w:t>
      </w:r>
      <w:r>
        <w:rPr>
          <w:rFonts w:hint="eastAsia" w:ascii="宋体" w:hAnsi="宋体" w:eastAsia="宋体" w:cs="宋体"/>
          <w:b/>
          <w:bCs/>
          <w:color w:val="000000"/>
          <w:sz w:val="24"/>
          <w:szCs w:val="24"/>
          <w:u w:val="single"/>
        </w:rPr>
        <w:t>柒</w:t>
      </w:r>
      <w:r>
        <w:rPr>
          <w:rFonts w:hint="eastAsia" w:ascii="宋体" w:hAnsi="宋体" w:eastAsia="宋体" w:cs="宋体"/>
          <w:color w:val="000000"/>
          <w:sz w:val="24"/>
          <w:szCs w:val="24"/>
        </w:rPr>
        <w:t>份，甲方</w:t>
      </w:r>
      <w:r>
        <w:rPr>
          <w:rFonts w:hint="eastAsia" w:ascii="宋体" w:hAnsi="宋体" w:eastAsia="宋体" w:cs="宋体"/>
          <w:b/>
          <w:bCs/>
          <w:color w:val="000000"/>
          <w:sz w:val="24"/>
          <w:szCs w:val="24"/>
          <w:u w:val="single"/>
        </w:rPr>
        <w:t>伍</w:t>
      </w:r>
      <w:r>
        <w:rPr>
          <w:rFonts w:hint="eastAsia" w:ascii="宋体" w:hAnsi="宋体" w:eastAsia="宋体" w:cs="宋体"/>
          <w:color w:val="000000"/>
          <w:sz w:val="24"/>
          <w:szCs w:val="24"/>
        </w:rPr>
        <w:t>份，乙方</w:t>
      </w:r>
      <w:r>
        <w:rPr>
          <w:rFonts w:hint="eastAsia" w:ascii="宋体" w:hAnsi="宋体" w:eastAsia="宋体" w:cs="宋体"/>
          <w:b/>
          <w:bCs/>
          <w:color w:val="000000"/>
          <w:sz w:val="24"/>
          <w:szCs w:val="24"/>
          <w:u w:val="single"/>
        </w:rPr>
        <w:t>壹</w:t>
      </w:r>
      <w:r>
        <w:rPr>
          <w:rFonts w:hint="eastAsia" w:ascii="宋体" w:hAnsi="宋体" w:eastAsia="宋体" w:cs="宋体"/>
          <w:color w:val="000000"/>
          <w:sz w:val="24"/>
          <w:szCs w:val="24"/>
        </w:rPr>
        <w:t>份，鉴证方</w:t>
      </w:r>
      <w:r>
        <w:rPr>
          <w:rFonts w:hint="eastAsia" w:ascii="宋体" w:hAnsi="宋体" w:eastAsia="宋体" w:cs="宋体"/>
          <w:b/>
          <w:color w:val="000000"/>
          <w:sz w:val="24"/>
          <w:szCs w:val="24"/>
          <w:u w:val="single"/>
        </w:rPr>
        <w:t>壹</w:t>
      </w:r>
      <w:r>
        <w:rPr>
          <w:rFonts w:hint="eastAsia" w:ascii="宋体" w:hAnsi="宋体" w:eastAsia="宋体" w:cs="宋体"/>
          <w:color w:val="000000"/>
          <w:sz w:val="24"/>
          <w:szCs w:val="24"/>
        </w:rPr>
        <w:t>份，本合同经甲方、乙方和鉴证方签字盖章后生效，质保期结束后，自动终止（但合同的服务承诺除外）。</w:t>
      </w:r>
    </w:p>
    <w:p w14:paraId="76ADEC19">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十三、其他事项</w:t>
      </w:r>
    </w:p>
    <w:p w14:paraId="7BE51B8D">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（一）西安市财政局政府采购管理处在合同的履行期间以及履行期后，可以随时检查项目的执行情况，对采购内容、标准进行调查核实，并对发现的问题进行处理。</w:t>
      </w:r>
    </w:p>
    <w:p w14:paraId="043C57A1">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（二）招标文件、投标文件、澄清表（函）、中标通知书、合同附件均成为合同不可分割的部分。</w:t>
      </w:r>
    </w:p>
    <w:p w14:paraId="313DF134">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（三）合同未尽事宜，由甲、乙双方协商，经见证方确认后，签订补充协议，与原合同具有同等法律效力。</w:t>
      </w:r>
    </w:p>
    <w:p w14:paraId="7D1365FF">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AF784FE">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（五）本合同按照中华人民共和国的现行法律进行解释。</w:t>
      </w:r>
    </w:p>
    <w:p w14:paraId="28A69AB5">
      <w:pPr>
        <w:tabs>
          <w:tab w:val="left" w:pos="48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（六）本合同附件作为本合同的组成部分，与本合同具有同等法律效力。</w:t>
      </w:r>
    </w:p>
    <w:p w14:paraId="252B74B2">
      <w:pPr>
        <w:tabs>
          <w:tab w:val="left" w:pos="480"/>
        </w:tabs>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十四、配置清单</w:t>
      </w:r>
    </w:p>
    <w:p w14:paraId="726974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见附件</w:t>
      </w:r>
    </w:p>
    <w:p w14:paraId="5647F0DA">
      <w:pPr>
        <w:tabs>
          <w:tab w:val="left" w:pos="48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（以下无正文）</w:t>
      </w:r>
    </w:p>
    <w:p w14:paraId="484BF91D">
      <w:pPr>
        <w:tabs>
          <w:tab w:val="left" w:pos="480"/>
        </w:tabs>
        <w:spacing w:line="360" w:lineRule="auto"/>
        <w:rPr>
          <w:rFonts w:hint="eastAsia" w:ascii="宋体" w:hAnsi="宋体" w:eastAsia="宋体" w:cs="宋体"/>
          <w:sz w:val="24"/>
          <w:szCs w:val="24"/>
        </w:rPr>
      </w:pPr>
    </w:p>
    <w:p w14:paraId="39CFD15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6F86EA29">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color w:val="000000"/>
          <w:sz w:val="24"/>
          <w:szCs w:val="24"/>
        </w:rPr>
        <w:t>西安市疾病预防控制中心</w:t>
      </w:r>
      <w:r>
        <w:rPr>
          <w:rFonts w:hint="eastAsia" w:ascii="宋体" w:hAnsi="宋体" w:eastAsia="宋体" w:cs="宋体"/>
          <w:sz w:val="24"/>
          <w:szCs w:val="24"/>
        </w:rPr>
        <w:t xml:space="preserve">            单位名称:xxxx</w:t>
      </w:r>
    </w:p>
    <w:p w14:paraId="64572611">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color w:val="000000"/>
          <w:sz w:val="24"/>
          <w:szCs w:val="24"/>
        </w:rPr>
        <w:t xml:space="preserve">西安市雁塔区西影路599号 </w:t>
      </w:r>
      <w:r>
        <w:rPr>
          <w:rFonts w:hint="eastAsia" w:ascii="宋体" w:hAnsi="宋体" w:eastAsia="宋体" w:cs="宋体"/>
          <w:sz w:val="24"/>
          <w:szCs w:val="24"/>
        </w:rPr>
        <w:t xml:space="preserve">           地  址：xxxx</w:t>
      </w:r>
    </w:p>
    <w:p w14:paraId="380607AA">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法定代表人：（签字）                         法定代表人或代理人：（签字） </w:t>
      </w:r>
    </w:p>
    <w:p w14:paraId="21CD02F0">
      <w:pPr>
        <w:tabs>
          <w:tab w:val="left" w:pos="480"/>
        </w:tabs>
        <w:spacing w:line="360" w:lineRule="auto"/>
        <w:ind w:firstLine="1680" w:firstLineChars="700"/>
        <w:rPr>
          <w:rFonts w:hint="eastAsia" w:ascii="宋体" w:hAnsi="宋体" w:eastAsia="宋体" w:cs="宋体"/>
          <w:sz w:val="24"/>
          <w:szCs w:val="24"/>
        </w:rPr>
      </w:pPr>
      <w:r>
        <w:rPr>
          <w:rFonts w:hint="eastAsia" w:ascii="宋体" w:hAnsi="宋体" w:eastAsia="宋体" w:cs="宋体"/>
          <w:sz w:val="24"/>
          <w:szCs w:val="24"/>
        </w:rPr>
        <w:t xml:space="preserve">                              </w:t>
      </w:r>
    </w:p>
    <w:p w14:paraId="4E4EF312">
      <w:pPr>
        <w:tabs>
          <w:tab w:val="left" w:pos="480"/>
        </w:tabs>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 xml:space="preserve">                开户银行:xxxx</w:t>
      </w:r>
    </w:p>
    <w:p w14:paraId="17899D74">
      <w:pPr>
        <w:tabs>
          <w:tab w:val="left" w:pos="480"/>
        </w:tabs>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帐    号：xxxx</w:t>
      </w:r>
    </w:p>
    <w:p w14:paraId="28BC288A">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3D8BF691">
      <w:pPr>
        <w:tabs>
          <w:tab w:val="left" w:pos="480"/>
        </w:tabs>
        <w:spacing w:line="360" w:lineRule="auto"/>
        <w:rPr>
          <w:rFonts w:hint="eastAsia" w:ascii="宋体" w:hAnsi="宋体" w:eastAsia="宋体" w:cs="宋体"/>
          <w:sz w:val="24"/>
          <w:szCs w:val="24"/>
        </w:rPr>
      </w:pPr>
    </w:p>
    <w:p w14:paraId="33B11B38">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鉴证方（法人公章）</w:t>
      </w:r>
    </w:p>
    <w:p w14:paraId="2AD2A398">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单位名称：</w:t>
      </w:r>
    </w:p>
    <w:p w14:paraId="7A868201">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代 理 人：             （签字）</w:t>
      </w:r>
    </w:p>
    <w:p w14:paraId="3126C31B">
      <w:pPr>
        <w:pStyle w:val="3"/>
        <w:spacing w:line="560" w:lineRule="exact"/>
        <w:rPr>
          <w:ins w:id="0" w:author="标典律师" w:date="2018-12-30T11:56:00Z"/>
          <w:rFonts w:hint="eastAsia" w:ascii="宋体" w:hAnsi="宋体" w:eastAsia="宋体" w:cs="宋体"/>
          <w:sz w:val="24"/>
          <w:szCs w:val="24"/>
        </w:rPr>
      </w:pPr>
      <w:r>
        <w:rPr>
          <w:rFonts w:hint="eastAsia" w:ascii="宋体" w:hAnsi="宋体" w:eastAsia="宋体" w:cs="宋体"/>
          <w:sz w:val="24"/>
          <w:szCs w:val="24"/>
        </w:rPr>
        <w:t>签订日期：     年   月   日</w:t>
      </w:r>
    </w:p>
    <w:p w14:paraId="638B240A">
      <w:pPr>
        <w:tabs>
          <w:tab w:val="left" w:pos="480"/>
        </w:tabs>
        <w:spacing w:line="300" w:lineRule="auto"/>
        <w:rPr>
          <w:rFonts w:hint="eastAsia" w:ascii="宋体" w:hAnsi="宋体" w:eastAsia="宋体" w:cs="宋体"/>
          <w:sz w:val="24"/>
          <w:szCs w:val="24"/>
        </w:rPr>
      </w:pPr>
    </w:p>
    <w:p w14:paraId="267992E8"/>
    <w:sectPr>
      <w:pgSz w:w="11906" w:h="16838"/>
      <w:pgMar w:top="1440" w:right="1417" w:bottom="1440"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00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sz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2025-05-19T07:32:08Z</dcterms:created>
  <dc:creator>Administrator</dc:creator>
  <cp:lastModifiedBy>夏日微凉</cp:lastModifiedBy>
  <dcterms:modified xsi:type="dcterms:W3CDTF">2025-05-19T07:34:48Z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B2A79D8752184373917B4D57B3155EBD_12</vt:lpwstr>
  </property>
</Properties>
</file>