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3"/>
        <w:spacing w:line="360" w:lineRule="auto"/>
        <w:jc w:val="center"/>
        <w:rPr>
          <w:rFonts w:hint="eastAsia" w:ascii="仿宋" w:hAnsi="仿宋" w:eastAsia="仿宋" w:cs="仿宋"/>
          <w:bCs/>
          <w:szCs w:val="32"/>
        </w:rPr>
      </w:pPr>
      <w:bookmarkStart w:id="0" w:name="_Toc19926"/>
      <w:bookmarkStart w:id="1" w:name="_Toc10614"/>
      <w:bookmarkStart w:id="2" w:name="_Toc10247"/>
      <w:r>
        <w:rPr>
          <w:rFonts w:hint="eastAsia" w:ascii="仿宋" w:hAnsi="仿宋" w:eastAsia="仿宋" w:cs="仿宋"/>
          <w:szCs w:val="48"/>
        </w:rPr>
        <w:t>资格证明文件</w:t>
      </w:r>
      <w:bookmarkEnd w:id="0"/>
      <w:bookmarkEnd w:id="1"/>
      <w:bookmarkEnd w:id="2"/>
    </w:p>
    <w:p w14:paraId="0C7EE2A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596F09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14:paraId="12CC2B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2、具有良好的商业信誉和健全的财务会计制度（提供2023或2024年度财务审计报告或开标前近6个月内的银行资信证明或财政部门认可的政府采购专业担保机构出具的投标担保函）；</w:t>
      </w:r>
    </w:p>
    <w:p w14:paraId="4D9C7E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14:paraId="6CC8F24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4、具有依法缴纳税收和社会保障资金的良好记录（提供开标前6个月内任一月份的社保和缴纳税收的证明，依法不需要缴纳社会保障资金、免税或无须缴纳税款的供应商，应提供相关证明文件)；</w:t>
      </w:r>
    </w:p>
    <w:p w14:paraId="0C0CBBA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5、参加政府采购活动前三年内，在经营活动中没有重大违法记录（格式详见附</w:t>
      </w:r>
      <w:r>
        <w:rPr>
          <w:rFonts w:hint="eastAsia" w:ascii="仿宋" w:hAnsi="仿宋" w:eastAsia="仿宋" w:cs="仿宋"/>
          <w:sz w:val="24"/>
          <w:szCs w:val="24"/>
          <w:highlight w:val="none"/>
        </w:rPr>
        <w:t>件）。</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0D8E3A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本项目为专门面向中小企业采购项目。</w:t>
      </w:r>
    </w:p>
    <w:p w14:paraId="2F56CA3B">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、特定资格条件：</w:t>
      </w:r>
    </w:p>
    <w:p w14:paraId="34C9029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供应商须具备《国家秘密载体印制资质》乙级及以上资质（内容包含“涉密档案数字化加工”类）；外省企业需在陕西省国家保密局备案证明（甲级资质无需备案）。</w:t>
      </w: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5"/>
        <w:spacing w:line="360" w:lineRule="auto"/>
        <w:rPr>
          <w:rFonts w:hint="eastAsia" w:ascii="仿宋" w:hAnsi="仿宋" w:eastAsia="仿宋" w:cs="仿宋"/>
        </w:rPr>
      </w:pPr>
    </w:p>
    <w:p w14:paraId="0C4AEF8E">
      <w:pPr>
        <w:pStyle w:val="5"/>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06027E3E">
      <w:pPr>
        <w:pStyle w:val="4"/>
        <w:spacing w:line="360" w:lineRule="auto"/>
        <w:rPr>
          <w:rFonts w:hint="eastAsia" w:ascii="仿宋" w:hAnsi="仿宋" w:eastAsia="仿宋" w:cs="仿宋"/>
        </w:rPr>
      </w:pPr>
      <w:r>
        <w:rPr>
          <w:rFonts w:hint="eastAsia" w:ascii="仿宋" w:hAnsi="仿宋" w:eastAsia="仿宋" w:cs="仿宋"/>
          <w:szCs w:val="32"/>
        </w:rPr>
        <w:br w:type="page"/>
      </w:r>
      <w:bookmarkStart w:id="3" w:name="_Toc22702"/>
      <w:bookmarkStart w:id="4" w:name="_Toc10864"/>
      <w:bookmarkStart w:id="5" w:name="_Toc6866"/>
      <w:bookmarkStart w:id="6" w:name="_Toc27382"/>
      <w:bookmarkStart w:id="7" w:name="_Toc29738"/>
      <w:bookmarkStart w:id="8" w:name="_Toc8058"/>
      <w:bookmarkStart w:id="9" w:name="_Toc21692"/>
      <w:bookmarkStart w:id="10" w:name="_Toc5356"/>
      <w:bookmarkStart w:id="11" w:name="_Toc31448"/>
      <w:r>
        <w:rPr>
          <w:rFonts w:hint="eastAsia" w:ascii="仿宋" w:hAnsi="仿宋" w:eastAsia="仿宋" w:cs="仿宋"/>
          <w:b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3"/>
      <w:bookmarkEnd w:id="4"/>
      <w:bookmarkEnd w:id="5"/>
      <w:bookmarkEnd w:id="6"/>
      <w:bookmarkEnd w:id="7"/>
      <w:bookmarkEnd w:id="8"/>
      <w:bookmarkEnd w:id="9"/>
      <w:bookmarkEnd w:id="10"/>
      <w:bookmarkEnd w:id="11"/>
    </w:p>
    <w:p w14:paraId="6244FF28">
      <w:pPr>
        <w:pStyle w:val="4"/>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2" w:name="_Toc8771"/>
      <w:bookmarkStart w:id="13" w:name="_Toc13290"/>
      <w:bookmarkStart w:id="14" w:name="_Toc8429"/>
      <w:bookmarkStart w:id="15" w:name="_Toc1077"/>
      <w:bookmarkStart w:id="16" w:name="_Toc30440"/>
      <w:bookmarkStart w:id="17" w:name="_Toc14174"/>
      <w:bookmarkStart w:id="18" w:name="_Toc10634"/>
      <w:bookmarkStart w:id="19" w:name="_Toc3931"/>
      <w:bookmarkStart w:id="20" w:name="_Toc13419"/>
      <w:r>
        <w:rPr>
          <w:rFonts w:hint="eastAsia" w:ascii="仿宋" w:hAnsi="仿宋" w:eastAsia="仿宋" w:cs="仿宋"/>
          <w:sz w:val="24"/>
          <w:szCs w:val="24"/>
        </w:rPr>
        <w:t>具有良好的商业信誉和健全的财务会计制度（提供2023或2024年度财务审计报告或开标前近6个月内的银行资信证明或财政部门认可的政府采购专业担保机构出具的投标担保函）；</w:t>
      </w:r>
      <w:bookmarkEnd w:id="12"/>
      <w:bookmarkEnd w:id="13"/>
      <w:bookmarkEnd w:id="14"/>
      <w:bookmarkEnd w:id="15"/>
      <w:bookmarkEnd w:id="16"/>
      <w:bookmarkEnd w:id="17"/>
      <w:bookmarkEnd w:id="18"/>
      <w:bookmarkEnd w:id="19"/>
      <w:bookmarkEnd w:id="20"/>
    </w:p>
    <w:p w14:paraId="6B7DEED5">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21" w:name="_Toc18264"/>
      <w:bookmarkStart w:id="22" w:name="_Toc17741"/>
      <w:bookmarkStart w:id="23" w:name="_Toc27657"/>
      <w:bookmarkStart w:id="24" w:name="_Toc18078"/>
      <w:bookmarkStart w:id="25" w:name="_Toc15773"/>
      <w:bookmarkStart w:id="26" w:name="_Toc8075"/>
      <w:bookmarkStart w:id="27" w:name="_Toc27004"/>
      <w:bookmarkStart w:id="28" w:name="_Toc3343"/>
      <w:bookmarkStart w:id="29" w:name="_Toc11868"/>
      <w:bookmarkStart w:id="30" w:name="_Toc26700"/>
      <w:r>
        <w:rPr>
          <w:rFonts w:hint="eastAsia" w:ascii="仿宋" w:hAnsi="仿宋" w:eastAsia="仿宋" w:cs="仿宋"/>
          <w:sz w:val="24"/>
          <w:szCs w:val="24"/>
        </w:rPr>
        <w:t>具有履行合同所必需的设备和专业技术能力；</w:t>
      </w:r>
      <w:bookmarkEnd w:id="21"/>
      <w:bookmarkEnd w:id="22"/>
      <w:bookmarkEnd w:id="23"/>
      <w:bookmarkEnd w:id="24"/>
      <w:bookmarkEnd w:id="25"/>
      <w:bookmarkEnd w:id="26"/>
      <w:bookmarkEnd w:id="27"/>
      <w:bookmarkEnd w:id="28"/>
      <w:bookmarkEnd w:id="29"/>
      <w:bookmarkEnd w:id="30"/>
    </w:p>
    <w:p w14:paraId="70841E1F">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val="en-US" w:eastAsia="zh-CN"/>
        </w:rPr>
        <w:t xml:space="preserve">致                     </w:t>
      </w:r>
      <w:r>
        <w:rPr>
          <w:rFonts w:hint="eastAsia" w:ascii="仿宋" w:hAnsi="仿宋" w:eastAsia="仿宋" w:cs="仿宋"/>
          <w:spacing w:val="4"/>
          <w:sz w:val="24"/>
          <w:szCs w:val="24"/>
          <w:u w:val="single"/>
        </w:rPr>
        <w:t>：</w:t>
      </w:r>
    </w:p>
    <w:p w14:paraId="335989E9">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0141C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5B1FDFFC">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73430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49491B21">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0C759E10">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90BB5DE">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0539ABB9">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00CE9DC6">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6254C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2B02AF95">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49B5CDDB">
            <w:pPr>
              <w:spacing w:line="360" w:lineRule="auto"/>
              <w:jc w:val="center"/>
              <w:rPr>
                <w:rFonts w:hint="eastAsia" w:ascii="仿宋" w:hAnsi="仿宋" w:eastAsia="仿宋" w:cs="仿宋"/>
                <w:sz w:val="24"/>
              </w:rPr>
            </w:pPr>
          </w:p>
        </w:tc>
        <w:tc>
          <w:tcPr>
            <w:tcW w:w="2268" w:type="dxa"/>
            <w:noWrap w:val="0"/>
            <w:vAlign w:val="center"/>
          </w:tcPr>
          <w:p w14:paraId="45A1C80A">
            <w:pPr>
              <w:spacing w:line="360" w:lineRule="auto"/>
              <w:jc w:val="center"/>
              <w:rPr>
                <w:rFonts w:hint="eastAsia" w:ascii="仿宋" w:hAnsi="仿宋" w:eastAsia="仿宋" w:cs="仿宋"/>
                <w:sz w:val="24"/>
              </w:rPr>
            </w:pPr>
          </w:p>
        </w:tc>
        <w:tc>
          <w:tcPr>
            <w:tcW w:w="851" w:type="dxa"/>
            <w:noWrap w:val="0"/>
            <w:vAlign w:val="center"/>
          </w:tcPr>
          <w:p w14:paraId="45F029F5">
            <w:pPr>
              <w:spacing w:line="360" w:lineRule="auto"/>
              <w:jc w:val="center"/>
              <w:rPr>
                <w:rFonts w:hint="eastAsia" w:ascii="仿宋" w:hAnsi="仿宋" w:eastAsia="仿宋" w:cs="仿宋"/>
                <w:sz w:val="24"/>
              </w:rPr>
            </w:pPr>
          </w:p>
        </w:tc>
        <w:tc>
          <w:tcPr>
            <w:tcW w:w="1621" w:type="dxa"/>
            <w:noWrap w:val="0"/>
            <w:vAlign w:val="center"/>
          </w:tcPr>
          <w:p w14:paraId="4516A03C">
            <w:pPr>
              <w:spacing w:line="360" w:lineRule="auto"/>
              <w:jc w:val="center"/>
              <w:rPr>
                <w:rFonts w:hint="eastAsia" w:ascii="仿宋" w:hAnsi="仿宋" w:eastAsia="仿宋" w:cs="仿宋"/>
                <w:sz w:val="24"/>
              </w:rPr>
            </w:pPr>
          </w:p>
        </w:tc>
      </w:tr>
      <w:tr w14:paraId="4158F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06A9C692">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3640849">
            <w:pPr>
              <w:spacing w:line="360" w:lineRule="auto"/>
              <w:jc w:val="center"/>
              <w:rPr>
                <w:rFonts w:hint="eastAsia" w:ascii="仿宋" w:hAnsi="仿宋" w:eastAsia="仿宋" w:cs="仿宋"/>
                <w:sz w:val="24"/>
              </w:rPr>
            </w:pPr>
          </w:p>
        </w:tc>
        <w:tc>
          <w:tcPr>
            <w:tcW w:w="2268" w:type="dxa"/>
            <w:noWrap w:val="0"/>
            <w:vAlign w:val="center"/>
          </w:tcPr>
          <w:p w14:paraId="74774A16">
            <w:pPr>
              <w:spacing w:line="360" w:lineRule="auto"/>
              <w:jc w:val="center"/>
              <w:rPr>
                <w:rFonts w:hint="eastAsia" w:ascii="仿宋" w:hAnsi="仿宋" w:eastAsia="仿宋" w:cs="仿宋"/>
                <w:sz w:val="24"/>
              </w:rPr>
            </w:pPr>
          </w:p>
        </w:tc>
        <w:tc>
          <w:tcPr>
            <w:tcW w:w="851" w:type="dxa"/>
            <w:noWrap w:val="0"/>
            <w:vAlign w:val="center"/>
          </w:tcPr>
          <w:p w14:paraId="02A2FA6A">
            <w:pPr>
              <w:spacing w:line="360" w:lineRule="auto"/>
              <w:jc w:val="center"/>
              <w:rPr>
                <w:rFonts w:hint="eastAsia" w:ascii="仿宋" w:hAnsi="仿宋" w:eastAsia="仿宋" w:cs="仿宋"/>
                <w:sz w:val="24"/>
              </w:rPr>
            </w:pPr>
          </w:p>
        </w:tc>
        <w:tc>
          <w:tcPr>
            <w:tcW w:w="1621" w:type="dxa"/>
            <w:noWrap w:val="0"/>
            <w:vAlign w:val="center"/>
          </w:tcPr>
          <w:p w14:paraId="6843147B">
            <w:pPr>
              <w:spacing w:line="360" w:lineRule="auto"/>
              <w:jc w:val="center"/>
              <w:rPr>
                <w:rFonts w:hint="eastAsia" w:ascii="仿宋" w:hAnsi="仿宋" w:eastAsia="仿宋" w:cs="仿宋"/>
                <w:sz w:val="24"/>
              </w:rPr>
            </w:pPr>
          </w:p>
        </w:tc>
      </w:tr>
      <w:tr w14:paraId="41015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15C84D6">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2D88B40C">
            <w:pPr>
              <w:spacing w:line="360" w:lineRule="auto"/>
              <w:jc w:val="center"/>
              <w:rPr>
                <w:rFonts w:hint="eastAsia" w:ascii="仿宋" w:hAnsi="仿宋" w:eastAsia="仿宋" w:cs="仿宋"/>
                <w:sz w:val="24"/>
              </w:rPr>
            </w:pPr>
          </w:p>
        </w:tc>
        <w:tc>
          <w:tcPr>
            <w:tcW w:w="2268" w:type="dxa"/>
            <w:noWrap w:val="0"/>
            <w:vAlign w:val="center"/>
          </w:tcPr>
          <w:p w14:paraId="24AD9473">
            <w:pPr>
              <w:spacing w:line="360" w:lineRule="auto"/>
              <w:jc w:val="center"/>
              <w:rPr>
                <w:rFonts w:hint="eastAsia" w:ascii="仿宋" w:hAnsi="仿宋" w:eastAsia="仿宋" w:cs="仿宋"/>
                <w:sz w:val="24"/>
              </w:rPr>
            </w:pPr>
          </w:p>
        </w:tc>
        <w:tc>
          <w:tcPr>
            <w:tcW w:w="851" w:type="dxa"/>
            <w:noWrap w:val="0"/>
            <w:vAlign w:val="center"/>
          </w:tcPr>
          <w:p w14:paraId="5AACB39B">
            <w:pPr>
              <w:spacing w:line="360" w:lineRule="auto"/>
              <w:jc w:val="center"/>
              <w:rPr>
                <w:rFonts w:hint="eastAsia" w:ascii="仿宋" w:hAnsi="仿宋" w:eastAsia="仿宋" w:cs="仿宋"/>
                <w:sz w:val="24"/>
              </w:rPr>
            </w:pPr>
          </w:p>
        </w:tc>
        <w:tc>
          <w:tcPr>
            <w:tcW w:w="1621" w:type="dxa"/>
            <w:noWrap w:val="0"/>
            <w:vAlign w:val="center"/>
          </w:tcPr>
          <w:p w14:paraId="5DC8FDC6">
            <w:pPr>
              <w:spacing w:line="360" w:lineRule="auto"/>
              <w:jc w:val="center"/>
              <w:rPr>
                <w:rFonts w:hint="eastAsia" w:ascii="仿宋" w:hAnsi="仿宋" w:eastAsia="仿宋" w:cs="仿宋"/>
                <w:sz w:val="24"/>
              </w:rPr>
            </w:pPr>
          </w:p>
        </w:tc>
      </w:tr>
      <w:tr w14:paraId="3BA98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7CB62BE">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497FE34A">
            <w:pPr>
              <w:spacing w:line="360" w:lineRule="auto"/>
              <w:jc w:val="center"/>
              <w:rPr>
                <w:rFonts w:hint="eastAsia" w:ascii="仿宋" w:hAnsi="仿宋" w:eastAsia="仿宋" w:cs="仿宋"/>
                <w:sz w:val="24"/>
              </w:rPr>
            </w:pPr>
          </w:p>
        </w:tc>
        <w:tc>
          <w:tcPr>
            <w:tcW w:w="2268" w:type="dxa"/>
            <w:noWrap w:val="0"/>
            <w:vAlign w:val="center"/>
          </w:tcPr>
          <w:p w14:paraId="3DF89E59">
            <w:pPr>
              <w:spacing w:line="360" w:lineRule="auto"/>
              <w:jc w:val="center"/>
              <w:rPr>
                <w:rFonts w:hint="eastAsia" w:ascii="仿宋" w:hAnsi="仿宋" w:eastAsia="仿宋" w:cs="仿宋"/>
                <w:sz w:val="24"/>
              </w:rPr>
            </w:pPr>
          </w:p>
        </w:tc>
        <w:tc>
          <w:tcPr>
            <w:tcW w:w="851" w:type="dxa"/>
            <w:noWrap w:val="0"/>
            <w:vAlign w:val="center"/>
          </w:tcPr>
          <w:p w14:paraId="76CF1A46">
            <w:pPr>
              <w:spacing w:line="360" w:lineRule="auto"/>
              <w:jc w:val="center"/>
              <w:rPr>
                <w:rFonts w:hint="eastAsia" w:ascii="仿宋" w:hAnsi="仿宋" w:eastAsia="仿宋" w:cs="仿宋"/>
                <w:sz w:val="24"/>
              </w:rPr>
            </w:pPr>
          </w:p>
        </w:tc>
        <w:tc>
          <w:tcPr>
            <w:tcW w:w="1621" w:type="dxa"/>
            <w:noWrap w:val="0"/>
            <w:vAlign w:val="center"/>
          </w:tcPr>
          <w:p w14:paraId="56310F52">
            <w:pPr>
              <w:spacing w:line="360" w:lineRule="auto"/>
              <w:jc w:val="center"/>
              <w:rPr>
                <w:rFonts w:hint="eastAsia" w:ascii="仿宋" w:hAnsi="仿宋" w:eastAsia="仿宋" w:cs="仿宋"/>
                <w:sz w:val="24"/>
              </w:rPr>
            </w:pPr>
          </w:p>
        </w:tc>
      </w:tr>
    </w:tbl>
    <w:p w14:paraId="1452914A">
      <w:pPr>
        <w:spacing w:before="240" w:beforeLines="100" w:after="120" w:afterLines="50" w:line="360" w:lineRule="auto"/>
        <w:ind w:firstLine="170"/>
        <w:rPr>
          <w:rFonts w:hint="eastAsia" w:ascii="仿宋" w:hAnsi="仿宋" w:eastAsia="仿宋" w:cs="仿宋"/>
          <w:spacing w:val="4"/>
          <w:sz w:val="24"/>
          <w:szCs w:val="24"/>
        </w:rPr>
      </w:pPr>
    </w:p>
    <w:p w14:paraId="0DCAEEB8">
      <w:pPr>
        <w:pStyle w:val="2"/>
        <w:numPr>
          <w:numId w:val="0"/>
        </w:numPr>
        <w:tabs>
          <w:tab w:val="clear" w:pos="864"/>
        </w:tabs>
        <w:spacing w:line="360" w:lineRule="auto"/>
        <w:ind w:leftChars="0"/>
        <w:rPr>
          <w:rFonts w:hint="eastAsia" w:ascii="仿宋" w:hAnsi="仿宋" w:eastAsia="仿宋" w:cs="仿宋"/>
          <w:spacing w:val="4"/>
          <w:sz w:val="24"/>
          <w:szCs w:val="24"/>
        </w:rPr>
      </w:pPr>
    </w:p>
    <w:p w14:paraId="533EC480">
      <w:pPr>
        <w:spacing w:line="360" w:lineRule="auto"/>
        <w:rPr>
          <w:rFonts w:hint="eastAsia" w:ascii="仿宋" w:hAnsi="仿宋" w:eastAsia="仿宋" w:cs="仿宋"/>
          <w:sz w:val="24"/>
          <w:szCs w:val="24"/>
        </w:rPr>
      </w:pPr>
    </w:p>
    <w:p w14:paraId="4BF23EB7">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3A23E709">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0636B55F">
      <w:pPr>
        <w:spacing w:line="360" w:lineRule="auto"/>
        <w:rPr>
          <w:rFonts w:hint="eastAsia" w:ascii="仿宋" w:hAnsi="仿宋" w:eastAsia="仿宋" w:cs="仿宋"/>
        </w:rPr>
      </w:pPr>
    </w:p>
    <w:p w14:paraId="226253F3">
      <w:pPr>
        <w:pStyle w:val="4"/>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31" w:name="_Toc10553"/>
      <w:bookmarkStart w:id="32" w:name="_Toc401"/>
      <w:bookmarkStart w:id="33" w:name="_Toc3044"/>
      <w:bookmarkStart w:id="34" w:name="_Toc4301"/>
      <w:bookmarkStart w:id="35" w:name="_Toc1663"/>
      <w:bookmarkStart w:id="36" w:name="_Toc8263"/>
      <w:bookmarkStart w:id="37" w:name="_Toc15437"/>
      <w:bookmarkStart w:id="38" w:name="_Toc15643"/>
      <w:bookmarkStart w:id="39" w:name="_Toc31898"/>
      <w:r>
        <w:rPr>
          <w:rFonts w:hint="eastAsia" w:ascii="仿宋" w:hAnsi="仿宋" w:eastAsia="仿宋" w:cs="仿宋"/>
          <w:sz w:val="24"/>
          <w:szCs w:val="24"/>
        </w:rPr>
        <w:t>具有依法缴纳税收和社会保障资金的良好记录（提供开标前6个月内任一月份的社保和缴纳税收的证明，依法不需要缴纳社会保障资金、免税或无须缴纳税款的供应商，应提供相关证明文件)；</w:t>
      </w:r>
      <w:bookmarkEnd w:id="31"/>
      <w:bookmarkEnd w:id="32"/>
      <w:bookmarkEnd w:id="33"/>
      <w:bookmarkEnd w:id="34"/>
      <w:bookmarkEnd w:id="35"/>
      <w:bookmarkEnd w:id="36"/>
      <w:bookmarkEnd w:id="37"/>
      <w:bookmarkEnd w:id="38"/>
      <w:bookmarkEnd w:id="39"/>
    </w:p>
    <w:p w14:paraId="5A580CAE">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6AC9B8B1">
      <w:pPr>
        <w:spacing w:line="360" w:lineRule="auto"/>
        <w:rPr>
          <w:rFonts w:hint="eastAsia" w:ascii="仿宋" w:hAnsi="仿宋" w:eastAsia="仿宋" w:cs="仿宋"/>
          <w:sz w:val="24"/>
        </w:rPr>
      </w:pPr>
    </w:p>
    <w:p w14:paraId="15172441">
      <w:pPr>
        <w:spacing w:line="360" w:lineRule="auto"/>
        <w:rPr>
          <w:rFonts w:hint="eastAsia" w:ascii="仿宋" w:hAnsi="仿宋" w:eastAsia="仿宋" w:cs="仿宋"/>
          <w:sz w:val="24"/>
        </w:rPr>
      </w:pPr>
      <w:r>
        <w:rPr>
          <w:rFonts w:hint="eastAsia" w:ascii="仿宋" w:hAnsi="仿宋" w:eastAsia="仿宋" w:cs="仿宋"/>
          <w:sz w:val="24"/>
        </w:rPr>
        <w:t>说明：</w:t>
      </w:r>
    </w:p>
    <w:p w14:paraId="135D17A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1、供应商须依法缴纳社会保障资金，须提供开标截止时间前6个月内任意1个月的社会保障资金缴纳记录复印件并加盖供应商单位公章，新开户的供应商提供社保开户证明，自行编写无效。</w:t>
      </w:r>
    </w:p>
    <w:p w14:paraId="5AC4E1F6">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40" w:name="_Toc109543226"/>
      <w:bookmarkStart w:id="41" w:name="_Toc109542406"/>
      <w:r>
        <w:rPr>
          <w:rFonts w:hint="eastAsia" w:ascii="仿宋" w:hAnsi="仿宋" w:eastAsia="仿宋" w:cs="仿宋"/>
          <w:sz w:val="24"/>
        </w:rPr>
        <w:t>。</w:t>
      </w:r>
      <w:bookmarkEnd w:id="40"/>
      <w:bookmarkEnd w:id="41"/>
    </w:p>
    <w:p w14:paraId="3F4B8576">
      <w:pPr>
        <w:spacing w:line="360" w:lineRule="auto"/>
        <w:rPr>
          <w:rFonts w:hint="eastAsia" w:ascii="仿宋" w:hAnsi="仿宋" w:eastAsia="仿宋" w:cs="仿宋"/>
          <w:sz w:val="24"/>
        </w:rPr>
      </w:pPr>
    </w:p>
    <w:p w14:paraId="0F9B96A1">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73DF32DF">
      <w:pPr>
        <w:spacing w:line="360" w:lineRule="auto"/>
        <w:rPr>
          <w:rFonts w:hint="eastAsia" w:ascii="仿宋" w:hAnsi="仿宋" w:eastAsia="仿宋" w:cs="仿宋"/>
          <w:sz w:val="24"/>
        </w:rPr>
      </w:pPr>
    </w:p>
    <w:p w14:paraId="1BEC0AB1">
      <w:pPr>
        <w:spacing w:line="360" w:lineRule="auto"/>
        <w:rPr>
          <w:rFonts w:hint="eastAsia" w:ascii="仿宋" w:hAnsi="仿宋" w:eastAsia="仿宋" w:cs="仿宋"/>
          <w:sz w:val="24"/>
        </w:rPr>
      </w:pPr>
      <w:r>
        <w:rPr>
          <w:rFonts w:hint="eastAsia" w:ascii="仿宋" w:hAnsi="仿宋" w:eastAsia="仿宋" w:cs="仿宋"/>
          <w:sz w:val="24"/>
        </w:rPr>
        <w:t>说明：</w:t>
      </w:r>
    </w:p>
    <w:p w14:paraId="69ED8581">
      <w:pPr>
        <w:spacing w:line="360" w:lineRule="auto"/>
        <w:rPr>
          <w:rFonts w:hint="eastAsia" w:ascii="仿宋" w:hAnsi="仿宋" w:eastAsia="仿宋" w:cs="仿宋"/>
          <w:sz w:val="24"/>
        </w:rPr>
      </w:pPr>
      <w:r>
        <w:rPr>
          <w:rFonts w:hint="eastAsia" w:ascii="仿宋" w:hAnsi="仿宋" w:eastAsia="仿宋" w:cs="仿宋"/>
          <w:sz w:val="24"/>
        </w:rPr>
        <w:t>1、供应商须提供开标截止时间前6个月内任意1个月的依法缴纳税收记录（依法免税或无须缴纳税款的供应商，应提供相关证明文件)。</w:t>
      </w:r>
    </w:p>
    <w:p w14:paraId="31C8BC42">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141F0AC9">
      <w:pPr>
        <w:pStyle w:val="4"/>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42" w:name="_Toc17122"/>
      <w:bookmarkStart w:id="43" w:name="_Toc12725"/>
      <w:bookmarkStart w:id="44" w:name="_Toc4031"/>
      <w:bookmarkStart w:id="45" w:name="_Toc25153"/>
      <w:bookmarkStart w:id="46" w:name="_Toc28139"/>
      <w:bookmarkStart w:id="47" w:name="_Toc9138"/>
      <w:bookmarkStart w:id="48" w:name="_Toc28150"/>
      <w:bookmarkStart w:id="49" w:name="_Toc30594"/>
      <w:bookmarkStart w:id="50" w:name="_Toc19428"/>
      <w:bookmarkStart w:id="51" w:name="_Toc10315"/>
      <w:r>
        <w:rPr>
          <w:rFonts w:hint="eastAsia" w:ascii="仿宋" w:hAnsi="仿宋" w:eastAsia="仿宋" w:cs="仿宋"/>
          <w:sz w:val="24"/>
          <w:szCs w:val="24"/>
        </w:rPr>
        <w:t>参加政府采购活动前三年内，在经营活动中没有重大违法记录；</w:t>
      </w:r>
      <w:bookmarkEnd w:id="42"/>
      <w:bookmarkEnd w:id="43"/>
      <w:bookmarkEnd w:id="44"/>
      <w:bookmarkEnd w:id="45"/>
      <w:bookmarkEnd w:id="46"/>
      <w:bookmarkEnd w:id="47"/>
      <w:bookmarkEnd w:id="48"/>
      <w:bookmarkEnd w:id="49"/>
      <w:bookmarkEnd w:id="50"/>
      <w:bookmarkEnd w:id="51"/>
    </w:p>
    <w:p w14:paraId="40F01C15">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val="en-US" w:eastAsia="zh-CN"/>
        </w:rPr>
        <w:t xml:space="preserve">致                </w:t>
      </w:r>
      <w:bookmarkStart w:id="56" w:name="_GoBack"/>
      <w:bookmarkEnd w:id="56"/>
      <w:r>
        <w:rPr>
          <w:rFonts w:hint="eastAsia" w:ascii="仿宋" w:hAnsi="仿宋" w:eastAsia="仿宋" w:cs="仿宋"/>
          <w:szCs w:val="24"/>
          <w:u w:val="single"/>
          <w:shd w:val="clear" w:color="auto" w:fill="FFFFFF"/>
        </w:rPr>
        <w:t>：</w:t>
      </w:r>
    </w:p>
    <w:p w14:paraId="3209A833">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56C34E5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66103B8">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5A192D70">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042B5BE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2485747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64F6ECDD">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4CAADBAE">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A925038">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346BD3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EC9AD3A">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4F0F8397">
      <w:pPr>
        <w:spacing w:before="240" w:beforeLines="100" w:after="120" w:afterLines="50" w:line="360" w:lineRule="auto"/>
        <w:ind w:firstLine="2592" w:firstLineChars="1076"/>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704BD7E2">
      <w:pPr>
        <w:jc w:val="center"/>
        <w:outlineLvl w:val="2"/>
        <w:rPr>
          <w:rFonts w:hint="eastAsia" w:ascii="仿宋" w:hAnsi="仿宋" w:eastAsia="仿宋" w:cs="仿宋"/>
          <w:bCs/>
          <w:szCs w:val="32"/>
        </w:rPr>
      </w:pPr>
      <w:r>
        <w:rPr>
          <w:rFonts w:hint="eastAsia" w:ascii="仿宋" w:hAnsi="仿宋" w:eastAsia="仿宋" w:cs="仿宋"/>
          <w:b/>
          <w:bCs/>
          <w:sz w:val="24"/>
          <w:u w:val="single"/>
        </w:rPr>
        <w:br w:type="page"/>
      </w:r>
      <w:bookmarkStart w:id="52" w:name="_Toc15037"/>
      <w:bookmarkStart w:id="53" w:name="_Toc17006"/>
      <w:r>
        <w:rPr>
          <w:rFonts w:hint="eastAsia" w:ascii="仿宋" w:hAnsi="仿宋" w:eastAsia="仿宋" w:cs="仿宋"/>
          <w:b/>
          <w:sz w:val="32"/>
          <w:szCs w:val="48"/>
        </w:rPr>
        <w:t>中小企业声明函（工程、服务）</w:t>
      </w:r>
      <w:bookmarkEnd w:id="52"/>
      <w:bookmarkEnd w:id="53"/>
    </w:p>
    <w:p w14:paraId="70A8C8FD">
      <w:pPr>
        <w:rPr>
          <w:rFonts w:hint="eastAsia" w:ascii="仿宋" w:hAnsi="仿宋" w:eastAsia="仿宋" w:cs="仿宋"/>
        </w:rPr>
      </w:pPr>
    </w:p>
    <w:p w14:paraId="14C05B8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lang w:bidi="ar"/>
        </w:rPr>
        <w:t>（单位名称）</w:t>
      </w:r>
      <w:r>
        <w:rPr>
          <w:rFonts w:hint="eastAsia" w:ascii="仿宋" w:hAnsi="仿宋" w:eastAsia="仿宋" w:cs="仿宋"/>
          <w:kern w:val="0"/>
          <w:sz w:val="24"/>
          <w:szCs w:val="24"/>
          <w:lang w:bidi="ar"/>
        </w:rPr>
        <w:t>的</w:t>
      </w:r>
      <w:r>
        <w:rPr>
          <w:rFonts w:hint="eastAsia" w:ascii="仿宋" w:hAnsi="仿宋" w:eastAsia="仿宋" w:cs="仿宋"/>
          <w:kern w:val="0"/>
          <w:sz w:val="24"/>
          <w:szCs w:val="24"/>
          <w:u w:val="single"/>
          <w:lang w:bidi="ar"/>
        </w:rPr>
        <w:t>（项目名称）</w:t>
      </w:r>
      <w:r>
        <w:rPr>
          <w:rFonts w:hint="eastAsia" w:ascii="仿宋" w:hAnsi="仿宋" w:eastAsia="仿宋" w:cs="仿宋"/>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1B339BE8">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1.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27950383">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2.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5BFA0724">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w:t>
      </w:r>
    </w:p>
    <w:p w14:paraId="3C9CAFD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以上企业，不属于大企业的分支机构，不存在控股股东为大企业的情形，也不存在与大企业的负责人为同一人的情形。</w:t>
      </w:r>
    </w:p>
    <w:p w14:paraId="581FC58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本企业对上述声明内容的真实性负责。如有虚假，将依 法承担相应责任。 </w:t>
      </w:r>
    </w:p>
    <w:p w14:paraId="10B90BF2">
      <w:pPr>
        <w:widowControl/>
        <w:spacing w:line="360" w:lineRule="auto"/>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47708BE2">
      <w:pPr>
        <w:widowControl/>
        <w:spacing w:line="360" w:lineRule="auto"/>
        <w:jc w:val="center"/>
        <w:rPr>
          <w:rFonts w:hint="eastAsia" w:ascii="仿宋" w:hAnsi="仿宋" w:eastAsia="仿宋" w:cs="仿宋"/>
          <w:kern w:val="0"/>
          <w:sz w:val="24"/>
          <w:szCs w:val="24"/>
          <w:lang w:bidi="ar"/>
        </w:rPr>
      </w:pPr>
    </w:p>
    <w:p w14:paraId="0F4CA629">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07EC8688">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7889A40B">
      <w:pPr>
        <w:widowControl/>
        <w:spacing w:line="360" w:lineRule="auto"/>
        <w:jc w:val="left"/>
        <w:rPr>
          <w:rFonts w:hint="eastAsia" w:ascii="仿宋" w:hAnsi="仿宋" w:eastAsia="仿宋" w:cs="仿宋"/>
          <w:sz w:val="24"/>
          <w:szCs w:val="24"/>
        </w:rPr>
      </w:pPr>
    </w:p>
    <w:p w14:paraId="3EE878B5">
      <w:pPr>
        <w:rPr>
          <w:rFonts w:hint="eastAsia" w:ascii="仿宋" w:hAnsi="仿宋" w:eastAsia="仿宋" w:cs="仿宋"/>
        </w:rPr>
      </w:pPr>
      <w:bookmarkStart w:id="54" w:name="_Toc12018"/>
      <w:r>
        <w:rPr>
          <w:rFonts w:hint="eastAsia" w:ascii="仿宋" w:hAnsi="仿宋" w:eastAsia="仿宋" w:cs="仿宋"/>
          <w:kern w:val="0"/>
          <w:szCs w:val="21"/>
          <w:lang w:bidi="ar"/>
        </w:rPr>
        <w:t>从业人员、营业收入、资产总额填报上一年度数据，无上一年度数据的新成立企业可不填报。</w:t>
      </w:r>
      <w:bookmarkEnd w:id="54"/>
    </w:p>
    <w:p w14:paraId="72786D8D">
      <w:pPr>
        <w:spacing w:line="460" w:lineRule="exact"/>
        <w:rPr>
          <w:rFonts w:hint="eastAsia" w:ascii="仿宋" w:hAnsi="仿宋" w:eastAsia="仿宋" w:cs="仿宋"/>
          <w:b/>
          <w:bCs/>
        </w:rPr>
      </w:pPr>
      <w:r>
        <w:rPr>
          <w:rFonts w:hint="eastAsia" w:ascii="仿宋" w:hAnsi="仿宋" w:eastAsia="仿宋" w:cs="仿宋"/>
          <w:b/>
          <w:bCs/>
        </w:rPr>
        <w:t>备注：</w:t>
      </w:r>
    </w:p>
    <w:p w14:paraId="0192D0DF">
      <w:pPr>
        <w:spacing w:before="240" w:beforeLines="100" w:after="120" w:afterLines="50" w:line="360" w:lineRule="auto"/>
        <w:rPr>
          <w:rFonts w:hint="eastAsia" w:ascii="仿宋" w:hAnsi="仿宋" w:eastAsia="仿宋" w:cs="仿宋"/>
          <w:b/>
          <w:bCs/>
          <w:sz w:val="24"/>
          <w:u w:val="single"/>
        </w:rPr>
      </w:pPr>
      <w:r>
        <w:rPr>
          <w:rFonts w:hint="eastAsia" w:ascii="仿宋" w:hAnsi="仿宋" w:eastAsia="仿宋" w:cs="仿宋"/>
          <w:b/>
          <w:bCs/>
        </w:rPr>
        <w:t>其他未列明行业。从业人员300人以下的为中小微型企业。其中，从业人员100人及以上的为中型企业;从业人员10人及以上的为小型企业;从业人员10人以下的为微型企业。</w:t>
      </w:r>
    </w:p>
    <w:p w14:paraId="4CCBE4BF">
      <w:pPr>
        <w:outlineLvl w:val="2"/>
      </w:pPr>
      <w:r>
        <w:rPr>
          <w:rFonts w:hint="eastAsia" w:ascii="仿宋" w:hAnsi="仿宋" w:eastAsia="仿宋" w:cs="仿宋"/>
          <w:b/>
          <w:bCs/>
          <w:sz w:val="24"/>
          <w:u w:val="single"/>
        </w:rPr>
        <w:br w:type="page"/>
      </w:r>
      <w:bookmarkStart w:id="55" w:name="_Toc22184"/>
      <w:r>
        <w:rPr>
          <w:rFonts w:hint="eastAsia" w:ascii="仿宋" w:hAnsi="仿宋" w:eastAsia="仿宋" w:cs="仿宋"/>
          <w:b/>
          <w:bCs/>
          <w:sz w:val="24"/>
          <w:u w:val="none"/>
          <w:lang w:val="en-US" w:eastAsia="zh-CN"/>
        </w:rPr>
        <w:t>供应商须具备《国家秘密载体印制资</w:t>
      </w:r>
      <w:r>
        <w:rPr>
          <w:rFonts w:hint="eastAsia" w:ascii="仿宋" w:hAnsi="仿宋" w:eastAsia="仿宋" w:cs="仿宋"/>
          <w:b/>
          <w:bCs/>
          <w:sz w:val="24"/>
          <w:highlight w:val="none"/>
          <w:u w:val="none"/>
          <w:lang w:val="en-US" w:eastAsia="zh-CN"/>
        </w:rPr>
        <w:t>质》乙级及以上资</w:t>
      </w:r>
      <w:r>
        <w:rPr>
          <w:rFonts w:hint="eastAsia" w:ascii="仿宋" w:hAnsi="仿宋" w:eastAsia="仿宋" w:cs="仿宋"/>
          <w:b/>
          <w:bCs/>
          <w:sz w:val="24"/>
          <w:u w:val="none"/>
          <w:lang w:val="en-US" w:eastAsia="zh-CN"/>
        </w:rPr>
        <w:t>质（内容包含“涉密档案数字化加工”类）；外省企业需在陕西省国家保密局备案证明（甲级资质无需备案）。</w:t>
      </w:r>
      <w:bookmarkEnd w:id="5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D5F6D00"/>
    <w:rsid w:val="216337D3"/>
    <w:rsid w:val="3E710F2E"/>
    <w:rsid w:val="5FA25196"/>
    <w:rsid w:val="72024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styleId="5">
    <w:name w:val="Normal Indent"/>
    <w:basedOn w:val="1"/>
    <w:qFormat/>
    <w:uiPriority w:val="0"/>
    <w:pPr>
      <w:ind w:firstLine="420"/>
    </w:p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2227</Words>
  <Characters>2251</Characters>
  <Lines>0</Lines>
  <Paragraphs>0</Paragraphs>
  <TotalTime>4</TotalTime>
  <ScaleCrop>false</ScaleCrop>
  <LinksUpToDate>false</LinksUpToDate>
  <CharactersWithSpaces>2706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陕西中技招标有限公司</cp:lastModifiedBy>
  <dcterms:modified xsi:type="dcterms:W3CDTF">2025-05-19T10:50:47Z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7923ED3DDA7143A8BCA3EC3209F4DE2D_11</vt:lpwstr>
  </property>
  <property fmtid="{D5CDD505-2E9C-101B-9397-08002B2CF9AE}" pid="4" name="KSOTemplateDocerSaveRecord">
    <vt:lpwstr>eyJoZGlkIjoiNzg2NmMxNjQ3YjEwMWQ0NzY0ZGIyNjIyNDMzNDY3MjciLCJ1c2VySWQiOiI0ODM0NjExNDgifQ==</vt:lpwstr>
  </property>
</Properties>
</file>