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版本号：SZT2025-SN-XC-ZC-FW-045220250612002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南院区术中影像科术中减影血管造影机维保项目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SZT2025-SN-XC-ZC-FW-0452</w:t>
      </w:r>
      <w:r>
        <w:br/>
      </w:r>
      <w:r>
        <w:br/>
      </w:r>
      <w:r>
        <w:br/>
      </w:r>
    </w:p>
    <w:p>
      <w:pPr>
        <w:pStyle w:val="null3"/>
        <w:jc w:val="center"/>
        <w:outlineLvl w:val="2"/>
      </w:pPr>
      <w:r>
        <w:rPr>
          <w:rFonts w:ascii="仿宋_GB2312" w:hAnsi="仿宋_GB2312" w:cs="仿宋_GB2312" w:eastAsia="仿宋_GB2312"/>
          <w:sz w:val="28"/>
          <w:b/>
        </w:rPr>
        <w:t>西安市红会医院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西安市红会医院</w:t>
      </w:r>
      <w:r>
        <w:rPr>
          <w:rFonts w:ascii="仿宋_GB2312" w:hAnsi="仿宋_GB2312" w:cs="仿宋_GB2312" w:eastAsia="仿宋_GB2312"/>
        </w:rPr>
        <w:t>委托，拟对</w:t>
      </w:r>
      <w:r>
        <w:rPr>
          <w:rFonts w:ascii="仿宋_GB2312" w:hAnsi="仿宋_GB2312" w:cs="仿宋_GB2312" w:eastAsia="仿宋_GB2312"/>
        </w:rPr>
        <w:t>南院区术中影像科术中减影血管造影机维保项目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SZT2025-SN-XC-ZC-FW-0452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南院区术中影像科术中减影血管造影机维保项目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西安市红会医院南院区术中影像科术中减影血管造影机维保服务，1、维保设备品牌、型号：飞利浦UNIQ FD20 Flexmove数字减影血管造影机；服务期限、标准：整机3年全保（不含球管、探测器）；2、维保设备品牌、型号：飞利浦 UNIQ FD20数字减影血管造影机；服务期限、标准：整机1年全保（不含球管、探测器），具体内容详见磋商文件第三部分。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1、供应商要求：供应商为生产厂家的提供医疗器械生产许可证，供应商为代理商的提供医疗器械经营许可证。</w:t>
      </w:r>
    </w:p>
    <w:p>
      <w:pPr>
        <w:pStyle w:val="null3"/>
      </w:pPr>
      <w:r>
        <w:rPr>
          <w:rFonts w:ascii="仿宋_GB2312" w:hAnsi="仿宋_GB2312" w:cs="仿宋_GB2312" w:eastAsia="仿宋_GB2312"/>
        </w:rPr>
        <w:t>2、供应商承诺：本项目不接受西安市红会医院职工及其亲属投资开办或控股的企业参加磋商（提供承诺函）。</w:t>
      </w:r>
    </w:p>
    <w:p>
      <w:pPr>
        <w:pStyle w:val="null3"/>
      </w:pPr>
      <w:r>
        <w:rPr>
          <w:rFonts w:ascii="仿宋_GB2312" w:hAnsi="仿宋_GB2312" w:cs="仿宋_GB2312" w:eastAsia="仿宋_GB2312"/>
        </w:rPr>
        <w:t>3、关于联合体磋商要求：本项目不接受联合体磋商。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西安市红会医院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西安市碑林区南稍门南郭路76号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029-86520792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赵倩、李毓菲、杨艳 、李娜、单博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029-88364979-873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说明：履约保证金的收取与退还： （1）乙方应当在中标通知书领取后五个工作日内将项目履约保证金（包预算总金额的 5%）转账至甲方基本户,未按照磋商文件要求按时足额缴纳履约保证金的，甲方将取消乙方中标资格，且无需承担任何责任，甲方可重新组织招标活动。服务期满无质量问题后，无息退还履约保证金。 （2）招标方基本户： 户名：西安市红会医院 账号：102407334632 开户行：中行西安长安路支行 转账请注明用途 （二）支付方式：银行转账。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成交人应向采购代理机构交纳招标代理服务费。招标代理服务费的收取参见国家计委颁布的《招标代理服务收费管理暂行办法》（计价格[2002]1980号）和（发改办价格[2003]857号）中服务类收费标准下浮20%收取。在领取成交通知书时向采购代理机构一次性交纳。 开户名称：陕西中技招标有限公司 开户银行：招商银行西安分行营业部 银行账号：1299 1681 2810 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西安市红会医院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西安市红会医院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西安市红会医院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西安市红会医院南院区术中影像科术中减影血管造影机维保服务，1、维保设备品牌、型号：飞利浦UNIQ FD20 Flexmove数字减影血管造影机；服务期限、标准：整机3年全保（不含球管、探测器）；2、维保设备品牌、型号：飞利浦 UNIQ FD20数字减影血管造影机；服务期限、标准：整机1年全保（不含球管、探测器）。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飞利浦UNIQ FD20 Flexmove 数字减影血管造影机维保</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飞利浦UNIQ FD20 数字减影血管造影机维保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标的名称：飞利浦UNIQ FD20 Flexmove 数字减影血管造影机维保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Pr>
                <w:p>
                  <w:pPr>
                    <w:pStyle w:val="null3"/>
                  </w:pPr>
                  <w:r>
                    <w:rPr>
                      <w:rFonts w:ascii="仿宋_GB2312" w:hAnsi="仿宋_GB2312" w:cs="仿宋_GB2312" w:eastAsia="仿宋_GB2312"/>
                      <w:sz w:val="19"/>
                    </w:rPr>
                    <w:t>参数性质</w:t>
                  </w:r>
                </w:p>
              </w:tc>
              <w:tc>
                <w:tcPr>
                  <w:tcW w:type="dxa" w:w="851"/>
                </w:tcPr>
                <w:p>
                  <w:pPr>
                    <w:pStyle w:val="null3"/>
                  </w:pPr>
                  <w:r>
                    <w:rPr>
                      <w:rFonts w:ascii="仿宋_GB2312" w:hAnsi="仿宋_GB2312" w:cs="仿宋_GB2312" w:eastAsia="仿宋_GB2312"/>
                      <w:sz w:val="19"/>
                    </w:rPr>
                    <w:t>序号</w:t>
                  </w:r>
                </w:p>
              </w:tc>
              <w:tc>
                <w:tcPr>
                  <w:tcW w:type="dxa" w:w="851"/>
                </w:tcPr>
                <w:p>
                  <w:pPr>
                    <w:pStyle w:val="null3"/>
                  </w:pPr>
                  <w:r>
                    <w:rPr>
                      <w:rFonts w:ascii="仿宋_GB2312" w:hAnsi="仿宋_GB2312" w:cs="仿宋_GB2312" w:eastAsia="仿宋_GB2312"/>
                      <w:sz w:val="19"/>
                    </w:rPr>
                    <w:t>技术参数与性能指标</w:t>
                  </w:r>
                </w:p>
              </w:tc>
            </w:tr>
            <w:tr>
              <w:tc>
                <w:tcPr>
                  <w:tcW w:type="dxa" w:w="851"/>
                </w:tcPr>
                <w:p>
                  <w:pPr>
                    <w:pStyle w:val="null3"/>
                  </w:pPr>
                  <w:r>
                    <w:rPr>
                      <w:rFonts w:ascii="仿宋_GB2312" w:hAnsi="仿宋_GB2312" w:cs="仿宋_GB2312" w:eastAsia="仿宋_GB2312"/>
                      <w:sz w:val="19"/>
                    </w:rPr>
                    <w:t xml:space="preserve"> </w:t>
                  </w:r>
                </w:p>
              </w:tc>
              <w:tc>
                <w:tcPr>
                  <w:tcW w:type="dxa" w:w="851"/>
                </w:tcPr>
                <w:p>
                  <w:pPr>
                    <w:pStyle w:val="null3"/>
                  </w:pPr>
                  <w:r>
                    <w:rPr>
                      <w:rFonts w:ascii="仿宋_GB2312" w:hAnsi="仿宋_GB2312" w:cs="仿宋_GB2312" w:eastAsia="仿宋_GB2312"/>
                      <w:sz w:val="19"/>
                    </w:rPr>
                    <w:t>1</w:t>
                  </w:r>
                </w:p>
              </w:tc>
              <w:tc>
                <w:tcPr>
                  <w:tcW w:type="dxa" w:w="851"/>
                </w:tcPr>
                <w:p>
                  <w:pPr>
                    <w:pStyle w:val="null3"/>
                  </w:pPr>
                  <w:r>
                    <w:rPr>
                      <w:rFonts w:ascii="仿宋_GB2312" w:hAnsi="仿宋_GB2312" w:cs="仿宋_GB2312" w:eastAsia="仿宋_GB2312"/>
                      <w:sz w:val="19"/>
                    </w:rPr>
                    <w:t>服务内容</w:t>
                  </w:r>
                </w:p>
                <w:p>
                  <w:pPr>
                    <w:pStyle w:val="null3"/>
                  </w:pPr>
                  <w:r>
                    <w:rPr>
                      <w:rFonts w:ascii="仿宋_GB2312" w:hAnsi="仿宋_GB2312" w:cs="仿宋_GB2312" w:eastAsia="仿宋_GB2312"/>
                      <w:sz w:val="19"/>
                    </w:rPr>
                    <w:t>1、维保设备品牌、型号：飞利浦UNIQ FD20  Flexmove数字减影血管造影机；服务期限、标准：整机3年全保（不含球管、探测器）。</w:t>
                  </w:r>
                </w:p>
              </w:tc>
            </w:tr>
            <w:tr>
              <w:tc>
                <w:tcPr>
                  <w:tcW w:type="dxa" w:w="851"/>
                </w:tcPr>
                <w:p>
                  <w:pPr>
                    <w:pStyle w:val="null3"/>
                  </w:pPr>
                  <w:r>
                    <w:rPr>
                      <w:rFonts w:ascii="仿宋_GB2312" w:hAnsi="仿宋_GB2312" w:cs="仿宋_GB2312" w:eastAsia="仿宋_GB2312"/>
                      <w:sz w:val="19"/>
                    </w:rPr>
                    <w:t xml:space="preserve"> </w:t>
                  </w:r>
                </w:p>
              </w:tc>
              <w:tc>
                <w:tcPr>
                  <w:tcW w:type="dxa" w:w="851"/>
                </w:tcPr>
                <w:p>
                  <w:pPr>
                    <w:pStyle w:val="null3"/>
                  </w:pPr>
                  <w:r>
                    <w:rPr>
                      <w:rFonts w:ascii="仿宋_GB2312" w:hAnsi="仿宋_GB2312" w:cs="仿宋_GB2312" w:eastAsia="仿宋_GB2312"/>
                      <w:sz w:val="19"/>
                    </w:rPr>
                    <w:t>2</w:t>
                  </w:r>
                </w:p>
              </w:tc>
              <w:tc>
                <w:tcPr>
                  <w:tcW w:type="dxa" w:w="851"/>
                </w:tcPr>
                <w:p>
                  <w:pPr>
                    <w:pStyle w:val="null3"/>
                  </w:pPr>
                  <w:r>
                    <w:rPr>
                      <w:rFonts w:ascii="仿宋_GB2312" w:hAnsi="仿宋_GB2312" w:cs="仿宋_GB2312" w:eastAsia="仿宋_GB2312"/>
                      <w:sz w:val="19"/>
                    </w:rPr>
                    <w:t>技术要求</w:t>
                  </w:r>
                </w:p>
                <w:p>
                  <w:pPr>
                    <w:pStyle w:val="null3"/>
                  </w:pPr>
                  <w:r>
                    <w:rPr>
                      <w:rFonts w:ascii="仿宋_GB2312" w:hAnsi="仿宋_GB2312" w:cs="仿宋_GB2312" w:eastAsia="仿宋_GB2312"/>
                      <w:sz w:val="19"/>
                    </w:rPr>
                    <w:t>1、维保范围：整机全保（除球管、探测器），包括但不限于人工服务费、设备保养服务，维修配件等。</w:t>
                  </w:r>
                </w:p>
                <w:p>
                  <w:pPr>
                    <w:pStyle w:val="null3"/>
                  </w:pPr>
                  <w:r>
                    <w:rPr>
                      <w:rFonts w:ascii="仿宋_GB2312" w:hAnsi="仿宋_GB2312" w:cs="仿宋_GB2312" w:eastAsia="仿宋_GB2312"/>
                      <w:sz w:val="19"/>
                    </w:rPr>
                    <w:t>2、具有合法的维保设备故障诊断维修钥匙（响应文件中提供承诺函）。</w:t>
                  </w:r>
                </w:p>
                <w:p>
                  <w:pPr>
                    <w:pStyle w:val="null3"/>
                  </w:pPr>
                  <w:r>
                    <w:rPr>
                      <w:rFonts w:ascii="仿宋_GB2312" w:hAnsi="仿宋_GB2312" w:cs="仿宋_GB2312" w:eastAsia="仿宋_GB2312"/>
                      <w:sz w:val="19"/>
                    </w:rPr>
                    <w:t>3、服务期内维保设备的年开机率≥98%(按日历天数计算)；自设备报修后开始计时，计算设备停机时间，以此确认设备开机率；年开机率未达98%，停机每超出一天，维修服务合同期限自动延长7天。</w:t>
                  </w:r>
                </w:p>
                <w:p>
                  <w:pPr>
                    <w:pStyle w:val="null3"/>
                  </w:pPr>
                  <w:r>
                    <w:rPr>
                      <w:rFonts w:ascii="仿宋_GB2312" w:hAnsi="仿宋_GB2312" w:cs="仿宋_GB2312" w:eastAsia="仿宋_GB2312"/>
                      <w:sz w:val="19"/>
                    </w:rPr>
                    <w:t>（1）开机率=（365-故障停机天数）/365</w:t>
                  </w:r>
                </w:p>
                <w:p>
                  <w:pPr>
                    <w:pStyle w:val="null3"/>
                  </w:pPr>
                  <w:r>
                    <w:rPr>
                      <w:rFonts w:ascii="仿宋_GB2312" w:hAnsi="仿宋_GB2312" w:cs="仿宋_GB2312" w:eastAsia="仿宋_GB2312"/>
                      <w:sz w:val="19"/>
                    </w:rPr>
                    <w:t>4、须具备进口备件的供应能力（提供与本项目维保内容相关配件报关单不少于五份）；维保期内更换的备件为全新合法、合规备件，确保备件质量应符合国家及行业标准，需提供承诺函。</w:t>
                  </w:r>
                </w:p>
              </w:tc>
            </w:tr>
            <w:tr>
              <w:tc>
                <w:tcPr>
                  <w:tcW w:type="dxa" w:w="851"/>
                </w:tcPr>
                <w:p>
                  <w:pPr>
                    <w:pStyle w:val="null3"/>
                  </w:pPr>
                  <w:r>
                    <w:rPr>
                      <w:rFonts w:ascii="仿宋_GB2312" w:hAnsi="仿宋_GB2312" w:cs="仿宋_GB2312" w:eastAsia="仿宋_GB2312"/>
                      <w:sz w:val="19"/>
                    </w:rPr>
                    <w:t xml:space="preserve"> </w:t>
                  </w:r>
                </w:p>
              </w:tc>
              <w:tc>
                <w:tcPr>
                  <w:tcW w:type="dxa" w:w="851"/>
                </w:tcPr>
                <w:p>
                  <w:pPr>
                    <w:pStyle w:val="null3"/>
                  </w:pPr>
                  <w:r>
                    <w:rPr>
                      <w:rFonts w:ascii="仿宋_GB2312" w:hAnsi="仿宋_GB2312" w:cs="仿宋_GB2312" w:eastAsia="仿宋_GB2312"/>
                      <w:sz w:val="19"/>
                    </w:rPr>
                    <w:t>3</w:t>
                  </w:r>
                </w:p>
              </w:tc>
              <w:tc>
                <w:tcPr>
                  <w:tcW w:type="dxa" w:w="851"/>
                </w:tcPr>
                <w:p>
                  <w:pPr>
                    <w:pStyle w:val="null3"/>
                  </w:pPr>
                  <w:r>
                    <w:rPr>
                      <w:rFonts w:ascii="仿宋_GB2312" w:hAnsi="仿宋_GB2312" w:cs="仿宋_GB2312" w:eastAsia="仿宋_GB2312"/>
                      <w:sz w:val="19"/>
                    </w:rPr>
                    <w:t>服务要求</w:t>
                  </w:r>
                </w:p>
                <w:p>
                  <w:pPr>
                    <w:pStyle w:val="null3"/>
                  </w:pPr>
                  <w:r>
                    <w:rPr>
                      <w:rFonts w:ascii="仿宋_GB2312" w:hAnsi="仿宋_GB2312" w:cs="仿宋_GB2312" w:eastAsia="仿宋_GB2312"/>
                      <w:sz w:val="19"/>
                    </w:rPr>
                    <w:t>1、维保设备品牌、型号：飞利浦UNIQ FD20  Flexmove数字减影血管造影机；服务期限、标准：整机3年全保（不含球管、探测器）。</w:t>
                  </w:r>
                </w:p>
                <w:p>
                  <w:pPr>
                    <w:pStyle w:val="null3"/>
                  </w:pPr>
                  <w:r>
                    <w:rPr>
                      <w:rFonts w:ascii="仿宋_GB2312" w:hAnsi="仿宋_GB2312" w:cs="仿宋_GB2312" w:eastAsia="仿宋_GB2312"/>
                      <w:sz w:val="19"/>
                    </w:rPr>
                    <w:t>2、提供一年不少于四次的定期维护保养，需制定详细的保养计划，提供整机的全面定期维护保养及预防性巡检，每次维护保养时间前通知，应在不影响正常工作的时间内进行。维护保养服务内容包括：设备的安全检查、影像质量检查、设备除尘保养、运行状态检查等，并提供书面保养报告及整机质量评估报告等。</w:t>
                  </w:r>
                </w:p>
                <w:p>
                  <w:pPr>
                    <w:pStyle w:val="null3"/>
                  </w:pPr>
                  <w:r>
                    <w:rPr>
                      <w:rFonts w:ascii="仿宋_GB2312" w:hAnsi="仿宋_GB2312" w:cs="仿宋_GB2312" w:eastAsia="仿宋_GB2312"/>
                      <w:sz w:val="19"/>
                    </w:rPr>
                    <w:t>3、合同期内提供24小时热线电话随时在线响应，全年365天24小时开通。接到报修电话后30分钟内响应，工程师在4小时内到达现场。</w:t>
                  </w:r>
                </w:p>
                <w:p>
                  <w:pPr>
                    <w:pStyle w:val="null3"/>
                  </w:pPr>
                  <w:r>
                    <w:rPr>
                      <w:rFonts w:ascii="仿宋_GB2312" w:hAnsi="仿宋_GB2312" w:cs="仿宋_GB2312" w:eastAsia="仿宋_GB2312"/>
                      <w:sz w:val="19"/>
                    </w:rPr>
                    <w:t>4、人员要求：供应商须具备专业服务团队，具备医疗器械高级工程师证书或原厂培训合格工程师证书的服务人员不少于3人。（提供工程师证书复印件及本单位近三个月为该工程师缴纳的社保证明）。</w:t>
                  </w:r>
                </w:p>
                <w:p>
                  <w:pPr>
                    <w:pStyle w:val="null3"/>
                  </w:pPr>
                  <w:r>
                    <w:rPr>
                      <w:rFonts w:ascii="仿宋_GB2312" w:hAnsi="仿宋_GB2312" w:cs="仿宋_GB2312" w:eastAsia="仿宋_GB2312"/>
                      <w:sz w:val="19"/>
                    </w:rPr>
                    <w:t>5、应具备充足的备件供应能力，需在设有备件仓库，备件达到项目维保地点时间≤24小时(提供库房产权证书或租赁合同、库房照片等证明材料)。</w:t>
                  </w:r>
                </w:p>
                <w:p>
                  <w:pPr>
                    <w:pStyle w:val="null3"/>
                  </w:pPr>
                  <w:r>
                    <w:rPr>
                      <w:rFonts w:ascii="仿宋_GB2312" w:hAnsi="仿宋_GB2312" w:cs="仿宋_GB2312" w:eastAsia="仿宋_GB2312"/>
                      <w:sz w:val="19"/>
                    </w:rPr>
                    <w:t>6、提供《设备年度服务报告》，汇总年度设备维修概况，优化服务方案，提供最佳服务保障建议。</w:t>
                  </w:r>
                </w:p>
                <w:p>
                  <w:pPr>
                    <w:pStyle w:val="null3"/>
                  </w:pPr>
                  <w:r>
                    <w:rPr>
                      <w:rFonts w:ascii="仿宋_GB2312" w:hAnsi="仿宋_GB2312" w:cs="仿宋_GB2312" w:eastAsia="仿宋_GB2312"/>
                      <w:sz w:val="19"/>
                    </w:rPr>
                    <w:t>7、每次维修或保养服务完成得到院方认可后，须填写并签署维保报告一式两份，双方各留存一份。每次维护后应对设备的现状、使用中需要注意的内容写入维保报告。</w:t>
                  </w:r>
                </w:p>
                <w:p>
                  <w:pPr>
                    <w:pStyle w:val="null3"/>
                  </w:pPr>
                  <w:r>
                    <w:rPr>
                      <w:rFonts w:ascii="仿宋_GB2312" w:hAnsi="仿宋_GB2312" w:cs="仿宋_GB2312" w:eastAsia="仿宋_GB2312"/>
                      <w:sz w:val="19"/>
                    </w:rPr>
                    <w:t>8、供应商成交之后需恢复维保设备现有故障(更换两台设备曝光脚踏，更换飞利浦Flexmove设备主机内存条、更换飞利浦UNIQ FD20设备主机显示器）。</w:t>
                  </w:r>
                </w:p>
              </w:tc>
            </w:tr>
            <w:tr>
              <w:tc>
                <w:tcPr>
                  <w:tcW w:type="dxa" w:w="851"/>
                </w:tcPr>
                <w:p>
                  <w:pPr>
                    <w:pStyle w:val="null3"/>
                  </w:pPr>
                  <w:r>
                    <w:rPr>
                      <w:rFonts w:ascii="仿宋_GB2312" w:hAnsi="仿宋_GB2312" w:cs="仿宋_GB2312" w:eastAsia="仿宋_GB2312"/>
                      <w:sz w:val="19"/>
                    </w:rPr>
                    <w:t>★</w:t>
                  </w:r>
                </w:p>
              </w:tc>
              <w:tc>
                <w:tcPr>
                  <w:tcW w:type="dxa" w:w="851"/>
                </w:tcPr>
                <w:p>
                  <w:pPr>
                    <w:pStyle w:val="null3"/>
                  </w:pPr>
                  <w:r>
                    <w:rPr>
                      <w:rFonts w:ascii="仿宋_GB2312" w:hAnsi="仿宋_GB2312" w:cs="仿宋_GB2312" w:eastAsia="仿宋_GB2312"/>
                      <w:sz w:val="19"/>
                    </w:rPr>
                    <w:t>4</w:t>
                  </w:r>
                </w:p>
              </w:tc>
              <w:tc>
                <w:tcPr>
                  <w:tcW w:type="dxa" w:w="851"/>
                </w:tcPr>
                <w:p>
                  <w:pPr>
                    <w:pStyle w:val="null3"/>
                  </w:pPr>
                  <w:r>
                    <w:rPr>
                      <w:rFonts w:ascii="仿宋_GB2312" w:hAnsi="仿宋_GB2312" w:cs="仿宋_GB2312" w:eastAsia="仿宋_GB2312"/>
                      <w:sz w:val="19"/>
                    </w:rPr>
                    <w:t>每台设备维保费用≤25万元/年</w:t>
                  </w:r>
                </w:p>
              </w:tc>
            </w:tr>
          </w:tbl>
          <w:p/>
        </w:tc>
      </w:tr>
    </w:tbl>
    <w:p>
      <w:pPr>
        <w:pStyle w:val="null3"/>
      </w:pPr>
      <w:r>
        <w:rPr>
          <w:rFonts w:ascii="仿宋_GB2312" w:hAnsi="仿宋_GB2312" w:cs="仿宋_GB2312" w:eastAsia="仿宋_GB2312"/>
        </w:rPr>
        <w:t>标的名称：飞利浦UNIQ FD20 数字减影血管造影机维保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Pr>
                <w:p>
                  <w:pPr>
                    <w:pStyle w:val="null3"/>
                  </w:pPr>
                  <w:r>
                    <w:rPr>
                      <w:rFonts w:ascii="仿宋_GB2312" w:hAnsi="仿宋_GB2312" w:cs="仿宋_GB2312" w:eastAsia="仿宋_GB2312"/>
                      <w:sz w:val="19"/>
                    </w:rPr>
                    <w:t>参数性质</w:t>
                  </w:r>
                </w:p>
              </w:tc>
              <w:tc>
                <w:tcPr>
                  <w:tcW w:type="dxa" w:w="851"/>
                </w:tcPr>
                <w:p>
                  <w:pPr>
                    <w:pStyle w:val="null3"/>
                  </w:pPr>
                  <w:r>
                    <w:rPr>
                      <w:rFonts w:ascii="仿宋_GB2312" w:hAnsi="仿宋_GB2312" w:cs="仿宋_GB2312" w:eastAsia="仿宋_GB2312"/>
                      <w:sz w:val="19"/>
                    </w:rPr>
                    <w:t>序号</w:t>
                  </w:r>
                </w:p>
              </w:tc>
              <w:tc>
                <w:tcPr>
                  <w:tcW w:type="dxa" w:w="851"/>
                </w:tcPr>
                <w:p>
                  <w:pPr>
                    <w:pStyle w:val="null3"/>
                  </w:pPr>
                  <w:r>
                    <w:rPr>
                      <w:rFonts w:ascii="仿宋_GB2312" w:hAnsi="仿宋_GB2312" w:cs="仿宋_GB2312" w:eastAsia="仿宋_GB2312"/>
                      <w:sz w:val="19"/>
                    </w:rPr>
                    <w:t>技术参数与性能指标</w:t>
                  </w:r>
                </w:p>
              </w:tc>
            </w:tr>
            <w:tr>
              <w:tc>
                <w:tcPr>
                  <w:tcW w:type="dxa" w:w="851"/>
                </w:tcPr>
                <w:p>
                  <w:pPr>
                    <w:pStyle w:val="null3"/>
                  </w:pPr>
                  <w:r>
                    <w:rPr>
                      <w:rFonts w:ascii="仿宋_GB2312" w:hAnsi="仿宋_GB2312" w:cs="仿宋_GB2312" w:eastAsia="仿宋_GB2312"/>
                      <w:sz w:val="19"/>
                    </w:rPr>
                    <w:t xml:space="preserve"> </w:t>
                  </w:r>
                </w:p>
              </w:tc>
              <w:tc>
                <w:tcPr>
                  <w:tcW w:type="dxa" w:w="851"/>
                </w:tcPr>
                <w:p>
                  <w:pPr>
                    <w:pStyle w:val="null3"/>
                  </w:pPr>
                  <w:r>
                    <w:rPr>
                      <w:rFonts w:ascii="仿宋_GB2312" w:hAnsi="仿宋_GB2312" w:cs="仿宋_GB2312" w:eastAsia="仿宋_GB2312"/>
                      <w:sz w:val="19"/>
                    </w:rPr>
                    <w:t>1</w:t>
                  </w:r>
                </w:p>
              </w:tc>
              <w:tc>
                <w:tcPr>
                  <w:tcW w:type="dxa" w:w="851"/>
                </w:tcPr>
                <w:p>
                  <w:pPr>
                    <w:pStyle w:val="null3"/>
                  </w:pPr>
                  <w:r>
                    <w:rPr>
                      <w:rFonts w:ascii="仿宋_GB2312" w:hAnsi="仿宋_GB2312" w:cs="仿宋_GB2312" w:eastAsia="仿宋_GB2312"/>
                      <w:sz w:val="19"/>
                    </w:rPr>
                    <w:t>服务内容</w:t>
                  </w:r>
                </w:p>
                <w:p>
                  <w:pPr>
                    <w:pStyle w:val="null3"/>
                  </w:pPr>
                  <w:r>
                    <w:rPr>
                      <w:rFonts w:ascii="仿宋_GB2312" w:hAnsi="仿宋_GB2312" w:cs="仿宋_GB2312" w:eastAsia="仿宋_GB2312"/>
                      <w:sz w:val="19"/>
                    </w:rPr>
                    <w:t>维保设备品牌、型号：飞利浦 UNIQ FD20数字减影血管造影机；服务期限、标准：整机1年全保（不含球管、探测器）。</w:t>
                  </w:r>
                </w:p>
              </w:tc>
            </w:tr>
            <w:tr>
              <w:tc>
                <w:tcPr>
                  <w:tcW w:type="dxa" w:w="851"/>
                </w:tcPr>
                <w:p>
                  <w:pPr>
                    <w:pStyle w:val="null3"/>
                  </w:pPr>
                  <w:r>
                    <w:rPr>
                      <w:rFonts w:ascii="仿宋_GB2312" w:hAnsi="仿宋_GB2312" w:cs="仿宋_GB2312" w:eastAsia="仿宋_GB2312"/>
                      <w:sz w:val="19"/>
                    </w:rPr>
                    <w:t xml:space="preserve"> </w:t>
                  </w:r>
                </w:p>
              </w:tc>
              <w:tc>
                <w:tcPr>
                  <w:tcW w:type="dxa" w:w="851"/>
                </w:tcPr>
                <w:p>
                  <w:pPr>
                    <w:pStyle w:val="null3"/>
                  </w:pPr>
                  <w:r>
                    <w:rPr>
                      <w:rFonts w:ascii="仿宋_GB2312" w:hAnsi="仿宋_GB2312" w:cs="仿宋_GB2312" w:eastAsia="仿宋_GB2312"/>
                      <w:sz w:val="19"/>
                    </w:rPr>
                    <w:t>2</w:t>
                  </w:r>
                </w:p>
              </w:tc>
              <w:tc>
                <w:tcPr>
                  <w:tcW w:type="dxa" w:w="851"/>
                </w:tcPr>
                <w:p>
                  <w:pPr>
                    <w:pStyle w:val="null3"/>
                  </w:pPr>
                  <w:r>
                    <w:rPr>
                      <w:rFonts w:ascii="仿宋_GB2312" w:hAnsi="仿宋_GB2312" w:cs="仿宋_GB2312" w:eastAsia="仿宋_GB2312"/>
                      <w:sz w:val="19"/>
                    </w:rPr>
                    <w:t>技术要求</w:t>
                  </w:r>
                </w:p>
                <w:p>
                  <w:pPr>
                    <w:pStyle w:val="null3"/>
                  </w:pPr>
                  <w:r>
                    <w:rPr>
                      <w:rFonts w:ascii="仿宋_GB2312" w:hAnsi="仿宋_GB2312" w:cs="仿宋_GB2312" w:eastAsia="仿宋_GB2312"/>
                      <w:sz w:val="19"/>
                    </w:rPr>
                    <w:t>1、维保范围：整机全保（除球管、探测器），包括但不限于人工服务费、设备保养服务，维修配件等。</w:t>
                  </w:r>
                </w:p>
                <w:p>
                  <w:pPr>
                    <w:pStyle w:val="null3"/>
                  </w:pPr>
                  <w:r>
                    <w:rPr>
                      <w:rFonts w:ascii="仿宋_GB2312" w:hAnsi="仿宋_GB2312" w:cs="仿宋_GB2312" w:eastAsia="仿宋_GB2312"/>
                      <w:sz w:val="19"/>
                    </w:rPr>
                    <w:t>2、具有合法的维保设备故障诊断维修钥匙（响应文件中提供承诺函）。</w:t>
                  </w:r>
                </w:p>
                <w:p>
                  <w:pPr>
                    <w:pStyle w:val="null3"/>
                  </w:pPr>
                  <w:r>
                    <w:rPr>
                      <w:rFonts w:ascii="仿宋_GB2312" w:hAnsi="仿宋_GB2312" w:cs="仿宋_GB2312" w:eastAsia="仿宋_GB2312"/>
                      <w:sz w:val="19"/>
                    </w:rPr>
                    <w:t>3、服务期内维保设备的年开机率≥98%(按日历天数计算)；自设备报修后开始计时，计算设备停机时间，以此确认设备开机率；年开机率未达98%，停机每超出一天，维修服务合同期限自动延长7天。</w:t>
                  </w:r>
                </w:p>
                <w:p>
                  <w:pPr>
                    <w:pStyle w:val="null3"/>
                  </w:pPr>
                  <w:r>
                    <w:rPr>
                      <w:rFonts w:ascii="仿宋_GB2312" w:hAnsi="仿宋_GB2312" w:cs="仿宋_GB2312" w:eastAsia="仿宋_GB2312"/>
                      <w:sz w:val="19"/>
                    </w:rPr>
                    <w:t>（1）开机率=（365-故障停机天数）/365</w:t>
                  </w:r>
                </w:p>
                <w:p>
                  <w:pPr>
                    <w:pStyle w:val="null3"/>
                  </w:pPr>
                  <w:r>
                    <w:rPr>
                      <w:rFonts w:ascii="仿宋_GB2312" w:hAnsi="仿宋_GB2312" w:cs="仿宋_GB2312" w:eastAsia="仿宋_GB2312"/>
                      <w:sz w:val="19"/>
                    </w:rPr>
                    <w:t>4、须具备进口备件的供应能力（提供与本项目维保内容相关配件报关单不少于五份）；维保期内更换的备件为全新合法、合规备件，确保备件质量应符合国家及行业标准，需提供承诺函。</w:t>
                  </w:r>
                </w:p>
              </w:tc>
            </w:tr>
            <w:tr>
              <w:tc>
                <w:tcPr>
                  <w:tcW w:type="dxa" w:w="851"/>
                </w:tcPr>
                <w:p>
                  <w:pPr>
                    <w:pStyle w:val="null3"/>
                  </w:pPr>
                  <w:r>
                    <w:rPr>
                      <w:rFonts w:ascii="仿宋_GB2312" w:hAnsi="仿宋_GB2312" w:cs="仿宋_GB2312" w:eastAsia="仿宋_GB2312"/>
                      <w:sz w:val="19"/>
                    </w:rPr>
                    <w:t xml:space="preserve"> </w:t>
                  </w:r>
                </w:p>
              </w:tc>
              <w:tc>
                <w:tcPr>
                  <w:tcW w:type="dxa" w:w="851"/>
                </w:tcPr>
                <w:p>
                  <w:pPr>
                    <w:pStyle w:val="null3"/>
                  </w:pPr>
                  <w:r>
                    <w:rPr>
                      <w:rFonts w:ascii="仿宋_GB2312" w:hAnsi="仿宋_GB2312" w:cs="仿宋_GB2312" w:eastAsia="仿宋_GB2312"/>
                      <w:sz w:val="19"/>
                    </w:rPr>
                    <w:t>3</w:t>
                  </w:r>
                </w:p>
              </w:tc>
              <w:tc>
                <w:tcPr>
                  <w:tcW w:type="dxa" w:w="851"/>
                </w:tcPr>
                <w:p>
                  <w:pPr>
                    <w:pStyle w:val="null3"/>
                  </w:pPr>
                  <w:r>
                    <w:rPr>
                      <w:rFonts w:ascii="仿宋_GB2312" w:hAnsi="仿宋_GB2312" w:cs="仿宋_GB2312" w:eastAsia="仿宋_GB2312"/>
                      <w:sz w:val="19"/>
                    </w:rPr>
                    <w:t>服务要求</w:t>
                  </w:r>
                </w:p>
                <w:p>
                  <w:pPr>
                    <w:pStyle w:val="null3"/>
                  </w:pPr>
                  <w:r>
                    <w:rPr>
                      <w:rFonts w:ascii="仿宋_GB2312" w:hAnsi="仿宋_GB2312" w:cs="仿宋_GB2312" w:eastAsia="仿宋_GB2312"/>
                      <w:sz w:val="19"/>
                    </w:rPr>
                    <w:t>1、维保设备品牌、型号：飞利浦 UNIQ FD20数字减影血管造影机；服务期限、标准：整机1年全保（不含球管、探测器）。</w:t>
                  </w:r>
                </w:p>
                <w:p>
                  <w:pPr>
                    <w:pStyle w:val="null3"/>
                  </w:pPr>
                  <w:r>
                    <w:rPr>
                      <w:rFonts w:ascii="仿宋_GB2312" w:hAnsi="仿宋_GB2312" w:cs="仿宋_GB2312" w:eastAsia="仿宋_GB2312"/>
                      <w:sz w:val="19"/>
                    </w:rPr>
                    <w:t>2、提供一年不少于四次的定期维护保养，需制定详细的保养计划，提供整机的全面定期维护保养及预防性巡检，每次维护保养时间前通知，应在不影响正常工作的时间内进行。维护保养服务内容包括：设备的安全检查、影像质量检查、设备除尘保养、运行状态检查等，并提供书面保养报告及整机质量评估报告等。</w:t>
                  </w:r>
                </w:p>
                <w:p>
                  <w:pPr>
                    <w:pStyle w:val="null3"/>
                  </w:pPr>
                  <w:r>
                    <w:rPr>
                      <w:rFonts w:ascii="仿宋_GB2312" w:hAnsi="仿宋_GB2312" w:cs="仿宋_GB2312" w:eastAsia="仿宋_GB2312"/>
                      <w:sz w:val="19"/>
                    </w:rPr>
                    <w:t>3、合同期内提供24小时热线电话随时在线响应，全年365天24小时开通。接到报修电话后30分钟内响应，工程师在4小时内到达现场。</w:t>
                  </w:r>
                </w:p>
                <w:p>
                  <w:pPr>
                    <w:pStyle w:val="null3"/>
                  </w:pPr>
                  <w:r>
                    <w:rPr>
                      <w:rFonts w:ascii="仿宋_GB2312" w:hAnsi="仿宋_GB2312" w:cs="仿宋_GB2312" w:eastAsia="仿宋_GB2312"/>
                      <w:sz w:val="19"/>
                    </w:rPr>
                    <w:t>4、人员要求：供应商须具备专业服务团队，具备医疗器械高级工程师证书或原厂培训合格工程师证书的服务人员不少于3人。（提供工程师证书复印件及本单位近三个月为该工程师缴纳的社保证明）。</w:t>
                  </w:r>
                </w:p>
                <w:p>
                  <w:pPr>
                    <w:pStyle w:val="null3"/>
                  </w:pPr>
                  <w:r>
                    <w:rPr>
                      <w:rFonts w:ascii="仿宋_GB2312" w:hAnsi="仿宋_GB2312" w:cs="仿宋_GB2312" w:eastAsia="仿宋_GB2312"/>
                      <w:sz w:val="19"/>
                    </w:rPr>
                    <w:t>5、应具备充足的备件供应能力，需在设有备件仓库，备件达到项目维保地点时间≤24小时(提供库房产权证书或租赁合同、库房照片等证明材料)。</w:t>
                  </w:r>
                </w:p>
                <w:p>
                  <w:pPr>
                    <w:pStyle w:val="null3"/>
                  </w:pPr>
                  <w:r>
                    <w:rPr>
                      <w:rFonts w:ascii="仿宋_GB2312" w:hAnsi="仿宋_GB2312" w:cs="仿宋_GB2312" w:eastAsia="仿宋_GB2312"/>
                      <w:sz w:val="19"/>
                    </w:rPr>
                    <w:t>6、提供《设备年度服务报告》，汇总年度设备维修概况，优化服务方案，提供最佳服务保障建议。</w:t>
                  </w:r>
                </w:p>
                <w:p>
                  <w:pPr>
                    <w:pStyle w:val="null3"/>
                  </w:pPr>
                  <w:r>
                    <w:rPr>
                      <w:rFonts w:ascii="仿宋_GB2312" w:hAnsi="仿宋_GB2312" w:cs="仿宋_GB2312" w:eastAsia="仿宋_GB2312"/>
                      <w:sz w:val="19"/>
                    </w:rPr>
                    <w:t>7、每次维修或保养服务完成得到院方认可后，须填写并签署维保报告一式两份，双方各留存一份。每次维护后应对设备的现状、使用中需要注意的内容写入维保报告。</w:t>
                  </w:r>
                </w:p>
                <w:p>
                  <w:pPr>
                    <w:pStyle w:val="null3"/>
                  </w:pPr>
                  <w:r>
                    <w:rPr>
                      <w:rFonts w:ascii="仿宋_GB2312" w:hAnsi="仿宋_GB2312" w:cs="仿宋_GB2312" w:eastAsia="仿宋_GB2312"/>
                      <w:sz w:val="19"/>
                    </w:rPr>
                    <w:t>8、供应商成交之后需恢复维保设备现有故障(更换两台设备曝光脚踏，更换飞利浦Flexmove设备主机内存条、更换飞利浦UNIQ FD20设备主机显示器）。</w:t>
                  </w:r>
                </w:p>
              </w:tc>
            </w:tr>
            <w:tr>
              <w:tc>
                <w:tcPr>
                  <w:tcW w:type="dxa" w:w="851"/>
                </w:tcPr>
                <w:p>
                  <w:pPr>
                    <w:pStyle w:val="null3"/>
                  </w:pPr>
                  <w:r>
                    <w:rPr>
                      <w:rFonts w:ascii="仿宋_GB2312" w:hAnsi="仿宋_GB2312" w:cs="仿宋_GB2312" w:eastAsia="仿宋_GB2312"/>
                      <w:sz w:val="19"/>
                    </w:rPr>
                    <w:t>★</w:t>
                  </w:r>
                </w:p>
              </w:tc>
              <w:tc>
                <w:tcPr>
                  <w:tcW w:type="dxa" w:w="851"/>
                </w:tcPr>
                <w:p>
                  <w:pPr>
                    <w:pStyle w:val="null3"/>
                  </w:pPr>
                  <w:r>
                    <w:rPr>
                      <w:rFonts w:ascii="仿宋_GB2312" w:hAnsi="仿宋_GB2312" w:cs="仿宋_GB2312" w:eastAsia="仿宋_GB2312"/>
                      <w:sz w:val="19"/>
                    </w:rPr>
                    <w:t>4</w:t>
                  </w:r>
                </w:p>
              </w:tc>
              <w:tc>
                <w:tcPr>
                  <w:tcW w:type="dxa" w:w="851"/>
                </w:tcPr>
                <w:p>
                  <w:pPr>
                    <w:pStyle w:val="null3"/>
                  </w:pPr>
                  <w:r>
                    <w:rPr>
                      <w:rFonts w:ascii="仿宋_GB2312" w:hAnsi="仿宋_GB2312" w:cs="仿宋_GB2312" w:eastAsia="仿宋_GB2312"/>
                      <w:sz w:val="19"/>
                    </w:rPr>
                    <w:t>每台设备维保费用≤25万元/年</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飞利浦 UNIQ FD20 Flexmove 数字减影血管造影机自合同签订之日起三年，飞利浦 UNIQ FD20数字减影血管造影机自合同签订之日起一年。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分六期付款，每执行半年，验收合格后支付当年合同款的50%。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分六期付款，每执行半年，验收合格后支付当年合同款的50%。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分六期付款，每执行半年，验收合格后支付当年合同款的50%。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分六期付款，每执行半年，验收合格后支付当年合同款的50%。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分六期付款，每执行半年，验收合格后支付当年合同款的50%。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分六期付款，每执行半年，验收合格后支付当年合同款的50%。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16.70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（一）按《中华人民共和国民法典》中的相关条款执行。 （二）乙方未按合同要求提供，质量不能满足技术要求的，甲方有权解除合同（合同自书面解除通知到达乙方之日起解除），乙方赔偿甲方解除合同的全部损失（包括但不限于重新采购产生的费用及其它由此造成的甲方对第三方的违约损失），并按照合同最高执行总价的30%支付违约金，同时按《政府采购法》有关处罚条款报监管机构进行相应的处罚。 （三）服务期内，乙方每推迟或未提供服务1天，支付合同最高执行总价的3‰作为违约金。累计超过15天的，视为乙方根本违约，甲方有权单方解除合同（合同自书面解除通知送达乙方之日起解除），乙方应赔偿解除合同给甲方造成的全部损失（包括但不限于重新采购产生的费用、合同未履行导致项目不能按规划提供可能产生的服务费用），乙方应按照合同最高执行总价的30%承担违约金，若违约金不足以弥补甲方损失的，由乙方另行支付。 (四）服务期内维保设备的年开机率≥98%(按日历天数计算)；自设备报修后开始计时，计算设备停机时间，以此确认设备开机率；年开机率未达98%，停机每超出一天，维修服务合同期限自动延长7天。当设备开机率低于85%时视为乙方违约，甲方有权解除合同，自甲方书面解除合同通知到达乙方之日起，视为合同解除。 二、合同争议的解决 合同执行中发生争议的，当事人双方应协商解决，无法协商或协商达不成一致时，双方均有权向甲方住所地人民法院提请诉讼。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根据《陕西省中小企业政府采购信用融资办法》（陕财办采〔2018〕23号）、《陕西省财政厅关于加快推进我省中小企业政府采购信用融资工作的通知》《陕财办采〔2020〕15号》、西安市财政局关于印发《关于调整西安市政府采购信用担保及信用融资合作机构联系名单的通知》（市财发 〔2015〕4号）的有关规定，有融资需求的供应商可根据自身情况，在陕西省政府采购信用融资平台（含各市分平台）自主选择金融机构及其融资产品，凭政府采购中标（成交）通知书或政府采购合同向金融机构提出融资申请。2.成交供应商在领取成交通知书时提供3套纸质投标文件（1正2副），纸质版投标文件应与线上电子响应文件保持一致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 2、税收缴纳证明：提供2024年6月至今已缴纳至少一个月的依法缴纳税款的相关凭据（时间以税款所属日期为准），凭据应有税务机关或代收机关的公章或业务专用章。依法免税或无须缴纳税款的投标人，应提供相关证明文件。 3、社会保障资金缴存证明：提供2024年6月至今已缴存的至少一个月的社会保障资金缴存单据或社保机构开具的社会保险参保缴费情况证明，依法不需要缴纳社会保障资金的单位应提供相关证明材料。 4、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5、承诺函：提供具有履行合同所必需的设备和专业技术能力的承诺函。 注：供应商需在项目电子化交易系统中上传1-5项相关证明文件并进行电子签章。</w:t>
            </w:r>
          </w:p>
        </w:tc>
        <w:tc>
          <w:tcPr>
            <w:tcW w:type="dxa" w:w="1661"/>
          </w:tcPr>
          <w:p>
            <w:pPr>
              <w:pStyle w:val="null3"/>
            </w:pPr>
            <w:r>
              <w:rPr>
                <w:rFonts w:ascii="仿宋_GB2312" w:hAnsi="仿宋_GB2312" w:cs="仿宋_GB2312" w:eastAsia="仿宋_GB2312"/>
              </w:rPr>
              <w:t>供应商应具备《中华人民共和国政府采购法》第二十二条规定的条件.docx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有效的2023年度或2024年度审计报告（成立时间至提交投标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供应商应提供健全的财务会计制度的证明材料.docx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单位负责人为同一人或者存在直接控股、管理关系的不同供应商不得参加同一合同项下的政府采购活动.docx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供应商为生产厂家的提供医疗器械生产许可证，供应商为代理商的提供医疗器械经营许可证。</w:t>
            </w:r>
          </w:p>
        </w:tc>
        <w:tc>
          <w:tcPr>
            <w:tcW w:type="dxa" w:w="1661"/>
          </w:tcPr>
          <w:p>
            <w:pPr>
              <w:pStyle w:val="null3"/>
            </w:pPr>
            <w:r>
              <w:rPr>
                <w:rFonts w:ascii="仿宋_GB2312" w:hAnsi="仿宋_GB2312" w:cs="仿宋_GB2312" w:eastAsia="仿宋_GB2312"/>
              </w:rPr>
              <w:t>供应商要求.docx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本项目不接受西安市红会医院职工及其亲属投资开办或控股的企业参加磋商（提供承诺函）。</w:t>
            </w:r>
          </w:p>
        </w:tc>
        <w:tc>
          <w:tcPr>
            <w:tcW w:type="dxa" w:w="1661"/>
          </w:tcPr>
          <w:p>
            <w:pPr>
              <w:pStyle w:val="null3"/>
            </w:pPr>
            <w:r>
              <w:rPr>
                <w:rFonts w:ascii="仿宋_GB2312" w:hAnsi="仿宋_GB2312" w:cs="仿宋_GB2312" w:eastAsia="仿宋_GB2312"/>
              </w:rPr>
              <w:t>供应商承诺.docx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关于联合体磋商要求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关于联合体磋商要求.docx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有下列情形之一的，应在符合性审查时按照无效响应处理：(1)响应文件未按照采购文件规定要求签署、盖章； (2)不满足本磋商文件中“服务期限、服务地点、支付方式、支付约定”的实质性条款要求； (3)磋商有效期不足或无有效期； (4)报价超过磋商文件中规定的预算金额或最高限价；（5）不满足磋商文件“★”项内容要求；（6）磋商响应文件存在缺项、漏项的。</w:t>
            </w:r>
          </w:p>
        </w:tc>
        <w:tc>
          <w:tcPr>
            <w:tcW w:type="dxa" w:w="1661"/>
          </w:tcPr>
          <w:p>
            <w:pPr>
              <w:pStyle w:val="null3"/>
            </w:pPr>
            <w:r>
              <w:rPr>
                <w:rFonts w:ascii="仿宋_GB2312" w:hAnsi="仿宋_GB2312" w:cs="仿宋_GB2312" w:eastAsia="仿宋_GB2312"/>
              </w:rPr>
              <w:t>响应文件封面 分项报价表.docx 承诺书.docx 响应函 商务偏离表.docx 服务内容响应表.docx 其他证明文件.docx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质量保证措施1</w:t>
            </w:r>
          </w:p>
        </w:tc>
        <w:tc>
          <w:tcPr>
            <w:tcW w:type="dxa" w:w="2492"/>
          </w:tcPr>
          <w:p>
            <w:pPr>
              <w:pStyle w:val="null3"/>
            </w:pPr>
            <w:r>
              <w:rPr>
                <w:rFonts w:ascii="仿宋_GB2312" w:hAnsi="仿宋_GB2312" w:cs="仿宋_GB2312" w:eastAsia="仿宋_GB2312"/>
              </w:rPr>
              <w:t>1.维保期内更换的备件为全新合法、合规备件，确保备件质量应符合国家及行业标准并提供承诺函得2分。 2、供应商具有正规的配件（含进口配件）供货渠道和充足的零配件库存，提供真实有效的相关证明材料及说明（包含但不限于零配件认证测试合格证明资料，进口零配件需提供海关报关单，需提供配件S／N码，以作为凭证追溯配件相关出厂信息及正规渠道采购证明资料等）得3分；供应商具有正规的配件供货渠道和零配件库存，更换的备件并与本项目设备匹配，达到所更换的备件安装完成后达到设备运行标准，提供简单的相关证明材料及说明得2分； 供应商具有正规的配件供货渠道和零配件库存，确保项目能够实施得1分；未提供得0分。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质量保证措施1.docx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1.供应商提供详细全面、切实可行的质量承诺及保证措施、计划，能够保证项目的顺利实施得6分；2.供应商提供完整的质量承诺及保证措施、计划，能够确保项目顺利实施得4分； 3.供应商提供的质量承诺及保证措施、计划简单得2分；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质量保证2.docx</w:t>
            </w:r>
          </w:p>
        </w:tc>
      </w:tr>
      <w:tr>
        <w:tc>
          <w:tcPr>
            <w:tcW w:type="dxa" w:w="831"/>
            <w:vMerge/>
          </w:tcPr>
          <w:p/>
        </w:tc>
        <w:tc>
          <w:tcPr>
            <w:tcW w:type="dxa" w:w="1661"/>
          </w:tcPr>
          <w:p>
            <w:pPr>
              <w:pStyle w:val="null3"/>
            </w:pPr>
            <w:r>
              <w:rPr>
                <w:rFonts w:ascii="仿宋_GB2312" w:hAnsi="仿宋_GB2312" w:cs="仿宋_GB2312" w:eastAsia="仿宋_GB2312"/>
              </w:rPr>
              <w:t>定期维护保养方案</w:t>
            </w:r>
          </w:p>
        </w:tc>
        <w:tc>
          <w:tcPr>
            <w:tcW w:type="dxa" w:w="2492"/>
          </w:tcPr>
          <w:p>
            <w:pPr>
              <w:pStyle w:val="null3"/>
            </w:pPr>
            <w:r>
              <w:rPr>
                <w:rFonts w:ascii="仿宋_GB2312" w:hAnsi="仿宋_GB2312" w:cs="仿宋_GB2312" w:eastAsia="仿宋_GB2312"/>
              </w:rPr>
              <w:t>提供一年不少于四次的定期维护保养，需制定详细的保养计划，提供整机的全面定期维护保养及预防性巡检，维护保养服务内容包括：①设备的安全检查②影像质量检查③设备除尘保养④运行状态检查等。 1.每一项服务方案内容准确、重点突出、完整齐全的得5分； 2.每一项服务方案内容基本准确、具有重点、基本完整的得3分； 3.服务方案内容略准确，重点不突出、内容有缺失的得1分； 4.未提供服务方案得0分。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定期维护保养方案.docx</w:t>
            </w:r>
          </w:p>
        </w:tc>
      </w:tr>
      <w:tr>
        <w:tc>
          <w:tcPr>
            <w:tcW w:type="dxa" w:w="831"/>
            <w:vMerge/>
          </w:tcPr>
          <w:p/>
        </w:tc>
        <w:tc>
          <w:tcPr>
            <w:tcW w:type="dxa" w:w="1661"/>
          </w:tcPr>
          <w:p>
            <w:pPr>
              <w:pStyle w:val="null3"/>
            </w:pPr>
            <w:r>
              <w:rPr>
                <w:rFonts w:ascii="仿宋_GB2312" w:hAnsi="仿宋_GB2312" w:cs="仿宋_GB2312" w:eastAsia="仿宋_GB2312"/>
              </w:rPr>
              <w:t>开机率保证</w:t>
            </w:r>
          </w:p>
        </w:tc>
        <w:tc>
          <w:tcPr>
            <w:tcW w:type="dxa" w:w="2492"/>
          </w:tcPr>
          <w:p>
            <w:pPr>
              <w:pStyle w:val="null3"/>
            </w:pPr>
            <w:r>
              <w:rPr>
                <w:rFonts w:ascii="仿宋_GB2312" w:hAnsi="仿宋_GB2312" w:cs="仿宋_GB2312" w:eastAsia="仿宋_GB2312"/>
              </w:rPr>
              <w:t>供应商提供的承诺函中包含详细具体的开机率保证承诺函。 1.开机率保证承诺函全面、详细、科学合理、规范，可操作性强，得6分； 2.开机率保证承诺函较为合理、规范，具有一定操作性，得4分； 3.开机率保证承诺函简单，得2分； 4.开机率保证承诺函不合理或未提供得0分。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开机率保证.docx</w:t>
            </w:r>
          </w:p>
        </w:tc>
      </w:tr>
      <w:tr>
        <w:tc>
          <w:tcPr>
            <w:tcW w:type="dxa" w:w="831"/>
            <w:vMerge/>
          </w:tcPr>
          <w:p/>
        </w:tc>
        <w:tc>
          <w:tcPr>
            <w:tcW w:type="dxa" w:w="1661"/>
          </w:tcPr>
          <w:p>
            <w:pPr>
              <w:pStyle w:val="null3"/>
            </w:pPr>
            <w:r>
              <w:rPr>
                <w:rFonts w:ascii="仿宋_GB2312" w:hAnsi="仿宋_GB2312" w:cs="仿宋_GB2312" w:eastAsia="仿宋_GB2312"/>
              </w:rPr>
              <w:t>响应时效</w:t>
            </w:r>
          </w:p>
        </w:tc>
        <w:tc>
          <w:tcPr>
            <w:tcW w:type="dxa" w:w="2492"/>
          </w:tcPr>
          <w:p>
            <w:pPr>
              <w:pStyle w:val="null3"/>
            </w:pPr>
            <w:r>
              <w:rPr>
                <w:rFonts w:ascii="仿宋_GB2312" w:hAnsi="仿宋_GB2312" w:cs="仿宋_GB2312" w:eastAsia="仿宋_GB2312"/>
              </w:rPr>
              <w:t>供应商提供详细具体的维修响应时效承诺及应急预案。 1.维修响应时效承诺及应急预案全面、详细、科学合理、规范，可操作性强，得7分； 2.维修响应时效承诺及应急预案较为合理、规范，具有一定操作性，得5分； 3.维修响应时效承诺及应急预案较合理，能够实施，得3分；4.维修时效承诺及应急预案简单，得1分； 5.维修响应时效承诺不合理或未提供得0分。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响应时效.docx</w:t>
            </w:r>
          </w:p>
        </w:tc>
      </w:tr>
      <w:tr>
        <w:tc>
          <w:tcPr>
            <w:tcW w:type="dxa" w:w="831"/>
            <w:vMerge/>
          </w:tcPr>
          <w:p/>
        </w:tc>
        <w:tc>
          <w:tcPr>
            <w:tcW w:type="dxa" w:w="1661"/>
          </w:tcPr>
          <w:p>
            <w:pPr>
              <w:pStyle w:val="null3"/>
            </w:pPr>
            <w:r>
              <w:rPr>
                <w:rFonts w:ascii="仿宋_GB2312" w:hAnsi="仿宋_GB2312" w:cs="仿宋_GB2312" w:eastAsia="仿宋_GB2312"/>
              </w:rPr>
              <w:t>服务报告</w:t>
            </w:r>
          </w:p>
        </w:tc>
        <w:tc>
          <w:tcPr>
            <w:tcW w:type="dxa" w:w="2492"/>
          </w:tcPr>
          <w:p>
            <w:pPr>
              <w:pStyle w:val="null3"/>
            </w:pPr>
            <w:r>
              <w:rPr>
                <w:rFonts w:ascii="仿宋_GB2312" w:hAnsi="仿宋_GB2312" w:cs="仿宋_GB2312" w:eastAsia="仿宋_GB2312"/>
              </w:rPr>
              <w:t>供应商按照采购需求提供保养报告、整机质量评估报告、设备年度服务报告。1.报告内容全面、详细、服务报告形式多样，科学合理、规范，可操作性强，得7分； 2.报告内容较为合理、规范，服务报告能够符合要求，具有一定操作性，得5分； 3.报告内容较为合理，服务报告单一，具有操作性，得3分； 4.报告内容简单，得1分； 5.服务方案不合理或未提供得0分。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服务报告.docx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1.供应商提供满足本项目要求的详细的人员配备方案，团队组织结构合理，职责分明，人员数量充足，且提供详细的证明资料，得8分； 2.供应商针对本项目提供完整的人员配备方案，团队组织结构合理，职责分明，人员数量满足要求，提供部分证明资料得6分； 3.供应商提供人员配备方案，团队组织结果合理，人员满足要求，提供的证明材料单一得4分； 4.供应商提供人员配备方案简单得2分。 备注：人员要求不满足“供应商须具备专业服务团队，具备医疗器械高级工程师证书或原厂培训合格工程师证书的服务人员不少于3人。（提供工程师证书复印件及本单位近三个月为该工程师缴纳的社保证明）”最低要求或未提供的，此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专业维修工具</w:t>
            </w:r>
          </w:p>
        </w:tc>
        <w:tc>
          <w:tcPr>
            <w:tcW w:type="dxa" w:w="2492"/>
          </w:tcPr>
          <w:p>
            <w:pPr>
              <w:pStyle w:val="null3"/>
            </w:pPr>
            <w:r>
              <w:rPr>
                <w:rFonts w:ascii="仿宋_GB2312" w:hAnsi="仿宋_GB2312" w:cs="仿宋_GB2312" w:eastAsia="仿宋_GB2312"/>
              </w:rPr>
              <w:t>1.供应商具备丰富的专业维修工具,能够保证项目顺利实施，提供详细、全面的设备购入发票、图片等相关证明材料得8分； 2.供应商具备完善的专业维修工具,能够保证项目顺利实施，提供部分设备购入发票、图片等相关证明材料得6分；3.供应商具备专业维修工具,能够顺利实施项目，提供证明材料单一得4分； 4.供应商具备专业维修工具,基本能够保证项目顺利实施得2分； 5.未提供得0分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专业维修工具.docx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1.供应商针对本项目提供详细的服务承诺（包含维修后续服务等），服务承诺内容合理，贴合本项目情况得6分； 2.供应商提供完整的服务承诺（包含维修后续服务等），服务承诺内容合理得4分； 3.供应商提供的服务承诺较简单得2分；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供应商具有质量管理体系认证证书得2分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供应商提供2022年6月1日以来同类设备维保案例业绩证明,每个得 2 分，最高得 10 分。注：提供完整合同并加盖公章。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1.满足磋商文件实质性要求且最后报价最低的供应商价格为磋商基准价，其价格分为满分15分。 2.磋商报价得分=（磋商基准价/磋商报价）×15。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详见附件：单位负责人为同一人或者存在直接控股、管理关系的不同供应商不得参加同一合同项下的政府采购活动.docx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详见附件：供应商要求.docx</w:t>
      </w:r>
    </w:p>
    <w:p>
      <w:pPr>
        <w:pStyle w:val="null3"/>
        <w:ind w:firstLine="960"/>
      </w:pPr>
      <w:r>
        <w:rPr>
          <w:rFonts w:ascii="仿宋_GB2312" w:hAnsi="仿宋_GB2312" w:cs="仿宋_GB2312" w:eastAsia="仿宋_GB2312"/>
        </w:rPr>
        <w:t>详见附件：供应商应具备《中华人民共和国政府采购法》第二十二条规定的条件.docx</w:t>
      </w:r>
    </w:p>
    <w:p>
      <w:pPr>
        <w:pStyle w:val="null3"/>
        <w:ind w:firstLine="960"/>
      </w:pPr>
      <w:r>
        <w:rPr>
          <w:rFonts w:ascii="仿宋_GB2312" w:hAnsi="仿宋_GB2312" w:cs="仿宋_GB2312" w:eastAsia="仿宋_GB2312"/>
        </w:rPr>
        <w:t>详见附件：供应商应提供健全的财务会计制度的证明材料.docx</w:t>
      </w:r>
    </w:p>
    <w:p>
      <w:pPr>
        <w:pStyle w:val="null3"/>
        <w:ind w:firstLine="960"/>
      </w:pPr>
      <w:r>
        <w:rPr>
          <w:rFonts w:ascii="仿宋_GB2312" w:hAnsi="仿宋_GB2312" w:cs="仿宋_GB2312" w:eastAsia="仿宋_GB2312"/>
        </w:rPr>
        <w:t>详见附件：关于联合体磋商要求.docx</w:t>
      </w:r>
    </w:p>
    <w:p>
      <w:pPr>
        <w:pStyle w:val="null3"/>
        <w:ind w:firstLine="960"/>
      </w:pPr>
      <w:r>
        <w:rPr>
          <w:rFonts w:ascii="仿宋_GB2312" w:hAnsi="仿宋_GB2312" w:cs="仿宋_GB2312" w:eastAsia="仿宋_GB2312"/>
        </w:rPr>
        <w:t>详见附件：定期维护保养方案.docx</w:t>
      </w:r>
    </w:p>
    <w:p>
      <w:pPr>
        <w:pStyle w:val="null3"/>
        <w:ind w:firstLine="960"/>
      </w:pPr>
      <w:r>
        <w:rPr>
          <w:rFonts w:ascii="仿宋_GB2312" w:hAnsi="仿宋_GB2312" w:cs="仿宋_GB2312" w:eastAsia="仿宋_GB2312"/>
        </w:rPr>
        <w:t>详见附件：服务报告.docx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详见附件：开机率保证.docx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详见附件：响应时效.docx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详见附件：质量保证2.docx</w:t>
      </w:r>
    </w:p>
    <w:p>
      <w:pPr>
        <w:pStyle w:val="null3"/>
        <w:ind w:firstLine="960"/>
      </w:pPr>
      <w:r>
        <w:rPr>
          <w:rFonts w:ascii="仿宋_GB2312" w:hAnsi="仿宋_GB2312" w:cs="仿宋_GB2312" w:eastAsia="仿宋_GB2312"/>
        </w:rPr>
        <w:t>详见附件：质量保证措施1.docx</w:t>
      </w:r>
    </w:p>
    <w:p>
      <w:pPr>
        <w:pStyle w:val="null3"/>
        <w:ind w:firstLine="960"/>
      </w:pPr>
      <w:r>
        <w:rPr>
          <w:rFonts w:ascii="仿宋_GB2312" w:hAnsi="仿宋_GB2312" w:cs="仿宋_GB2312" w:eastAsia="仿宋_GB2312"/>
        </w:rPr>
        <w:t>详见附件：专业维修工具.docx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详见附件：服务内容响应表.docx</w:t>
      </w:r>
    </w:p>
    <w:p>
      <w:pPr>
        <w:pStyle w:val="null3"/>
        <w:ind w:firstLine="960"/>
      </w:pPr>
      <w:r>
        <w:rPr>
          <w:rFonts w:ascii="仿宋_GB2312" w:hAnsi="仿宋_GB2312" w:cs="仿宋_GB2312" w:eastAsia="仿宋_GB2312"/>
        </w:rPr>
        <w:t>详见附件：其他证明文件.docx</w:t>
      </w:r>
    </w:p>
    <w:p>
      <w:pPr>
        <w:pStyle w:val="null3"/>
        <w:ind w:firstLine="960"/>
      </w:pPr>
      <w:r>
        <w:rPr>
          <w:rFonts w:ascii="仿宋_GB2312" w:hAnsi="仿宋_GB2312" w:cs="仿宋_GB2312" w:eastAsia="仿宋_GB2312"/>
        </w:rPr>
        <w:t>详见附件：商务偏离表.docx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