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B7543">
      <w:pPr>
        <w:numPr>
          <w:ilvl w:val="0"/>
          <w:numId w:val="0"/>
        </w:numPr>
        <w:tabs>
          <w:tab w:val="left" w:pos="5580"/>
        </w:tabs>
        <w:spacing w:before="120" w:line="360" w:lineRule="auto"/>
        <w:jc w:val="center"/>
        <w:outlineLvl w:val="0"/>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资格证明文件</w:t>
      </w:r>
    </w:p>
    <w:p w14:paraId="427FF051">
      <w:pPr>
        <w:numPr>
          <w:ilvl w:val="0"/>
          <w:numId w:val="0"/>
        </w:numPr>
        <w:tabs>
          <w:tab w:val="left" w:pos="5580"/>
        </w:tabs>
        <w:spacing w:before="120" w:line="360" w:lineRule="auto"/>
        <w:outlineLvl w:val="9"/>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sz w:val="24"/>
          <w:szCs w:val="24"/>
        </w:rPr>
        <w:t>一、</w:t>
      </w:r>
      <w:r>
        <w:rPr>
          <w:rFonts w:hint="eastAsia" w:ascii="仿宋" w:hAnsi="仿宋" w:eastAsia="仿宋" w:cs="仿宋"/>
          <w:b/>
          <w:bCs/>
          <w:sz w:val="24"/>
          <w:szCs w:val="24"/>
          <w:lang w:val="en-US" w:eastAsia="zh-CN"/>
        </w:rPr>
        <w:t>一般</w:t>
      </w:r>
      <w:r>
        <w:rPr>
          <w:rFonts w:hint="eastAsia" w:ascii="仿宋" w:hAnsi="仿宋" w:eastAsia="仿宋" w:cs="仿宋"/>
          <w:b/>
          <w:bCs/>
          <w:sz w:val="24"/>
          <w:szCs w:val="24"/>
        </w:rPr>
        <w:t>资格条件：</w:t>
      </w:r>
      <w:r>
        <w:rPr>
          <w:rFonts w:hint="eastAsia" w:ascii="仿宋" w:hAnsi="仿宋" w:eastAsia="仿宋" w:cs="仿宋"/>
          <w:sz w:val="24"/>
          <w:szCs w:val="24"/>
        </w:rPr>
        <w:t>符合《中华人民共和国政府采购法》第二十二条的规定：</w:t>
      </w:r>
    </w:p>
    <w:p w14:paraId="7767418B">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14:paraId="134F6B08">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2、具有良好的商业信誉和健全的财务会计制度（提供2024年度财务审计报告或开标前近12个月内的银行资信证明或财政部门认可的政府采购专业担保机构出具的投标担保函）； </w:t>
      </w:r>
    </w:p>
    <w:p w14:paraId="1F18D9AD">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3、具有履行合同所必需的设备和专业技术能力（格式详见附件）； </w:t>
      </w:r>
    </w:p>
    <w:p w14:paraId="011A860A">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4、具有依法缴纳税收和社会保障资金的良好记录（同时提供投标截止时间前12个月内缴存的任意时段的社保及税收缴纳证明；依法不需要缴纳的应提供相关证明文件)； </w:t>
      </w:r>
    </w:p>
    <w:p w14:paraId="2B016902">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5、参加政府采购活动前三年内，在经营活动中没有重大违法记录（格式详见附件）。</w:t>
      </w:r>
    </w:p>
    <w:p w14:paraId="5ECA0F8B">
      <w:pPr>
        <w:numPr>
          <w:ilvl w:val="0"/>
          <w:numId w:val="0"/>
        </w:numPr>
        <w:tabs>
          <w:tab w:val="left" w:pos="5580"/>
        </w:tabs>
        <w:spacing w:before="120" w:line="360" w:lineRule="auto"/>
        <w:ind w:left="0" w:leftChars="0" w:firstLine="0" w:firstLineChars="0"/>
        <w:outlineLvl w:val="9"/>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注：</w:t>
      </w:r>
      <w:r>
        <w:rPr>
          <w:rFonts w:hint="eastAsia" w:ascii="仿宋" w:hAnsi="仿宋" w:eastAsia="仿宋" w:cs="仿宋"/>
          <w:b/>
          <w:bCs/>
          <w:color w:val="auto"/>
          <w:sz w:val="24"/>
          <w:szCs w:val="24"/>
          <w:lang w:val="en-US" w:eastAsia="zh-CN"/>
        </w:rPr>
        <w:t>联合体各方成员均应满足一般资格条件并提供相应的证明材料。</w:t>
      </w:r>
    </w:p>
    <w:p w14:paraId="6E3873EB">
      <w:pPr>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落实政府采购政策需满足的资格要求：</w:t>
      </w:r>
    </w:p>
    <w:p w14:paraId="3278321A">
      <w:pPr>
        <w:numPr>
          <w:ilvl w:val="0"/>
          <w:numId w:val="0"/>
        </w:numPr>
        <w:tabs>
          <w:tab w:val="left" w:pos="5580"/>
        </w:tabs>
        <w:spacing w:before="120" w:line="360" w:lineRule="auto"/>
        <w:ind w:left="0" w:leftChars="0" w:firstLine="0" w:firstLineChars="0"/>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w:t>
      </w:r>
    </w:p>
    <w:p w14:paraId="7CD8CC60">
      <w:pPr>
        <w:numPr>
          <w:ilvl w:val="0"/>
          <w:numId w:val="0"/>
        </w:numPr>
        <w:tabs>
          <w:tab w:val="left" w:pos="5580"/>
        </w:tabs>
        <w:spacing w:before="120" w:line="360" w:lineRule="auto"/>
        <w:ind w:left="0" w:leftChars="0" w:firstLine="0" w:firstLineChars="0"/>
        <w:outlineLvl w:val="9"/>
        <w:rPr>
          <w:rFonts w:hint="eastAsia" w:ascii="仿宋" w:hAnsi="仿宋" w:eastAsia="仿宋" w:cs="仿宋"/>
          <w:b/>
          <w:bCs/>
          <w:color w:val="auto"/>
          <w:sz w:val="24"/>
          <w:szCs w:val="24"/>
        </w:rPr>
      </w:pP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rPr>
        <w:t>、</w:t>
      </w:r>
      <w:r>
        <w:rPr>
          <w:rFonts w:hint="eastAsia" w:ascii="仿宋" w:hAnsi="仿宋" w:eastAsia="仿宋" w:cs="仿宋"/>
          <w:b/>
          <w:bCs/>
          <w:sz w:val="24"/>
          <w:szCs w:val="24"/>
          <w:highlight w:val="none"/>
          <w:lang w:val="en-US" w:eastAsia="zh-CN"/>
        </w:rPr>
        <w:t>特殊</w:t>
      </w:r>
      <w:r>
        <w:rPr>
          <w:rFonts w:hint="eastAsia" w:ascii="仿宋" w:hAnsi="仿宋" w:eastAsia="仿宋" w:cs="仿宋"/>
          <w:b/>
          <w:bCs/>
          <w:sz w:val="24"/>
          <w:szCs w:val="24"/>
          <w:highlight w:val="none"/>
        </w:rPr>
        <w:t>资格条件：</w:t>
      </w:r>
    </w:p>
    <w:p w14:paraId="0F31AE47">
      <w:pPr>
        <w:numPr>
          <w:ilvl w:val="0"/>
          <w:numId w:val="0"/>
        </w:numPr>
        <w:tabs>
          <w:tab w:val="left" w:pos="5580"/>
        </w:tabs>
        <w:spacing w:before="120" w:line="360" w:lineRule="auto"/>
        <w:ind w:left="0" w:leftChars="0"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供应商要求</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供应商应具备公安机关颁发的保安服务许可证，陕西省外投标供应商还须提供西安市公安机关备案证明材料或承诺书。</w:t>
      </w:r>
    </w:p>
    <w:p w14:paraId="5D6865F0">
      <w:pPr>
        <w:outlineLvl w:val="9"/>
        <w:rPr>
          <w:rFonts w:hint="eastAsia"/>
        </w:rPr>
      </w:pPr>
    </w:p>
    <w:p w14:paraId="27E01A75">
      <w:pPr>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00F34576">
      <w:pPr>
        <w:numPr>
          <w:ilvl w:val="0"/>
          <w:numId w:val="0"/>
        </w:numPr>
        <w:tabs>
          <w:tab w:val="left" w:pos="5580"/>
        </w:tabs>
        <w:spacing w:before="120" w:line="360" w:lineRule="auto"/>
        <w:outlineLvl w:val="0"/>
        <w:rPr>
          <w:rFonts w:hint="eastAsia" w:ascii="仿宋" w:hAnsi="仿宋" w:eastAsia="仿宋" w:cs="仿宋"/>
          <w:b/>
          <w:bCs/>
          <w:color w:val="auto"/>
          <w:sz w:val="24"/>
        </w:rPr>
      </w:pPr>
      <w:bookmarkStart w:id="3" w:name="_GoBack"/>
      <w:bookmarkEnd w:id="3"/>
      <w:r>
        <w:rPr>
          <w:rFonts w:hint="eastAsia" w:ascii="仿宋" w:hAnsi="仿宋" w:eastAsia="仿宋" w:cs="仿宋"/>
          <w:b/>
          <w:bCs/>
          <w:color w:val="auto"/>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
          <w:bCs/>
          <w:color w:val="auto"/>
          <w:sz w:val="24"/>
        </w:rPr>
        <w:t>；</w:t>
      </w:r>
    </w:p>
    <w:p w14:paraId="3FDF4367">
      <w:pPr>
        <w:pStyle w:val="7"/>
        <w:tabs>
          <w:tab w:val="left" w:pos="5580"/>
        </w:tabs>
        <w:spacing w:before="120" w:line="360" w:lineRule="auto"/>
        <w:ind w:firstLine="294" w:firstLineChars="147"/>
        <w:rPr>
          <w:rFonts w:ascii="仿宋" w:hAnsi="仿宋" w:eastAsia="仿宋" w:cs="仿宋"/>
          <w:bCs/>
          <w:color w:val="auto"/>
          <w:szCs w:val="24"/>
        </w:rPr>
      </w:pPr>
    </w:p>
    <w:p w14:paraId="22A5CFD1">
      <w:pPr>
        <w:tabs>
          <w:tab w:val="left" w:pos="5580"/>
        </w:tabs>
        <w:spacing w:before="120" w:line="360" w:lineRule="auto"/>
        <w:rPr>
          <w:rFonts w:hint="eastAsia" w:ascii="仿宋" w:hAnsi="仿宋" w:eastAsia="仿宋" w:cs="仿宋"/>
          <w:bCs/>
          <w:color w:val="auto"/>
          <w:sz w:val="24"/>
        </w:rPr>
      </w:pPr>
    </w:p>
    <w:p w14:paraId="1A9BB528">
      <w:pPr>
        <w:tabs>
          <w:tab w:val="left" w:pos="5580"/>
        </w:tabs>
        <w:spacing w:before="120" w:line="360" w:lineRule="auto"/>
        <w:rPr>
          <w:rFonts w:hint="eastAsia" w:ascii="仿宋" w:hAnsi="仿宋" w:eastAsia="仿宋" w:cs="仿宋"/>
          <w:bCs/>
          <w:color w:val="auto"/>
          <w:sz w:val="24"/>
        </w:rPr>
      </w:pPr>
    </w:p>
    <w:p w14:paraId="07B6147E">
      <w:pPr>
        <w:tabs>
          <w:tab w:val="left" w:pos="5580"/>
        </w:tabs>
        <w:spacing w:before="120" w:line="360" w:lineRule="auto"/>
        <w:rPr>
          <w:rFonts w:hint="eastAsia" w:ascii="仿宋" w:hAnsi="仿宋" w:eastAsia="仿宋" w:cs="仿宋"/>
          <w:bCs/>
          <w:color w:val="auto"/>
          <w:sz w:val="24"/>
        </w:rPr>
      </w:pPr>
    </w:p>
    <w:p w14:paraId="1303FC34">
      <w:pPr>
        <w:tabs>
          <w:tab w:val="left" w:pos="5580"/>
        </w:tabs>
        <w:spacing w:before="120" w:line="360" w:lineRule="auto"/>
        <w:rPr>
          <w:rFonts w:hint="eastAsia" w:ascii="仿宋" w:hAnsi="仿宋" w:eastAsia="仿宋" w:cs="仿宋"/>
          <w:bCs/>
          <w:color w:val="auto"/>
          <w:sz w:val="24"/>
        </w:rPr>
      </w:pPr>
    </w:p>
    <w:p w14:paraId="4113D609">
      <w:pPr>
        <w:tabs>
          <w:tab w:val="left" w:pos="5580"/>
        </w:tabs>
        <w:spacing w:before="120" w:line="360" w:lineRule="auto"/>
        <w:rPr>
          <w:rFonts w:hint="eastAsia" w:ascii="仿宋" w:hAnsi="仿宋" w:eastAsia="仿宋" w:cs="仿宋"/>
          <w:bCs/>
          <w:color w:val="auto"/>
          <w:sz w:val="24"/>
        </w:rPr>
      </w:pPr>
    </w:p>
    <w:p w14:paraId="451D35BB">
      <w:pPr>
        <w:tabs>
          <w:tab w:val="left" w:pos="5580"/>
        </w:tabs>
        <w:spacing w:before="120" w:line="360" w:lineRule="auto"/>
        <w:rPr>
          <w:rFonts w:hint="eastAsia" w:ascii="仿宋" w:hAnsi="仿宋" w:eastAsia="仿宋" w:cs="仿宋"/>
          <w:bCs/>
          <w:color w:val="auto"/>
          <w:sz w:val="24"/>
        </w:rPr>
      </w:pPr>
    </w:p>
    <w:p w14:paraId="4AC6FEE2">
      <w:pPr>
        <w:tabs>
          <w:tab w:val="left" w:pos="5580"/>
        </w:tabs>
        <w:spacing w:before="120" w:line="360" w:lineRule="auto"/>
        <w:rPr>
          <w:rFonts w:hint="eastAsia" w:ascii="仿宋" w:hAnsi="仿宋" w:eastAsia="仿宋" w:cs="仿宋"/>
          <w:bCs/>
          <w:color w:val="auto"/>
          <w:sz w:val="24"/>
        </w:rPr>
      </w:pPr>
    </w:p>
    <w:p w14:paraId="363CA6B1">
      <w:pPr>
        <w:tabs>
          <w:tab w:val="left" w:pos="5580"/>
        </w:tabs>
        <w:spacing w:before="120" w:line="360" w:lineRule="auto"/>
        <w:rPr>
          <w:rFonts w:hint="eastAsia" w:ascii="仿宋" w:hAnsi="仿宋" w:eastAsia="仿宋" w:cs="仿宋"/>
          <w:bCs/>
          <w:color w:val="auto"/>
          <w:sz w:val="24"/>
        </w:rPr>
      </w:pPr>
    </w:p>
    <w:p w14:paraId="015701EF">
      <w:pPr>
        <w:tabs>
          <w:tab w:val="left" w:pos="5580"/>
        </w:tabs>
        <w:spacing w:before="120" w:line="360" w:lineRule="auto"/>
        <w:rPr>
          <w:rFonts w:hint="eastAsia" w:ascii="仿宋" w:hAnsi="仿宋" w:eastAsia="仿宋" w:cs="仿宋"/>
          <w:bCs/>
          <w:color w:val="auto"/>
          <w:sz w:val="24"/>
        </w:rPr>
      </w:pPr>
    </w:p>
    <w:p w14:paraId="38E48353">
      <w:pPr>
        <w:tabs>
          <w:tab w:val="left" w:pos="5580"/>
        </w:tabs>
        <w:spacing w:before="120" w:line="360" w:lineRule="auto"/>
        <w:rPr>
          <w:rFonts w:hint="eastAsia" w:ascii="仿宋" w:hAnsi="仿宋" w:eastAsia="仿宋" w:cs="仿宋"/>
          <w:bCs/>
          <w:color w:val="auto"/>
          <w:sz w:val="24"/>
        </w:rPr>
      </w:pPr>
    </w:p>
    <w:p w14:paraId="43C2DDDD">
      <w:pPr>
        <w:tabs>
          <w:tab w:val="left" w:pos="5580"/>
        </w:tabs>
        <w:spacing w:before="120" w:line="360" w:lineRule="auto"/>
        <w:rPr>
          <w:rFonts w:hint="eastAsia" w:ascii="仿宋" w:hAnsi="仿宋" w:eastAsia="仿宋" w:cs="仿宋"/>
          <w:bCs/>
          <w:color w:val="auto"/>
          <w:sz w:val="24"/>
        </w:rPr>
      </w:pPr>
    </w:p>
    <w:p w14:paraId="55A1D672">
      <w:pPr>
        <w:adjustRightInd w:val="0"/>
        <w:spacing w:line="360" w:lineRule="auto"/>
        <w:textAlignment w:val="baseline"/>
        <w:outlineLvl w:val="0"/>
        <w:rPr>
          <w:rFonts w:hint="eastAsia" w:ascii="仿宋" w:hAnsi="仿宋" w:eastAsia="仿宋" w:cs="仿宋"/>
          <w:color w:val="auto"/>
          <w:kern w:val="1"/>
          <w:sz w:val="24"/>
          <w:szCs w:val="24"/>
        </w:rPr>
      </w:pPr>
      <w:bookmarkStart w:id="0" w:name="_Toc29033"/>
      <w:r>
        <w:rPr>
          <w:rFonts w:hint="eastAsia" w:ascii="仿宋" w:hAnsi="仿宋" w:eastAsia="仿宋" w:cs="仿宋"/>
          <w:color w:val="auto"/>
          <w:kern w:val="1"/>
          <w:sz w:val="24"/>
          <w:szCs w:val="24"/>
        </w:rPr>
        <w:br w:type="page"/>
      </w:r>
      <w:bookmarkEnd w:id="0"/>
      <w:r>
        <w:rPr>
          <w:rFonts w:hint="eastAsia" w:ascii="仿宋" w:hAnsi="仿宋" w:eastAsia="仿宋" w:cs="仿宋"/>
          <w:b/>
          <w:bCs/>
          <w:color w:val="auto"/>
          <w:sz w:val="24"/>
          <w:szCs w:val="24"/>
        </w:rPr>
        <w:t>具有良好的商业信誉和健全的财务会计制度（</w:t>
      </w:r>
      <w:r>
        <w:rPr>
          <w:rFonts w:hint="eastAsia" w:ascii="仿宋" w:hAnsi="仿宋" w:eastAsia="仿宋" w:cs="仿宋"/>
          <w:b/>
          <w:bCs/>
          <w:color w:val="auto"/>
          <w:sz w:val="24"/>
          <w:szCs w:val="24"/>
          <w:lang w:eastAsia="zh-CN"/>
        </w:rPr>
        <w:t>提供2024年度财务审计报告或开标前近12个月内的银行资信证明或财政部门认可的政府采购专业担保机构出具的投标担保函</w:t>
      </w:r>
      <w:r>
        <w:rPr>
          <w:rFonts w:hint="eastAsia" w:ascii="仿宋" w:hAnsi="仿宋" w:eastAsia="仿宋" w:cs="仿宋"/>
          <w:b/>
          <w:bCs/>
          <w:color w:val="auto"/>
          <w:sz w:val="24"/>
          <w:szCs w:val="24"/>
        </w:rPr>
        <w:t>）</w:t>
      </w:r>
      <w:r>
        <w:rPr>
          <w:rFonts w:hint="eastAsia" w:ascii="仿宋" w:hAnsi="仿宋" w:eastAsia="仿宋" w:cs="仿宋"/>
          <w:b/>
          <w:bCs/>
          <w:color w:val="auto"/>
          <w:kern w:val="1"/>
          <w:sz w:val="24"/>
          <w:szCs w:val="24"/>
        </w:rPr>
        <w:t>；</w:t>
      </w:r>
    </w:p>
    <w:p w14:paraId="394A9862">
      <w:pPr>
        <w:spacing w:line="360" w:lineRule="auto"/>
        <w:outlineLvl w:val="0"/>
        <w:rPr>
          <w:rFonts w:hint="eastAsia" w:ascii="仿宋" w:hAnsi="仿宋" w:eastAsia="仿宋" w:cs="仿宋"/>
          <w:b/>
          <w:bCs/>
          <w:color w:val="auto"/>
          <w:kern w:val="1"/>
          <w:sz w:val="24"/>
          <w:szCs w:val="24"/>
        </w:rPr>
      </w:pPr>
      <w:r>
        <w:rPr>
          <w:rFonts w:hint="eastAsia" w:ascii="仿宋" w:hAnsi="仿宋" w:eastAsia="仿宋" w:cs="仿宋"/>
          <w:color w:val="auto"/>
          <w:kern w:val="1"/>
        </w:rPr>
        <w:br w:type="page"/>
      </w:r>
      <w:r>
        <w:rPr>
          <w:rFonts w:hint="eastAsia" w:ascii="仿宋" w:hAnsi="仿宋" w:eastAsia="仿宋" w:cs="仿宋"/>
          <w:b w:val="0"/>
          <w:bCs w:val="0"/>
          <w:color w:val="auto"/>
          <w:sz w:val="24"/>
          <w:szCs w:val="24"/>
        </w:rPr>
        <w:t>具有履行合同所必需的设备和专业技术能力的书面声明（格式详见附件）</w:t>
      </w:r>
    </w:p>
    <w:p w14:paraId="31DF5EA6">
      <w:pPr>
        <w:spacing w:line="360" w:lineRule="auto"/>
        <w:outlineLvl w:val="9"/>
        <w:rPr>
          <w:rFonts w:hint="eastAsia" w:ascii="仿宋" w:hAnsi="仿宋" w:eastAsia="仿宋" w:cs="仿宋"/>
          <w:b/>
          <w:bCs/>
          <w:color w:val="auto"/>
          <w:kern w:val="1"/>
          <w:sz w:val="24"/>
          <w:szCs w:val="24"/>
        </w:rPr>
      </w:pPr>
    </w:p>
    <w:p w14:paraId="6060C090">
      <w:pPr>
        <w:spacing w:line="360" w:lineRule="auto"/>
        <w:rPr>
          <w:rFonts w:hint="default" w:ascii="仿宋" w:hAnsi="仿宋" w:eastAsia="仿宋" w:cs="仿宋"/>
          <w:color w:val="auto"/>
          <w:spacing w:val="4"/>
          <w:sz w:val="24"/>
          <w:szCs w:val="24"/>
          <w:u w:val="single"/>
          <w:lang w:val="en-US"/>
        </w:rPr>
      </w:pPr>
      <w:r>
        <w:rPr>
          <w:rFonts w:hint="eastAsia" w:ascii="仿宋" w:hAnsi="仿宋" w:eastAsia="仿宋" w:cs="仿宋"/>
          <w:color w:val="auto"/>
          <w:spacing w:val="4"/>
          <w:sz w:val="24"/>
          <w:szCs w:val="24"/>
          <w:u w:val="single"/>
          <w:lang w:val="en-US" w:eastAsia="zh-CN"/>
        </w:rPr>
        <w:t xml:space="preserve">致：                   </w:t>
      </w:r>
    </w:p>
    <w:p w14:paraId="37AAFFE5">
      <w:pPr>
        <w:spacing w:before="240" w:beforeLines="100" w:after="120" w:afterLines="50"/>
        <w:ind w:firstLine="620" w:firstLineChars="250"/>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u w:val="single"/>
        </w:rPr>
        <w:t xml:space="preserve">   （供应商名称）    </w:t>
      </w:r>
      <w:r>
        <w:rPr>
          <w:rFonts w:hint="eastAsia" w:ascii="仿宋" w:hAnsi="仿宋" w:eastAsia="仿宋" w:cs="仿宋"/>
          <w:color w:val="auto"/>
          <w:spacing w:val="4"/>
          <w:sz w:val="24"/>
          <w:szCs w:val="24"/>
        </w:rPr>
        <w:t xml:space="preserve"> 于</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月</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日在中华人民共和国境内</w:t>
      </w:r>
      <w:r>
        <w:rPr>
          <w:rFonts w:hint="eastAsia" w:ascii="仿宋" w:hAnsi="仿宋" w:eastAsia="仿宋" w:cs="仿宋"/>
          <w:color w:val="auto"/>
          <w:spacing w:val="4"/>
          <w:sz w:val="24"/>
          <w:szCs w:val="24"/>
          <w:u w:val="single"/>
        </w:rPr>
        <w:t xml:space="preserve">               （详细注册地址）     </w:t>
      </w:r>
      <w:r>
        <w:rPr>
          <w:rFonts w:hint="eastAsia" w:ascii="仿宋" w:hAnsi="仿宋" w:eastAsia="仿宋" w:cs="仿宋"/>
          <w:color w:val="auto"/>
          <w:spacing w:val="4"/>
          <w:sz w:val="24"/>
          <w:szCs w:val="24"/>
        </w:rPr>
        <w:t>合法注册并经营，公司主营业务为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，营业（生产经营）面积为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 xml:space="preserve"> ，现有员工数量为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，其中与履行本合同相关的专业技术人员有（</w:t>
      </w:r>
      <w:r>
        <w:rPr>
          <w:rFonts w:hint="eastAsia" w:ascii="仿宋" w:hAnsi="仿宋" w:eastAsia="仿宋" w:cs="仿宋"/>
          <w:color w:val="auto"/>
          <w:spacing w:val="4"/>
          <w:sz w:val="24"/>
          <w:szCs w:val="24"/>
          <w:u w:val="single"/>
        </w:rPr>
        <w:t xml:space="preserve">             专业能力、数量        </w:t>
      </w:r>
      <w:r>
        <w:rPr>
          <w:rFonts w:hint="eastAsia" w:ascii="仿宋" w:hAnsi="仿宋" w:eastAsia="仿宋" w:cs="仿宋"/>
          <w:color w:val="auto"/>
          <w:spacing w:val="4"/>
          <w:sz w:val="24"/>
          <w:szCs w:val="24"/>
        </w:rPr>
        <w:t>），本公司郑重承诺，具有履行本合同所必需的设备和专业技术能力。</w:t>
      </w:r>
    </w:p>
    <w:tbl>
      <w:tblPr>
        <w:tblStyle w:val="1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F02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25EE623">
            <w:pPr>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履行合同所必需的设备清单</w:t>
            </w:r>
          </w:p>
        </w:tc>
      </w:tr>
      <w:tr w14:paraId="64B8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36142536">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693" w:type="dxa"/>
            <w:noWrap w:val="0"/>
            <w:vAlign w:val="center"/>
          </w:tcPr>
          <w:p w14:paraId="2A93D9F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设备或材料名称</w:t>
            </w:r>
          </w:p>
        </w:tc>
        <w:tc>
          <w:tcPr>
            <w:tcW w:w="2268" w:type="dxa"/>
            <w:noWrap w:val="0"/>
            <w:vAlign w:val="center"/>
          </w:tcPr>
          <w:p w14:paraId="1DAE1D2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品牌及型号</w:t>
            </w:r>
          </w:p>
        </w:tc>
        <w:tc>
          <w:tcPr>
            <w:tcW w:w="851" w:type="dxa"/>
            <w:noWrap w:val="0"/>
            <w:vAlign w:val="center"/>
          </w:tcPr>
          <w:p w14:paraId="25ACD4B3">
            <w:pPr>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2126" w:type="dxa"/>
            <w:noWrap w:val="0"/>
            <w:vAlign w:val="center"/>
          </w:tcPr>
          <w:p w14:paraId="677ECCEE">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备注（自购/租赁）</w:t>
            </w:r>
          </w:p>
        </w:tc>
      </w:tr>
      <w:tr w14:paraId="4FAC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D3700D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693" w:type="dxa"/>
            <w:noWrap w:val="0"/>
            <w:vAlign w:val="center"/>
          </w:tcPr>
          <w:p w14:paraId="5E6E7131">
            <w:pPr>
              <w:jc w:val="center"/>
              <w:rPr>
                <w:rFonts w:hint="eastAsia" w:ascii="仿宋" w:hAnsi="仿宋" w:eastAsia="仿宋" w:cs="仿宋"/>
                <w:color w:val="auto"/>
                <w:sz w:val="24"/>
                <w:szCs w:val="24"/>
              </w:rPr>
            </w:pPr>
          </w:p>
        </w:tc>
        <w:tc>
          <w:tcPr>
            <w:tcW w:w="2268" w:type="dxa"/>
            <w:noWrap w:val="0"/>
            <w:vAlign w:val="center"/>
          </w:tcPr>
          <w:p w14:paraId="437AC814">
            <w:pPr>
              <w:jc w:val="center"/>
              <w:rPr>
                <w:rFonts w:hint="eastAsia" w:ascii="仿宋" w:hAnsi="仿宋" w:eastAsia="仿宋" w:cs="仿宋"/>
                <w:color w:val="auto"/>
                <w:sz w:val="24"/>
                <w:szCs w:val="24"/>
              </w:rPr>
            </w:pPr>
          </w:p>
        </w:tc>
        <w:tc>
          <w:tcPr>
            <w:tcW w:w="851" w:type="dxa"/>
            <w:noWrap w:val="0"/>
            <w:vAlign w:val="center"/>
          </w:tcPr>
          <w:p w14:paraId="47BBEF62">
            <w:pPr>
              <w:jc w:val="center"/>
              <w:rPr>
                <w:rFonts w:hint="eastAsia" w:ascii="仿宋" w:hAnsi="仿宋" w:eastAsia="仿宋" w:cs="仿宋"/>
                <w:color w:val="auto"/>
                <w:sz w:val="24"/>
                <w:szCs w:val="24"/>
              </w:rPr>
            </w:pPr>
          </w:p>
        </w:tc>
        <w:tc>
          <w:tcPr>
            <w:tcW w:w="2126" w:type="dxa"/>
            <w:noWrap w:val="0"/>
            <w:vAlign w:val="center"/>
          </w:tcPr>
          <w:p w14:paraId="3026309A">
            <w:pPr>
              <w:jc w:val="center"/>
              <w:rPr>
                <w:rFonts w:hint="eastAsia" w:ascii="仿宋" w:hAnsi="仿宋" w:eastAsia="仿宋" w:cs="仿宋"/>
                <w:color w:val="auto"/>
                <w:sz w:val="24"/>
                <w:szCs w:val="24"/>
              </w:rPr>
            </w:pPr>
          </w:p>
        </w:tc>
      </w:tr>
      <w:tr w14:paraId="2380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149DAAE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693" w:type="dxa"/>
            <w:noWrap w:val="0"/>
            <w:vAlign w:val="center"/>
          </w:tcPr>
          <w:p w14:paraId="10104476">
            <w:pPr>
              <w:jc w:val="center"/>
              <w:rPr>
                <w:rFonts w:hint="eastAsia" w:ascii="仿宋" w:hAnsi="仿宋" w:eastAsia="仿宋" w:cs="仿宋"/>
                <w:color w:val="auto"/>
                <w:sz w:val="24"/>
                <w:szCs w:val="24"/>
              </w:rPr>
            </w:pPr>
          </w:p>
        </w:tc>
        <w:tc>
          <w:tcPr>
            <w:tcW w:w="2268" w:type="dxa"/>
            <w:noWrap w:val="0"/>
            <w:vAlign w:val="center"/>
          </w:tcPr>
          <w:p w14:paraId="192C39D8">
            <w:pPr>
              <w:jc w:val="center"/>
              <w:rPr>
                <w:rFonts w:hint="eastAsia" w:ascii="仿宋" w:hAnsi="仿宋" w:eastAsia="仿宋" w:cs="仿宋"/>
                <w:color w:val="auto"/>
                <w:sz w:val="24"/>
                <w:szCs w:val="24"/>
              </w:rPr>
            </w:pPr>
          </w:p>
        </w:tc>
        <w:tc>
          <w:tcPr>
            <w:tcW w:w="851" w:type="dxa"/>
            <w:noWrap w:val="0"/>
            <w:vAlign w:val="center"/>
          </w:tcPr>
          <w:p w14:paraId="400E66C2">
            <w:pPr>
              <w:jc w:val="center"/>
              <w:rPr>
                <w:rFonts w:hint="eastAsia" w:ascii="仿宋" w:hAnsi="仿宋" w:eastAsia="仿宋" w:cs="仿宋"/>
                <w:color w:val="auto"/>
                <w:sz w:val="24"/>
                <w:szCs w:val="24"/>
              </w:rPr>
            </w:pPr>
          </w:p>
        </w:tc>
        <w:tc>
          <w:tcPr>
            <w:tcW w:w="2126" w:type="dxa"/>
            <w:noWrap w:val="0"/>
            <w:vAlign w:val="center"/>
          </w:tcPr>
          <w:p w14:paraId="66CCA44F">
            <w:pPr>
              <w:jc w:val="center"/>
              <w:rPr>
                <w:rFonts w:hint="eastAsia" w:ascii="仿宋" w:hAnsi="仿宋" w:eastAsia="仿宋" w:cs="仿宋"/>
                <w:color w:val="auto"/>
                <w:sz w:val="24"/>
                <w:szCs w:val="24"/>
              </w:rPr>
            </w:pPr>
          </w:p>
        </w:tc>
      </w:tr>
      <w:tr w14:paraId="024A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4" w:hRule="atLeast"/>
        </w:trPr>
        <w:tc>
          <w:tcPr>
            <w:tcW w:w="709" w:type="dxa"/>
            <w:noWrap w:val="0"/>
            <w:vAlign w:val="center"/>
          </w:tcPr>
          <w:p w14:paraId="162B763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693" w:type="dxa"/>
            <w:noWrap w:val="0"/>
            <w:vAlign w:val="center"/>
          </w:tcPr>
          <w:p w14:paraId="647FA286">
            <w:pPr>
              <w:jc w:val="center"/>
              <w:rPr>
                <w:rFonts w:hint="eastAsia" w:ascii="仿宋" w:hAnsi="仿宋" w:eastAsia="仿宋" w:cs="仿宋"/>
                <w:color w:val="auto"/>
                <w:sz w:val="24"/>
                <w:szCs w:val="24"/>
              </w:rPr>
            </w:pPr>
          </w:p>
        </w:tc>
        <w:tc>
          <w:tcPr>
            <w:tcW w:w="2268" w:type="dxa"/>
            <w:noWrap w:val="0"/>
            <w:vAlign w:val="center"/>
          </w:tcPr>
          <w:p w14:paraId="4957D31B">
            <w:pPr>
              <w:jc w:val="center"/>
              <w:rPr>
                <w:rFonts w:hint="eastAsia" w:ascii="仿宋" w:hAnsi="仿宋" w:eastAsia="仿宋" w:cs="仿宋"/>
                <w:color w:val="auto"/>
                <w:sz w:val="24"/>
                <w:szCs w:val="24"/>
              </w:rPr>
            </w:pPr>
          </w:p>
        </w:tc>
        <w:tc>
          <w:tcPr>
            <w:tcW w:w="851" w:type="dxa"/>
            <w:noWrap w:val="0"/>
            <w:vAlign w:val="center"/>
          </w:tcPr>
          <w:p w14:paraId="39621293">
            <w:pPr>
              <w:jc w:val="center"/>
              <w:rPr>
                <w:rFonts w:hint="eastAsia" w:ascii="仿宋" w:hAnsi="仿宋" w:eastAsia="仿宋" w:cs="仿宋"/>
                <w:color w:val="auto"/>
                <w:sz w:val="24"/>
                <w:szCs w:val="24"/>
              </w:rPr>
            </w:pPr>
          </w:p>
        </w:tc>
        <w:tc>
          <w:tcPr>
            <w:tcW w:w="2126" w:type="dxa"/>
            <w:noWrap w:val="0"/>
            <w:vAlign w:val="center"/>
          </w:tcPr>
          <w:p w14:paraId="562D18E2">
            <w:pPr>
              <w:jc w:val="center"/>
              <w:rPr>
                <w:rFonts w:hint="eastAsia" w:ascii="仿宋" w:hAnsi="仿宋" w:eastAsia="仿宋" w:cs="仿宋"/>
                <w:color w:val="auto"/>
                <w:sz w:val="24"/>
                <w:szCs w:val="24"/>
              </w:rPr>
            </w:pPr>
          </w:p>
        </w:tc>
      </w:tr>
      <w:tr w14:paraId="4FB3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8BDA7E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693" w:type="dxa"/>
            <w:noWrap w:val="0"/>
            <w:vAlign w:val="center"/>
          </w:tcPr>
          <w:p w14:paraId="7F490CFB">
            <w:pPr>
              <w:jc w:val="center"/>
              <w:rPr>
                <w:rFonts w:hint="eastAsia" w:ascii="仿宋" w:hAnsi="仿宋" w:eastAsia="仿宋" w:cs="仿宋"/>
                <w:color w:val="auto"/>
                <w:sz w:val="24"/>
                <w:szCs w:val="24"/>
              </w:rPr>
            </w:pPr>
          </w:p>
        </w:tc>
        <w:tc>
          <w:tcPr>
            <w:tcW w:w="2268" w:type="dxa"/>
            <w:noWrap w:val="0"/>
            <w:vAlign w:val="center"/>
          </w:tcPr>
          <w:p w14:paraId="211A0A5C">
            <w:pPr>
              <w:jc w:val="center"/>
              <w:rPr>
                <w:rFonts w:hint="eastAsia" w:ascii="仿宋" w:hAnsi="仿宋" w:eastAsia="仿宋" w:cs="仿宋"/>
                <w:color w:val="auto"/>
                <w:sz w:val="24"/>
                <w:szCs w:val="24"/>
              </w:rPr>
            </w:pPr>
          </w:p>
        </w:tc>
        <w:tc>
          <w:tcPr>
            <w:tcW w:w="851" w:type="dxa"/>
            <w:noWrap w:val="0"/>
            <w:vAlign w:val="center"/>
          </w:tcPr>
          <w:p w14:paraId="0D959E4A">
            <w:pPr>
              <w:jc w:val="center"/>
              <w:rPr>
                <w:rFonts w:hint="eastAsia" w:ascii="仿宋" w:hAnsi="仿宋" w:eastAsia="仿宋" w:cs="仿宋"/>
                <w:color w:val="auto"/>
                <w:sz w:val="24"/>
                <w:szCs w:val="24"/>
              </w:rPr>
            </w:pPr>
          </w:p>
        </w:tc>
        <w:tc>
          <w:tcPr>
            <w:tcW w:w="2126" w:type="dxa"/>
            <w:noWrap w:val="0"/>
            <w:vAlign w:val="center"/>
          </w:tcPr>
          <w:p w14:paraId="63B34E76">
            <w:pPr>
              <w:jc w:val="center"/>
              <w:rPr>
                <w:rFonts w:hint="eastAsia" w:ascii="仿宋" w:hAnsi="仿宋" w:eastAsia="仿宋" w:cs="仿宋"/>
                <w:color w:val="auto"/>
                <w:sz w:val="24"/>
                <w:szCs w:val="24"/>
              </w:rPr>
            </w:pPr>
          </w:p>
        </w:tc>
      </w:tr>
    </w:tbl>
    <w:p w14:paraId="56175C3F">
      <w:pPr>
        <w:spacing w:before="240" w:beforeLines="100" w:after="120" w:afterLines="50"/>
        <w:ind w:firstLine="170"/>
        <w:rPr>
          <w:rFonts w:hint="eastAsia" w:ascii="仿宋" w:hAnsi="仿宋" w:eastAsia="仿宋" w:cs="仿宋"/>
          <w:color w:val="auto"/>
          <w:spacing w:val="4"/>
          <w:sz w:val="24"/>
          <w:szCs w:val="24"/>
        </w:rPr>
      </w:pPr>
    </w:p>
    <w:p w14:paraId="0902EB2E">
      <w:pPr>
        <w:pStyle w:val="2"/>
        <w:spacing w:line="360" w:lineRule="auto"/>
        <w:rPr>
          <w:rFonts w:hint="eastAsia" w:ascii="仿宋" w:hAnsi="仿宋" w:eastAsia="仿宋" w:cs="仿宋"/>
          <w:color w:val="auto"/>
          <w:spacing w:val="4"/>
          <w:sz w:val="24"/>
          <w:szCs w:val="24"/>
        </w:rPr>
      </w:pPr>
    </w:p>
    <w:p w14:paraId="637BD76F">
      <w:pPr>
        <w:spacing w:line="360" w:lineRule="auto"/>
        <w:rPr>
          <w:rFonts w:hint="eastAsia" w:ascii="仿宋" w:hAnsi="仿宋" w:eastAsia="仿宋" w:cs="仿宋"/>
          <w:color w:val="auto"/>
          <w:sz w:val="24"/>
          <w:szCs w:val="24"/>
        </w:rPr>
      </w:pPr>
    </w:p>
    <w:p w14:paraId="32261295">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1C157071">
      <w:pPr>
        <w:spacing w:line="360" w:lineRule="auto"/>
        <w:ind w:firstLine="2650" w:firstLineChars="1100"/>
        <w:rPr>
          <w:rFonts w:hint="eastAsia" w:ascii="仿宋" w:hAnsi="仿宋" w:eastAsia="仿宋" w:cs="仿宋"/>
          <w:color w:val="auto"/>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3346052F">
      <w:pPr>
        <w:pStyle w:val="3"/>
        <w:spacing w:line="360" w:lineRule="auto"/>
        <w:outlineLvl w:val="0"/>
        <w:rPr>
          <w:rFonts w:hint="eastAsia" w:ascii="仿宋" w:hAnsi="仿宋" w:eastAsia="仿宋" w:cs="仿宋"/>
          <w:b w:val="0"/>
          <w:bCs/>
          <w:color w:val="auto"/>
          <w:sz w:val="24"/>
          <w:szCs w:val="24"/>
        </w:rPr>
      </w:pPr>
      <w:r>
        <w:rPr>
          <w:rFonts w:hint="eastAsia" w:ascii="仿宋" w:hAnsi="仿宋" w:eastAsia="仿宋" w:cs="仿宋"/>
          <w:b w:val="0"/>
          <w:color w:val="auto"/>
          <w:sz w:val="24"/>
          <w:szCs w:val="24"/>
        </w:rPr>
        <w:br w:type="page"/>
      </w:r>
      <w:r>
        <w:rPr>
          <w:rFonts w:hint="eastAsia" w:ascii="仿宋" w:hAnsi="仿宋" w:eastAsia="仿宋" w:cs="仿宋"/>
          <w:b w:val="0"/>
          <w:bCs/>
          <w:color w:val="auto"/>
          <w:kern w:val="1"/>
          <w:sz w:val="24"/>
          <w:szCs w:val="24"/>
          <w:lang w:eastAsia="zh-CN"/>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b w:val="0"/>
          <w:bCs/>
          <w:color w:val="auto"/>
          <w:sz w:val="24"/>
          <w:szCs w:val="24"/>
        </w:rPr>
        <w:t>；</w:t>
      </w:r>
    </w:p>
    <w:p w14:paraId="6E3E039B">
      <w:pPr>
        <w:spacing w:line="360" w:lineRule="auto"/>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sz w:val="24"/>
          <w:szCs w:val="24"/>
        </w:rPr>
        <w:t>提供社会保障资金缴纳记录证明文件</w:t>
      </w:r>
    </w:p>
    <w:p w14:paraId="688497C0">
      <w:pPr>
        <w:spacing w:line="360" w:lineRule="auto"/>
        <w:rPr>
          <w:rFonts w:hint="eastAsia" w:ascii="仿宋" w:hAnsi="仿宋" w:eastAsia="仿宋" w:cs="仿宋"/>
          <w:color w:val="auto"/>
          <w:sz w:val="24"/>
          <w:szCs w:val="24"/>
        </w:rPr>
      </w:pPr>
    </w:p>
    <w:p w14:paraId="5D4B326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15193B0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1、供应商须依法缴纳社会保障资金，须提供开标前12个月内任一月份的社会保障资金缴纳记录复印件并加盖供应商单位公章，新开户的供应商提供社保开户证明，自行编写无效。</w:t>
      </w:r>
    </w:p>
    <w:p w14:paraId="7CA1E61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2、国家、地方工商管理部门或者其他相关管理部门对社会保障资金缴纳（如免缴）有特别政策的，须提供相关政策文件复印件以及供应商满足相关政策文件的证明文件</w:t>
      </w:r>
      <w:bookmarkStart w:id="1" w:name="_Toc109543226"/>
      <w:bookmarkStart w:id="2" w:name="_Toc109542406"/>
      <w:r>
        <w:rPr>
          <w:rFonts w:hint="eastAsia" w:ascii="仿宋" w:hAnsi="仿宋" w:eastAsia="仿宋" w:cs="仿宋"/>
          <w:color w:val="auto"/>
          <w:sz w:val="24"/>
          <w:szCs w:val="24"/>
        </w:rPr>
        <w:t>。</w:t>
      </w:r>
      <w:bookmarkEnd w:id="1"/>
      <w:bookmarkEnd w:id="2"/>
    </w:p>
    <w:p w14:paraId="348CE402">
      <w:pPr>
        <w:rPr>
          <w:rFonts w:hint="eastAsia" w:ascii="仿宋" w:hAnsi="仿宋" w:eastAsia="仿宋" w:cs="仿宋"/>
          <w:color w:val="auto"/>
          <w:sz w:val="24"/>
          <w:szCs w:val="24"/>
        </w:rPr>
      </w:pPr>
    </w:p>
    <w:p w14:paraId="59B65545">
      <w:pPr>
        <w:spacing w:line="360" w:lineRule="auto"/>
        <w:ind w:firstLine="420" w:firstLineChars="200"/>
        <w:jc w:val="center"/>
        <w:rPr>
          <w:rFonts w:hint="eastAsia" w:ascii="仿宋" w:hAnsi="仿宋" w:eastAsia="仿宋" w:cs="仿宋"/>
          <w:color w:val="auto"/>
          <w:sz w:val="24"/>
          <w:szCs w:val="24"/>
        </w:rPr>
      </w:pPr>
      <w:r>
        <w:rPr>
          <w:rFonts w:hint="eastAsia" w:ascii="仿宋" w:hAnsi="仿宋" w:eastAsia="仿宋" w:cs="仿宋"/>
          <w:color w:val="auto"/>
        </w:rPr>
        <w:br w:type="page"/>
      </w:r>
      <w:r>
        <w:rPr>
          <w:rFonts w:hint="eastAsia" w:ascii="仿宋" w:hAnsi="仿宋" w:eastAsia="仿宋" w:cs="仿宋"/>
          <w:color w:val="auto"/>
          <w:sz w:val="24"/>
          <w:szCs w:val="24"/>
        </w:rPr>
        <w:t>依法缴纳税收记录证明文件</w:t>
      </w:r>
    </w:p>
    <w:p w14:paraId="5D3A475B">
      <w:pPr>
        <w:spacing w:line="360" w:lineRule="auto"/>
        <w:ind w:firstLine="480" w:firstLineChars="200"/>
        <w:jc w:val="center"/>
        <w:rPr>
          <w:rFonts w:hint="eastAsia" w:ascii="仿宋" w:hAnsi="仿宋" w:eastAsia="仿宋" w:cs="仿宋"/>
          <w:color w:val="auto"/>
          <w:sz w:val="24"/>
          <w:szCs w:val="24"/>
        </w:rPr>
      </w:pPr>
    </w:p>
    <w:p w14:paraId="22AED85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32E34BD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1、供应商须提供开标前12个月内任一月份的依法缴纳税收记录（依法免税或无须缴纳税款的供应商，应提供相关证明文件)。</w:t>
      </w:r>
    </w:p>
    <w:p w14:paraId="2BC8083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2、国家、地方工商管理部门或者其他相关管理部门对企业纳税有特别规定的，须提供相关政策性文件复印件和供应商满足政策文件规定的证明文件。</w:t>
      </w:r>
    </w:p>
    <w:p w14:paraId="320808C1">
      <w:pPr>
        <w:rPr>
          <w:rFonts w:hint="eastAsia" w:ascii="仿宋" w:hAnsi="仿宋" w:eastAsia="仿宋" w:cs="仿宋"/>
          <w:color w:val="auto"/>
        </w:rPr>
      </w:pPr>
    </w:p>
    <w:p w14:paraId="221DD1C8">
      <w:pPr>
        <w:rPr>
          <w:rFonts w:hint="eastAsia" w:ascii="仿宋" w:hAnsi="仿宋" w:eastAsia="仿宋" w:cs="仿宋"/>
          <w:color w:val="auto"/>
        </w:rPr>
      </w:pPr>
    </w:p>
    <w:p w14:paraId="153209D6">
      <w:pPr>
        <w:rPr>
          <w:rFonts w:hint="eastAsia" w:ascii="仿宋" w:hAnsi="仿宋" w:eastAsia="仿宋" w:cs="仿宋"/>
          <w:color w:val="auto"/>
        </w:rPr>
      </w:pPr>
    </w:p>
    <w:p w14:paraId="6F569A02">
      <w:pPr>
        <w:rPr>
          <w:rFonts w:hint="eastAsia" w:ascii="仿宋" w:hAnsi="仿宋" w:eastAsia="仿宋" w:cs="仿宋"/>
          <w:color w:val="auto"/>
        </w:rPr>
      </w:pPr>
    </w:p>
    <w:p w14:paraId="1A33957B">
      <w:pPr>
        <w:spacing w:line="360" w:lineRule="auto"/>
        <w:outlineLvl w:val="0"/>
        <w:rPr>
          <w:rFonts w:hint="eastAsia" w:ascii="仿宋" w:hAnsi="仿宋" w:eastAsia="仿宋" w:cs="仿宋"/>
          <w:b/>
          <w:bCs/>
          <w:color w:val="auto"/>
          <w:sz w:val="24"/>
          <w:szCs w:val="24"/>
        </w:rPr>
      </w:pPr>
      <w:r>
        <w:rPr>
          <w:rFonts w:hint="eastAsia" w:ascii="仿宋" w:hAnsi="仿宋" w:eastAsia="仿宋" w:cs="仿宋"/>
          <w:color w:val="auto"/>
        </w:rPr>
        <w:br w:type="page"/>
      </w:r>
      <w:r>
        <w:rPr>
          <w:rFonts w:hint="eastAsia" w:ascii="仿宋" w:hAnsi="仿宋" w:eastAsia="仿宋" w:cs="仿宋"/>
          <w:b/>
          <w:bCs/>
          <w:color w:val="auto"/>
          <w:kern w:val="1"/>
          <w:sz w:val="24"/>
          <w:szCs w:val="24"/>
        </w:rPr>
        <w:t>参加政府采购活动前 3 年内在经营活动中没有重大违法记录的书面声明（格式详见附件）</w:t>
      </w:r>
    </w:p>
    <w:p w14:paraId="50DC8CBC">
      <w:pPr>
        <w:spacing w:line="360" w:lineRule="auto"/>
        <w:outlineLvl w:val="9"/>
        <w:rPr>
          <w:rFonts w:hint="eastAsia" w:ascii="仿宋" w:hAnsi="仿宋" w:eastAsia="仿宋" w:cs="仿宋"/>
          <w:b/>
          <w:bCs/>
          <w:color w:val="auto"/>
          <w:sz w:val="24"/>
          <w:szCs w:val="24"/>
        </w:rPr>
      </w:pPr>
    </w:p>
    <w:p w14:paraId="63CD11D7">
      <w:pPr>
        <w:pStyle w:val="9"/>
        <w:wordWrap w:val="0"/>
        <w:spacing w:before="0" w:beforeAutospacing="0" w:after="0" w:afterAutospacing="0" w:line="360" w:lineRule="auto"/>
        <w:rPr>
          <w:rFonts w:hint="eastAsia" w:ascii="仿宋" w:hAnsi="仿宋" w:eastAsia="仿宋" w:cs="仿宋"/>
          <w:color w:val="auto"/>
          <w:szCs w:val="24"/>
          <w:u w:val="single"/>
          <w:shd w:val="clear" w:color="auto" w:fill="FFFFFF"/>
        </w:rPr>
      </w:pPr>
      <w:r>
        <w:rPr>
          <w:rFonts w:hint="eastAsia" w:ascii="仿宋" w:hAnsi="仿宋" w:eastAsia="仿宋" w:cs="仿宋"/>
          <w:color w:val="auto"/>
          <w:spacing w:val="4"/>
          <w:sz w:val="24"/>
          <w:szCs w:val="24"/>
          <w:u w:val="single"/>
          <w:lang w:val="en-US" w:eastAsia="zh-CN"/>
        </w:rPr>
        <w:t xml:space="preserve">致：                   </w:t>
      </w:r>
    </w:p>
    <w:p w14:paraId="48A04B60">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（项目编号：</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）的投标供应商，在此郑重声明： </w:t>
      </w:r>
    </w:p>
    <w:p w14:paraId="79C216E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1、在参加本次政府采购活动前3年内的经营活动中</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12253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2、我方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（填“未被列入”或“被列入”）失信被执行人名单。</w:t>
      </w:r>
    </w:p>
    <w:p w14:paraId="7B97727C">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3、我方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（填“未被列入”或“被列入”）重大税收违法案件当事人名单。 </w:t>
      </w:r>
    </w:p>
    <w:p w14:paraId="7EB5F058">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4、我方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（填“未被列入”或“被列入”）政府采购严重违法失信行为记录名单。 </w:t>
      </w:r>
    </w:p>
    <w:p w14:paraId="776EB871">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如有不实，我方将无条件地退出本项目的采购活动，并遵照《政府采购法》有关“提供虚假材料的规定”接受处罚。 </w:t>
      </w:r>
    </w:p>
    <w:p w14:paraId="69E72589">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特此声明。 </w:t>
      </w:r>
    </w:p>
    <w:p w14:paraId="2D06D3CC">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29C67F6A">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18ACB0D9">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7028FF03">
      <w:pPr>
        <w:pStyle w:val="9"/>
        <w:wordWrap w:val="0"/>
        <w:spacing w:before="0" w:beforeAutospacing="0" w:after="0" w:afterAutospacing="0" w:line="360" w:lineRule="auto"/>
        <w:ind w:firstLine="2650" w:firstLineChars="1100"/>
        <w:jc w:val="both"/>
        <w:rPr>
          <w:rFonts w:hint="eastAsia" w:ascii="仿宋" w:hAnsi="仿宋" w:eastAsia="仿宋" w:cs="仿宋"/>
          <w:b/>
          <w:bCs/>
          <w:color w:val="auto"/>
          <w:sz w:val="24"/>
          <w:szCs w:val="24"/>
          <w:u w:val="single"/>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12559A61">
      <w:pPr>
        <w:rPr>
          <w:rFonts w:hint="eastAsia" w:ascii="仿宋" w:hAnsi="仿宋" w:eastAsia="仿宋" w:cs="仿宋"/>
          <w:i w:val="0"/>
          <w:iCs w:val="0"/>
          <w:color w:val="auto"/>
          <w:sz w:val="24"/>
          <w:highlight w:val="none"/>
        </w:rPr>
      </w:pPr>
      <w:r>
        <w:rPr>
          <w:rFonts w:hint="eastAsia" w:ascii="仿宋" w:hAnsi="仿宋" w:eastAsia="仿宋" w:cs="仿宋"/>
          <w:i w:val="0"/>
          <w:iCs w:val="0"/>
          <w:color w:val="auto"/>
          <w:sz w:val="24"/>
          <w:highlight w:val="none"/>
        </w:rPr>
        <w:br w:type="page"/>
      </w:r>
    </w:p>
    <w:p w14:paraId="4CCBE4BF">
      <w:pPr>
        <w:spacing w:line="360" w:lineRule="auto"/>
        <w:outlineLvl w:val="0"/>
        <w:rPr>
          <w:rFonts w:hint="eastAsia" w:ascii="仿宋" w:hAnsi="仿宋" w:eastAsia="仿宋" w:cs="仿宋"/>
          <w:b/>
          <w:bCs/>
          <w:color w:val="auto"/>
          <w:kern w:val="1"/>
          <w:sz w:val="24"/>
          <w:szCs w:val="24"/>
        </w:rPr>
      </w:pPr>
      <w:r>
        <w:rPr>
          <w:rFonts w:hint="eastAsia" w:ascii="仿宋" w:hAnsi="仿宋" w:eastAsia="仿宋" w:cs="仿宋"/>
          <w:b/>
          <w:bCs/>
          <w:color w:val="auto"/>
          <w:kern w:val="1"/>
          <w:sz w:val="24"/>
          <w:szCs w:val="24"/>
        </w:rPr>
        <w:t>供应商应具备公安机关颁发的保安服务许可证，陕西省外投标供应商还须提供西安市公安机关备案证明材料或承诺书。</w:t>
      </w:r>
    </w:p>
    <w:p w14:paraId="75BF98DD">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MzRmNDAwNDhlOTUyZDJmMWU3MjFkZWVjMzJhZjgifQ=="/>
    <w:docVar w:name="KSO_WPS_MARK_KEY" w:val="10035043-d461-4ba9-9c50-7bfbe643e9b7"/>
  </w:docVars>
  <w:rsids>
    <w:rsidRoot w:val="486F273F"/>
    <w:rsid w:val="00641E35"/>
    <w:rsid w:val="02105134"/>
    <w:rsid w:val="023713C1"/>
    <w:rsid w:val="046E76D5"/>
    <w:rsid w:val="0F6F6D2F"/>
    <w:rsid w:val="124F1F2D"/>
    <w:rsid w:val="199B7E26"/>
    <w:rsid w:val="1F8D7AFB"/>
    <w:rsid w:val="281D61BE"/>
    <w:rsid w:val="39EA2B7D"/>
    <w:rsid w:val="3B6A197D"/>
    <w:rsid w:val="3B6A70A7"/>
    <w:rsid w:val="3F422D66"/>
    <w:rsid w:val="40BD15E3"/>
    <w:rsid w:val="486F273F"/>
    <w:rsid w:val="4B751DCD"/>
    <w:rsid w:val="4C6360CA"/>
    <w:rsid w:val="62A0377C"/>
    <w:rsid w:val="66421459"/>
    <w:rsid w:val="69CC6242"/>
    <w:rsid w:val="6C7B3B22"/>
    <w:rsid w:val="71DB7FC6"/>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5">
    <w:name w:val="heading 3"/>
    <w:basedOn w:val="1"/>
    <w:next w:val="1"/>
    <w:qFormat/>
    <w:uiPriority w:val="0"/>
    <w:pPr>
      <w:keepNext/>
      <w:keepLines/>
      <w:spacing w:before="260" w:after="260" w:line="415" w:lineRule="auto"/>
      <w:outlineLvl w:val="2"/>
    </w:pPr>
    <w:rPr>
      <w:b/>
      <w:sz w:val="32"/>
    </w:rPr>
  </w:style>
  <w:style w:type="paragraph" w:styleId="6">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7">
    <w:name w:val="Plain Text"/>
    <w:basedOn w:val="1"/>
    <w:qFormat/>
    <w:uiPriority w:val="0"/>
    <w:rPr>
      <w:rFonts w:ascii="宋体" w:hAnsi="Courier New"/>
      <w:kern w:val="0"/>
      <w:sz w:val="20"/>
      <w:szCs w:val="20"/>
    </w:rPr>
  </w:style>
  <w:style w:type="paragraph" w:styleId="8">
    <w:name w:val="toc 1"/>
    <w:basedOn w:val="1"/>
    <w:next w:val="1"/>
    <w:qFormat/>
    <w:uiPriority w:val="39"/>
    <w:pPr>
      <w:spacing w:before="120" w:beforeLines="0" w:after="120" w:afterLines="0"/>
      <w:jc w:val="left"/>
    </w:pPr>
    <w:rPr>
      <w:b/>
      <w:bCs/>
      <w:caps/>
      <w:sz w:val="20"/>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1635</Words>
  <Characters>1647</Characters>
  <Lines>0</Lines>
  <Paragraphs>0</Paragraphs>
  <TotalTime>0</TotalTime>
  <ScaleCrop>false</ScaleCrop>
  <LinksUpToDate>false</LinksUpToDate>
  <CharactersWithSpaces>2029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2025-06-13T06:31:43Z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F8A8DF1BFD67441683E2C28521FEE55D_11</vt:lpwstr>
  </property>
  <property fmtid="{D5CDD505-2E9C-101B-9397-08002B2CF9AE}" pid="4" name="KSOTemplateDocerSaveRecord">
    <vt:lpwstr>eyJoZGlkIjoiNzg2NmMxNjQ3YjEwMWQ0NzY0ZGIyNjIyNDMzNDY3MjciLCJ1c2VySWQiOiI0ODM0NjExNDgifQ==</vt:lpwstr>
  </property>
</Properties>
</file>