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版本号：SZT2025-SN-XC-ZC-FW-050520250613001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文物搬迁项目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SZT2025-SN-XC-ZC-FW-0505</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文物搬迁项目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SZT2025-SN-XC-ZC-FW-0505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文物搬迁项目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西安市文物保护考古研究院文物搬迁。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1、供应商要求：供应商应具备公安机关颁发的保安服务许可证，陕西省外投标供应商还须提供西安市公安机关备案证明材料或承诺书。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姬冲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踏勘时间：2025-06-23 09:30:00</w:t>
            </w:r>
          </w:p>
          <w:p>
            <w:pPr>
              <w:pStyle w:val="null3"/>
              <w:ind w:firstLine="975"/>
            </w:pPr>
            <w:r>
              <w:rPr>
                <w:rFonts w:ascii="仿宋_GB2312" w:hAnsi="仿宋_GB2312" w:cs="仿宋_GB2312" w:eastAsia="仿宋_GB2312"/>
              </w:rPr>
              <w:t>踏勘地点：友谊西路68号西安市示文物保护考古研究院</w:t>
            </w:r>
          </w:p>
          <w:p>
            <w:pPr>
              <w:pStyle w:val="null3"/>
              <w:ind w:firstLine="975"/>
            </w:pPr>
            <w:r>
              <w:rPr>
                <w:rFonts w:ascii="仿宋_GB2312" w:hAnsi="仿宋_GB2312" w:cs="仿宋_GB2312" w:eastAsia="仿宋_GB2312"/>
              </w:rPr>
              <w:t>联系人：姬冲</w:t>
            </w:r>
          </w:p>
          <w:p>
            <w:pPr>
              <w:pStyle w:val="null3"/>
              <w:ind w:firstLine="975"/>
            </w:pPr>
            <w:r>
              <w:rPr>
                <w:rFonts w:ascii="仿宋_GB2312" w:hAnsi="仿宋_GB2312" w:cs="仿宋_GB2312" w:eastAsia="仿宋_GB2312"/>
              </w:rPr>
              <w:t>联系电话号码：029-85251916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西安市文物保护考古研究院文物搬迁。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文物搬运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标的名称：文物搬运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32"/>
              <w:gridCol w:w="381"/>
              <w:gridCol w:w="287"/>
              <w:gridCol w:w="39"/>
              <w:gridCol w:w="938"/>
              <w:gridCol w:w="574"/>
            </w:tblGrid>
            <w:tr>
              <w:tc>
                <w:tcPr>
                  <w:tcW w:type="dxa" w:w="2451"/>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全院文物总数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物品</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97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/cm（20</w:t>
                  </w:r>
                  <w:r>
                    <w:rPr>
                      <w:rFonts w:ascii="仿宋_GB2312" w:hAnsi="仿宋_GB2312" w:cs="仿宋_GB2312" w:eastAsia="仿宋_GB2312"/>
                      <w:sz w:val="20"/>
                      <w:color w:val="000000"/>
                      <w:strike/>
                    </w:rPr>
                    <w:t>%</w:t>
                  </w:r>
                  <w:r>
                    <w:rPr>
                      <w:rFonts w:ascii="仿宋_GB2312" w:hAnsi="仿宋_GB2312" w:cs="仿宋_GB2312" w:eastAsia="仿宋_GB2312"/>
                      <w:sz w:val="20"/>
                      <w:color w:val="000000"/>
                    </w:rPr>
                    <w:t>大小浮动）</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搬迁数量</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周转箱</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9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75*55*40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5000~6000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木箱</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9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20*15*15~130*75*70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1300~1500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小件文物</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9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50*50*50~50*60*60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700~900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编织袋</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9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35*60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15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其他（陶罐、棺木、壁画</w:t>
                  </w:r>
                </w:p>
              </w:tc>
              <w:tc>
                <w:tcPr>
                  <w:tcW w:type="dxa" w:w="3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木板</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45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文物架</w:t>
                  </w:r>
                </w:p>
              </w:tc>
              <w:tc>
                <w:tcPr>
                  <w:tcW w:type="dxa" w:w="3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120*60*200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200（27个秦二世文物架）</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文物柜</w:t>
                  </w:r>
                </w:p>
              </w:tc>
              <w:tc>
                <w:tcPr>
                  <w:tcW w:type="dxa" w:w="3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120*80*200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80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图书资料</w:t>
                  </w:r>
                </w:p>
              </w:tc>
              <w:tc>
                <w:tcPr>
                  <w:tcW w:type="dxa" w:w="3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r>
                    <w:rPr>
                      <w:rFonts w:ascii="仿宋_GB2312" w:hAnsi="仿宋_GB2312" w:cs="仿宋_GB2312" w:eastAsia="仿宋_GB2312"/>
                      <w:sz w:val="20"/>
                      <w:color w:val="000000"/>
                    </w:rPr>
                    <w:t>/捆</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院内出版书籍</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4000</w:t>
                  </w:r>
                </w:p>
              </w:tc>
            </w:tr>
          </w:tbl>
          <w:tbl>
            <w:tblPr>
              <w:tblInd w:type="dxa" w:w="120"/>
              <w:tblBorders>
                <w:top w:val="none" w:color="000000" w:sz="4"/>
                <w:left w:val="none" w:color="000000" w:sz="4"/>
                <w:bottom w:val="none" w:color="000000" w:sz="4"/>
                <w:right w:val="none" w:color="000000" w:sz="4"/>
                <w:insideH w:val="none"/>
                <w:insideV w:val="none"/>
              </w:tblBorders>
            </w:tblPr>
            <w:tblGrid>
              <w:gridCol w:w="365"/>
              <w:gridCol w:w="565"/>
              <w:gridCol w:w="454"/>
              <w:gridCol w:w="1063"/>
            </w:tblGrid>
            <w:tr>
              <w:tc>
                <w:tcPr>
                  <w:tcW w:type="dxa" w:w="244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石质文物等重量文物</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物品</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搬迁数量</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石志</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约</w:t>
                  </w:r>
                  <w:r>
                    <w:rPr>
                      <w:rFonts w:ascii="仿宋_GB2312" w:hAnsi="仿宋_GB2312" w:cs="仿宋_GB2312" w:eastAsia="仿宋_GB2312"/>
                      <w:sz w:val="22"/>
                      <w:color w:val="000000"/>
                    </w:rPr>
                    <w:t>620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石盖</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约</w:t>
                  </w:r>
                  <w:r>
                    <w:rPr>
                      <w:rFonts w:ascii="仿宋_GB2312" w:hAnsi="仿宋_GB2312" w:cs="仿宋_GB2312" w:eastAsia="仿宋_GB2312"/>
                      <w:sz w:val="22"/>
                      <w:color w:val="000000"/>
                    </w:rPr>
                    <w:t>460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石刻</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约</w:t>
                  </w:r>
                  <w:r>
                    <w:rPr>
                      <w:rFonts w:ascii="仿宋_GB2312" w:hAnsi="仿宋_GB2312" w:cs="仿宋_GB2312" w:eastAsia="仿宋_GB2312"/>
                      <w:sz w:val="22"/>
                      <w:color w:val="000000"/>
                    </w:rPr>
                    <w:t>790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石块</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约</w:t>
                  </w:r>
                  <w:r>
                    <w:rPr>
                      <w:rFonts w:ascii="仿宋_GB2312" w:hAnsi="仿宋_GB2312" w:cs="仿宋_GB2312" w:eastAsia="仿宋_GB2312"/>
                      <w:sz w:val="22"/>
                      <w:color w:val="000000"/>
                    </w:rPr>
                    <w:t>340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其他</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约</w:t>
                  </w:r>
                  <w:r>
                    <w:rPr>
                      <w:rFonts w:ascii="仿宋_GB2312" w:hAnsi="仿宋_GB2312" w:cs="仿宋_GB2312" w:eastAsia="仿宋_GB2312"/>
                      <w:sz w:val="22"/>
                      <w:color w:val="000000"/>
                    </w:rPr>
                    <w:t>200</w:t>
                  </w:r>
                </w:p>
              </w:tc>
            </w:tr>
          </w:tbl>
          <w:tbl>
            <w:tblPr>
              <w:tblInd w:type="dxa" w:w="120"/>
              <w:tblBorders>
                <w:top w:val="none" w:color="000000" w:sz="4"/>
                <w:left w:val="none" w:color="000000" w:sz="4"/>
                <w:bottom w:val="none" w:color="000000" w:sz="4"/>
                <w:right w:val="none" w:color="000000" w:sz="4"/>
                <w:insideH w:val="none"/>
                <w:insideV w:val="none"/>
              </w:tblBorders>
            </w:tblPr>
            <w:tblGrid>
              <w:gridCol w:w="223"/>
              <w:gridCol w:w="745"/>
              <w:gridCol w:w="900"/>
              <w:gridCol w:w="671"/>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称</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寸</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搬迁数量</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办公椅</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350把</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60*40*50——2000*1000*810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200张</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6000*1500*800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2张</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文件柜</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90*42*90——3000*1400*600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520个</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书柜密集架</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400*230*65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80个</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150台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50台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挂式</w:t>
                  </w:r>
                  <w:r>
                    <w:rPr>
                      <w:rFonts w:ascii="仿宋_GB2312" w:hAnsi="仿宋_GB2312" w:cs="仿宋_GB2312" w:eastAsia="仿宋_GB2312"/>
                      <w:sz w:val="20"/>
                      <w:color w:val="000000"/>
                    </w:rPr>
                    <w:t>43台,柜机10台</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60台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茶几</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620*620*650——1400*800*800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15个</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沙发</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三人位</w:t>
                  </w:r>
                  <w:r>
                    <w:rPr>
                      <w:rFonts w:ascii="仿宋_GB2312" w:hAnsi="仿宋_GB2312" w:cs="仿宋_GB2312" w:eastAsia="仿宋_GB2312"/>
                      <w:sz w:val="20"/>
                      <w:color w:val="000000"/>
                    </w:rPr>
                    <w:t>16个1700*900*700；</w:t>
                  </w:r>
                  <w:r>
                    <w:br/>
                  </w:r>
                  <w:r>
                    <w:rPr>
                      <w:rFonts w:ascii="仿宋_GB2312" w:hAnsi="仿宋_GB2312" w:cs="仿宋_GB2312" w:eastAsia="仿宋_GB2312"/>
                      <w:sz w:val="20"/>
                      <w:color w:val="000000"/>
                    </w:rPr>
                    <w:t>单人位</w:t>
                  </w:r>
                  <w:r>
                    <w:rPr>
                      <w:rFonts w:ascii="仿宋_GB2312" w:hAnsi="仿宋_GB2312" w:cs="仿宋_GB2312" w:eastAsia="仿宋_GB2312"/>
                      <w:sz w:val="20"/>
                      <w:color w:val="000000"/>
                    </w:rPr>
                    <w:t>3个</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20个</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架子</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280*500*840——1920*350*300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40个</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办公设备（电视、碎纸机、冰柜、冰箱、扫描仪、讲台、装订机、易碎物品等</w:t>
                  </w:r>
                  <w:r>
                    <w:rPr>
                      <w:rFonts w:ascii="仿宋_GB2312" w:hAnsi="仿宋_GB2312" w:cs="仿宋_GB2312" w:eastAsia="仿宋_GB2312"/>
                      <w:sz w:val="20"/>
                      <w:color w:val="000000"/>
                    </w:rPr>
                    <w:t>)</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230个</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精密仪器（体视显微镜、超声波清洗器、恒温恒湿箱等）</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280*400*350——1400*750*1320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资料及物品箱</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6000箱</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叉车</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灭火器</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100个</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图书资料</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采购书籍</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约</w:t>
                  </w:r>
                  <w:r>
                    <w:rPr>
                      <w:rFonts w:ascii="仿宋_GB2312" w:hAnsi="仿宋_GB2312" w:cs="仿宋_GB2312" w:eastAsia="仿宋_GB2312"/>
                      <w:sz w:val="20"/>
                      <w:color w:val="000000"/>
                    </w:rPr>
                    <w:t>4000箱</w:t>
                  </w:r>
                </w:p>
              </w:tc>
            </w:tr>
          </w:tbl>
          <w:p>
            <w:pPr>
              <w:pStyle w:val="null3"/>
            </w:pPr>
            <w:r>
              <w:rPr>
                <w:rFonts w:ascii="仿宋_GB2312" w:hAnsi="仿宋_GB2312" w:cs="仿宋_GB2312" w:eastAsia="仿宋_GB2312"/>
                <w:b/>
              </w:rPr>
              <w:t>服务要求：</w:t>
            </w:r>
          </w:p>
          <w:p>
            <w:pPr>
              <w:pStyle w:val="null3"/>
              <w:jc w:val="both"/>
            </w:pPr>
            <w:r>
              <w:rPr>
                <w:rFonts w:ascii="仿宋_GB2312" w:hAnsi="仿宋_GB2312" w:cs="仿宋_GB2312" w:eastAsia="仿宋_GB2312"/>
                <w:sz w:val="21"/>
              </w:rPr>
              <w:t>（一）要求：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搬迁过程中及搬运至指定地点后，需按甲方工作要求进行放置。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搬迁过程中文物需进行衬垫保护，确保文物安全。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所需的相关材料、配件、人工、打包、拆装、厢式货车、搬迁运输必须的转运设备等费用均包含在报价内，搬迁供应商应根据实际需求保障供给。</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搬迁过程中应有专业的安保公司对珍贵文物进行全程保障。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箱资料需委托供应商打包，所有箱子需委托供应商捆扎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文物架、空调、桌椅、书柜等需拆卸、组装</w:t>
            </w:r>
            <w:r>
              <w:rPr>
                <w:rFonts w:ascii="仿宋_GB2312" w:hAnsi="仿宋_GB2312" w:cs="仿宋_GB2312" w:eastAsia="仿宋_GB2312"/>
                <w:sz w:val="21"/>
              </w:rPr>
              <w:t>、</w:t>
            </w:r>
            <w:r>
              <w:rPr>
                <w:rFonts w:ascii="仿宋_GB2312" w:hAnsi="仿宋_GB2312" w:cs="仿宋_GB2312" w:eastAsia="仿宋_GB2312"/>
                <w:sz w:val="21"/>
              </w:rPr>
              <w:t>安装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运距：</w:t>
            </w:r>
          </w:p>
          <w:p>
            <w:pPr>
              <w:pStyle w:val="null3"/>
              <w:jc w:val="both"/>
            </w:pPr>
            <w:r>
              <w:rPr>
                <w:rFonts w:ascii="仿宋_GB2312" w:hAnsi="仿宋_GB2312" w:cs="仿宋_GB2312" w:eastAsia="仿宋_GB2312"/>
                <w:sz w:val="21"/>
              </w:rPr>
              <w:t>石质文物在小雁塔园区考古院办公楼东侧；</w:t>
            </w:r>
            <w:r>
              <w:rPr>
                <w:rFonts w:ascii="仿宋_GB2312" w:hAnsi="仿宋_GB2312" w:cs="仿宋_GB2312" w:eastAsia="仿宋_GB2312"/>
                <w:sz w:val="21"/>
              </w:rPr>
              <w:t>运输距离</w:t>
            </w:r>
            <w:r>
              <w:rPr>
                <w:rFonts w:ascii="仿宋_GB2312" w:hAnsi="仿宋_GB2312" w:cs="仿宋_GB2312" w:eastAsia="仿宋_GB2312"/>
                <w:sz w:val="21"/>
              </w:rPr>
              <w:t>2</w:t>
            </w:r>
            <w:r>
              <w:rPr>
                <w:rFonts w:ascii="仿宋_GB2312" w:hAnsi="仿宋_GB2312" w:cs="仿宋_GB2312" w:eastAsia="仿宋_GB2312"/>
                <w:sz w:val="21"/>
              </w:rPr>
              <w:t>公里</w:t>
            </w:r>
          </w:p>
          <w:p>
            <w:pPr>
              <w:pStyle w:val="null3"/>
              <w:jc w:val="both"/>
            </w:pPr>
            <w:r>
              <w:rPr>
                <w:rFonts w:ascii="仿宋_GB2312" w:hAnsi="仿宋_GB2312" w:cs="仿宋_GB2312" w:eastAsia="仿宋_GB2312"/>
                <w:sz w:val="21"/>
              </w:rPr>
              <w:t>一般文物在西安市内；</w:t>
            </w:r>
            <w:r>
              <w:rPr>
                <w:rFonts w:ascii="仿宋_GB2312" w:hAnsi="仿宋_GB2312" w:cs="仿宋_GB2312" w:eastAsia="仿宋_GB2312"/>
                <w:sz w:val="21"/>
              </w:rPr>
              <w:t>运输距离</w:t>
            </w:r>
            <w:r>
              <w:rPr>
                <w:rFonts w:ascii="仿宋_GB2312" w:hAnsi="仿宋_GB2312" w:cs="仿宋_GB2312" w:eastAsia="仿宋_GB2312"/>
                <w:sz w:val="21"/>
              </w:rPr>
              <w:t>50</w:t>
            </w:r>
            <w:r>
              <w:rPr>
                <w:rFonts w:ascii="仿宋_GB2312" w:hAnsi="仿宋_GB2312" w:cs="仿宋_GB2312" w:eastAsia="仿宋_GB2312"/>
                <w:sz w:val="21"/>
              </w:rPr>
              <w:t>公里</w:t>
            </w:r>
          </w:p>
          <w:p>
            <w:pPr>
              <w:pStyle w:val="null3"/>
              <w:jc w:val="both"/>
            </w:pPr>
            <w:r>
              <w:rPr>
                <w:rFonts w:ascii="仿宋_GB2312" w:hAnsi="仿宋_GB2312" w:cs="仿宋_GB2312" w:eastAsia="仿宋_GB2312"/>
                <w:sz w:val="21"/>
              </w:rPr>
              <w:t>固定资产</w:t>
            </w:r>
            <w:r>
              <w:rPr>
                <w:rFonts w:ascii="仿宋_GB2312" w:hAnsi="仿宋_GB2312" w:cs="仿宋_GB2312" w:eastAsia="仿宋_GB2312"/>
                <w:sz w:val="21"/>
              </w:rPr>
              <w:t>运输距离</w:t>
            </w:r>
            <w:r>
              <w:rPr>
                <w:rFonts w:ascii="仿宋_GB2312" w:hAnsi="仿宋_GB2312" w:cs="仿宋_GB2312" w:eastAsia="仿宋_GB2312"/>
                <w:sz w:val="21"/>
              </w:rPr>
              <w:t>10</w:t>
            </w:r>
            <w:r>
              <w:rPr>
                <w:rFonts w:ascii="仿宋_GB2312" w:hAnsi="仿宋_GB2312" w:cs="仿宋_GB2312" w:eastAsia="仿宋_GB2312"/>
                <w:sz w:val="21"/>
              </w:rPr>
              <w:t>公里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供应商需提供公司</w:t>
            </w:r>
            <w:r>
              <w:rPr>
                <w:rFonts w:ascii="仿宋_GB2312" w:hAnsi="仿宋_GB2312" w:cs="仿宋_GB2312" w:eastAsia="仿宋_GB2312"/>
                <w:sz w:val="21"/>
              </w:rPr>
              <w:t>拟派团队人员至少</w:t>
            </w:r>
            <w:r>
              <w:rPr>
                <w:rFonts w:ascii="仿宋_GB2312" w:hAnsi="仿宋_GB2312" w:cs="仿宋_GB2312" w:eastAsia="仿宋_GB2312"/>
                <w:sz w:val="21"/>
              </w:rPr>
              <w:t>30</w:t>
            </w:r>
            <w:r>
              <w:rPr>
                <w:rFonts w:ascii="仿宋_GB2312" w:hAnsi="仿宋_GB2312" w:cs="仿宋_GB2312" w:eastAsia="仿宋_GB2312"/>
                <w:sz w:val="21"/>
              </w:rPr>
              <w:t>人，所有服务团队人员需提供近</w:t>
            </w:r>
            <w:r>
              <w:rPr>
                <w:rFonts w:ascii="仿宋_GB2312" w:hAnsi="仿宋_GB2312" w:cs="仿宋_GB2312" w:eastAsia="仿宋_GB2312"/>
                <w:sz w:val="21"/>
              </w:rPr>
              <w:t>3</w:t>
            </w:r>
            <w:r>
              <w:rPr>
                <w:rFonts w:ascii="仿宋_GB2312" w:hAnsi="仿宋_GB2312" w:cs="仿宋_GB2312" w:eastAsia="仿宋_GB2312"/>
                <w:sz w:val="21"/>
              </w:rPr>
              <w:t>个月的社保缴纳证明及近</w:t>
            </w:r>
            <w:r>
              <w:rPr>
                <w:rFonts w:ascii="仿宋_GB2312" w:hAnsi="仿宋_GB2312" w:cs="仿宋_GB2312" w:eastAsia="仿宋_GB2312"/>
                <w:sz w:val="21"/>
              </w:rPr>
              <w:t>3</w:t>
            </w:r>
            <w:r>
              <w:rPr>
                <w:rFonts w:ascii="仿宋_GB2312" w:hAnsi="仿宋_GB2312" w:cs="仿宋_GB2312" w:eastAsia="仿宋_GB2312"/>
                <w:sz w:val="21"/>
              </w:rPr>
              <w:t>个月内在公安机关开具的无犯罪记录证明</w:t>
            </w:r>
            <w:r>
              <w:rPr>
                <w:rFonts w:ascii="仿宋_GB2312" w:hAnsi="仿宋_GB2312" w:cs="仿宋_GB2312" w:eastAsia="仿宋_GB2312"/>
                <w:sz w:val="21"/>
              </w:rPr>
              <w:t>，安保公司需配备必要的防护、防</w:t>
            </w:r>
            <w:r>
              <w:rPr>
                <w:rFonts w:ascii="仿宋_GB2312" w:hAnsi="仿宋_GB2312" w:cs="仿宋_GB2312" w:eastAsia="仿宋_GB2312"/>
                <w:sz w:val="21"/>
              </w:rPr>
              <w:t>暴</w:t>
            </w:r>
            <w:r>
              <w:rPr>
                <w:rFonts w:ascii="仿宋_GB2312" w:hAnsi="仿宋_GB2312" w:cs="仿宋_GB2312" w:eastAsia="仿宋_GB2312"/>
                <w:sz w:val="21"/>
              </w:rPr>
              <w:t>装备，人员具备防盗、防抢相应能力，以确保文物安全。</w:t>
            </w:r>
          </w:p>
          <w:p>
            <w:pPr>
              <w:pStyle w:val="null3"/>
              <w:jc w:val="both"/>
            </w:pPr>
            <w:r>
              <w:rPr>
                <w:rFonts w:ascii="仿宋_GB2312" w:hAnsi="仿宋_GB2312" w:cs="仿宋_GB2312" w:eastAsia="仿宋_GB2312"/>
                <w:sz w:val="21"/>
              </w:rPr>
              <w:t>（二）搬迁前准备：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搬迁供应商须提前考察搬迁物品、搬迁路线、道路交通规定、新旧场地具体环境条件等，提出详尽的搬迁实施方案由采购人审核确定后，遵照执行。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供应商应具有运输车辆，</w:t>
            </w:r>
            <w:r>
              <w:rPr>
                <w:rFonts w:ascii="仿宋_GB2312" w:hAnsi="仿宋_GB2312" w:cs="仿宋_GB2312" w:eastAsia="仿宋_GB2312"/>
                <w:sz w:val="21"/>
              </w:rPr>
              <w:t>运输车辆须为封闭厢式货车，如遇下雨等恶劣天气，搬迁供应商需做好必要的防淋防潮准备。搬迁及运输过程中需确保各类资产无丢失、无破损，搬迁过程中造成的物品损坏，搬迁供应商需按原价赔偿；因搬迁造成资料丢失，搬迁供应商需根据国家相关规定赔偿经济损失。</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文物搬运要制定详细搬运计划、制定应急预案。严格按照搬运文物的操作规程进行操作，如若出现文物撞击损毁或遗失，按照《中华人民共和国文物保护法》予以追责。</w:t>
            </w:r>
          </w:p>
          <w:p>
            <w:pPr>
              <w:pStyle w:val="null3"/>
              <w:jc w:val="both"/>
            </w:pPr>
            <w:r>
              <w:rPr>
                <w:rFonts w:ascii="仿宋_GB2312" w:hAnsi="仿宋_GB2312" w:cs="仿宋_GB2312" w:eastAsia="仿宋_GB2312"/>
                <w:sz w:val="21"/>
              </w:rPr>
              <w:t>（三）搬迁过程中</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搬迁过程中需保持场地整洁、安全，由搬迁供应商做好对新旧场地墙面、地面的保护工作，造成的损坏由搬迁供应商按原价赔偿。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搬迁过程中要做到专人负责，搬迁人员有序组织，车辆有序安排，遵守相关规定，因搬迁造成供应商方人员、车辆、物品等损失，由搬迁供应商承担责任。</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按照采购人要求以部门为单位打包搬运，搬出原办公室前，需双方工作人员核对、签字确认，按序放到指定位置，等待搬运装车。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装车后，须有专人列明每辆车搬运清单，与采购人跟车人清点物品数量、确认无误并签字确认后方可出发。</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文件资料及家具等资产搬迁至新办公场地指定位置后，由采购人工作人员核对，确认物品数量、位置准确并签字后，搬迁人员方可离开。</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易碎搬运，需用防护棉整体包裹，搬运过程中杜绝在地面上推行，确保不会造成损坏。对易损的玻璃面板需拆除后做好防护措施，再和柜体分开进行搬运，保证运输过程中玻璃不碎和人员不被划伤。无法拆卸玻璃面板时，需要做好必要的防护措施，确保搬运过程中玻璃面板不破损。</w:t>
            </w:r>
          </w:p>
          <w:p>
            <w:pPr>
              <w:pStyle w:val="null3"/>
              <w:jc w:val="both"/>
            </w:pPr>
            <w:r>
              <w:rPr>
                <w:rFonts w:ascii="仿宋_GB2312" w:hAnsi="仿宋_GB2312" w:cs="仿宋_GB2312" w:eastAsia="仿宋_GB2312"/>
                <w:sz w:val="21"/>
              </w:rPr>
              <w:t>（四）搬迁后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搬迁结束后，对搬迁过程中供应商产生的各种废弃物进行清理。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搬迁工作需按合同约定按时完成，达到合同规定的预期效果，并通过搬迁单位验收。</w:t>
            </w:r>
          </w:p>
          <w:p>
            <w:pPr>
              <w:pStyle w:val="null3"/>
              <w:jc w:val="both"/>
            </w:pPr>
            <w:r>
              <w:rPr>
                <w:rFonts w:ascii="仿宋_GB2312" w:hAnsi="仿宋_GB2312" w:cs="仿宋_GB2312" w:eastAsia="仿宋_GB2312"/>
                <w:sz w:val="21"/>
              </w:rPr>
              <w:t>（五）时限要求</w:t>
            </w:r>
          </w:p>
          <w:p>
            <w:pPr>
              <w:pStyle w:val="null3"/>
              <w:jc w:val="both"/>
            </w:pPr>
            <w:r>
              <w:rPr>
                <w:rFonts w:ascii="仿宋_GB2312" w:hAnsi="仿宋_GB2312" w:cs="仿宋_GB2312" w:eastAsia="仿宋_GB2312"/>
                <w:sz w:val="21"/>
              </w:rPr>
              <w:t>搬迁时间累计</w:t>
            </w:r>
            <w:r>
              <w:rPr>
                <w:rFonts w:ascii="仿宋_GB2312" w:hAnsi="仿宋_GB2312" w:cs="仿宋_GB2312" w:eastAsia="仿宋_GB2312"/>
                <w:sz w:val="21"/>
              </w:rPr>
              <w:t>不超过</w:t>
            </w:r>
            <w:r>
              <w:rPr>
                <w:rFonts w:ascii="仿宋_GB2312" w:hAnsi="仿宋_GB2312" w:cs="仿宋_GB2312" w:eastAsia="仿宋_GB2312"/>
                <w:sz w:val="21"/>
              </w:rPr>
              <w:t>60</w:t>
            </w:r>
            <w:r>
              <w:rPr>
                <w:rFonts w:ascii="仿宋_GB2312" w:hAnsi="仿宋_GB2312" w:cs="仿宋_GB2312" w:eastAsia="仿宋_GB2312"/>
                <w:sz w:val="21"/>
              </w:rPr>
              <w:t>天，分时间、分阶段组织实施，具体时间以甲方要求为准。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搬迁时间累计不超过60天，分时间、分阶段组织实施，具体时间以甲方要求为准。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服务履约完成后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中标供应商在领取中标通知书时提供2套纸质响应文件（1正1副），纸质版响应文件应与线上电子响应文件保持一致并加盖公章。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5、参加政府采购活动前三年内，在经营活动中没有重大违法记录（格式详见附件）。注：联合体各方成员均应满足一般资格条件并提供相应的证明材料。</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开标前近12个月内的银行资信证明或财政部门认可的政府采购专业担保机构出具的投标担保函）注：联合体各方成员均应满足一般资格条件并提供相应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供应商应具备公安机关颁发的保安服务许可证，陕西省外投标供应商还须提供西安市公安机关备案证明材料或承诺书。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供应商参加政府采购活动承诺书.docx 供应商拒绝政府采购领域商业贿赂承诺书.docx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本项目接受联合体投标。</w:t>
            </w:r>
          </w:p>
        </w:tc>
        <w:tc>
          <w:tcPr>
            <w:tcW w:type="dxa" w:w="1661"/>
          </w:tcPr>
          <w:p>
            <w:pPr>
              <w:pStyle w:val="null3"/>
            </w:pPr>
            <w:r>
              <w:rPr>
                <w:rFonts w:ascii="仿宋_GB2312" w:hAnsi="仿宋_GB2312" w:cs="仿宋_GB2312" w:eastAsia="仿宋_GB2312"/>
              </w:rPr>
              <w:t>联合体协议.docx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1.供应商对本项目的服务需求、服务要点、服务内容及标准、其他要求等理解深入，现状分析合理，针对性强得6分； 2.供应商对本项目的服务需求、服务要点、服务内容及标准、其他要求等基本理解，现状分析较合理得4分； 3.供应商对本项目的服务需求、服务要点、服务内容及标准、其他要求等理解不全面，现状分析不完整得2分；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搬迁实施方案</w:t>
            </w:r>
          </w:p>
        </w:tc>
        <w:tc>
          <w:tcPr>
            <w:tcW w:type="dxa" w:w="2492"/>
          </w:tcPr>
          <w:p>
            <w:pPr>
              <w:pStyle w:val="null3"/>
            </w:pPr>
            <w:r>
              <w:rPr>
                <w:rFonts w:ascii="仿宋_GB2312" w:hAnsi="仿宋_GB2312" w:cs="仿宋_GB2312" w:eastAsia="仿宋_GB2312"/>
              </w:rPr>
              <w:t>供应商针对本项目特点提出量身定制的实施方案，包含详细的操作方法、防护手段、工作流程、安全体系等。 1.供应商制定的实施方案针对性强，内容详细，科学、高效、具体得7分； 2.供应商制定的实施方案完整、较科学、合理、全面得5分； 3.供应商制定的实施方案较完整，合理得3分； 4.供应商制定的实施方案简单、不够具体得1分； 5.未提供得0分。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运输车辆及搬运工具</w:t>
            </w:r>
          </w:p>
        </w:tc>
        <w:tc>
          <w:tcPr>
            <w:tcW w:type="dxa" w:w="2492"/>
          </w:tcPr>
          <w:p>
            <w:pPr>
              <w:pStyle w:val="null3"/>
            </w:pPr>
            <w:r>
              <w:rPr>
                <w:rFonts w:ascii="仿宋_GB2312" w:hAnsi="仿宋_GB2312" w:cs="仿宋_GB2312" w:eastAsia="仿宋_GB2312"/>
              </w:rPr>
              <w:t>供应商根据本项目的需要和特点，提供符合要求的运输车辆及使用的工具、设备等 1.供应商提供的车辆完全符合采购需求，并提供齐备完好的搬运工具及设备等，并附丰富的证明资料得6分； 2.供应商提供的车辆基本符合采购需求，并提供齐备完好的搬运工具及设备等，并附部分证明资料得4分； 3.供应商提供的运输车辆及搬运工具、设备有较多欠缺的得 2 分。 4.未提供得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搬运计划</w:t>
            </w:r>
          </w:p>
        </w:tc>
        <w:tc>
          <w:tcPr>
            <w:tcW w:type="dxa" w:w="2492"/>
          </w:tcPr>
          <w:p>
            <w:pPr>
              <w:pStyle w:val="null3"/>
            </w:pPr>
            <w:r>
              <w:rPr>
                <w:rFonts w:ascii="仿宋_GB2312" w:hAnsi="仿宋_GB2312" w:cs="仿宋_GB2312" w:eastAsia="仿宋_GB2312"/>
              </w:rPr>
              <w:t>1.供应商提供的搬运计划科学合理、安全可行，进度安排得当，完全满足项目要求的得 6 分； 2.供应商提供的搬运计划有一定的可行性，基本能满足项目要求的得 4 分； 3.供应商提供的搬运计划有较多欠缺的得 2 分。 4.未提供得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1.应急方案详尽、全面、有效、合理，措施可实施性强，得6分； 2.应急方案有效、合理，措施具有一定实施性，得4分； 3.应急方案具有实施性，得2分。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服务团队岗位设置</w:t>
            </w:r>
          </w:p>
        </w:tc>
        <w:tc>
          <w:tcPr>
            <w:tcW w:type="dxa" w:w="2492"/>
          </w:tcPr>
          <w:p>
            <w:pPr>
              <w:pStyle w:val="null3"/>
            </w:pPr>
            <w:r>
              <w:rPr>
                <w:rFonts w:ascii="仿宋_GB2312" w:hAnsi="仿宋_GB2312" w:cs="仿宋_GB2312" w:eastAsia="仿宋_GB2312"/>
              </w:rPr>
              <w:t>1.组织结构健全，有完善的岗位制度和岗位职责，人员安排合理、分工明确，可操作性强，得6分； 2.供应商组织结构较为健全，有较为完善的岗位制度和岗位职责，人员安排及分工较为合理，具有一定的操作性，得4分； 3.供应商组织结构不够健全，岗位制度和岗位职责不够完善，得2分；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供应商应提供不少于30个人的服务团队，根据人员数量、专业技术能力、文物搬迁工作经验等综合打分。（所有服务团队人员需提供近3个月的社保缴纳证明及近3个月内在公安机关开具的无犯罪记录证明，否则本项为0分） 1.人员经验丰富、配备合理充足，证明材料齐全得6分； 2.人员有一定经验、人员配备无严重缺漏，提供部分证明材料得4分； 3.人员缺乏经验、配备情况无法充分完成服务工作，且证明材料不足得2分； 4.人员不满足要求或未提供证明材料得0分。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重点、难点问题的把握及解决方案</w:t>
            </w:r>
          </w:p>
        </w:tc>
        <w:tc>
          <w:tcPr>
            <w:tcW w:type="dxa" w:w="2492"/>
          </w:tcPr>
          <w:p>
            <w:pPr>
              <w:pStyle w:val="null3"/>
            </w:pPr>
            <w:r>
              <w:rPr>
                <w:rFonts w:ascii="仿宋_GB2312" w:hAnsi="仿宋_GB2312" w:cs="仿宋_GB2312" w:eastAsia="仿宋_GB2312"/>
              </w:rPr>
              <w:t>1.针对本项目关键技术、重点、难点的解决方案科学合理、完善、全面、具体、有亮点、可行性强，得7分； 2.针对本项目关键技术、重点、难点的解决方案科学合理、完善、全面、具体，得5分； 3.针对本项目关键技术、重点、难点的解决方案全面但不具体、可行性一般，得3分； 4.针对本项目关键技术、重点、难点的解决方案不够完善、无亮点、可行性较差，得1分。 5.未提供或方案偏差过大得0分。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针对本项目的服务承诺内容包括但不限于：严格按照相关技术规范、标准及甲方要求提供服务（包含但不限于搬运过程中及搬迁后的服务要求）。 1.内容完整详细丰富，得6分； 2.内容完整，符合服务要求得4分； 3.内容较简单得2分；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供应商在既往的文物操作项目中，信誉良好，服务优质。提供相关证明。 1.供应商在既往的服务项目中服务能力强，优势突出，提供的证明材料详细丰富得6分； 2.供应商在既往的服务项目中服务能力较强，提供相关证明资料得4分； 3.供应商在既往的服务项目中服务能力较弱得2分；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供应商具备有效的质量管理体系认证、环境管理体系认证、职业健康安全管理体系证书，以上证书的认证范围应包含文物包装。符合要求的每一项得2分，最高得6分。（响应文件中附加盖投标人公章的证书复印件或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信息保密方案及措施</w:t>
            </w:r>
          </w:p>
        </w:tc>
        <w:tc>
          <w:tcPr>
            <w:tcW w:type="dxa" w:w="2492"/>
          </w:tcPr>
          <w:p>
            <w:pPr>
              <w:pStyle w:val="null3"/>
            </w:pPr>
            <w:r>
              <w:rPr>
                <w:rFonts w:ascii="仿宋_GB2312" w:hAnsi="仿宋_GB2312" w:cs="仿宋_GB2312" w:eastAsia="仿宋_GB2312"/>
              </w:rPr>
              <w:t>针对本项目的服务信息保密出具整体方案及对应措施。 1.方案考虑全面，措施合理有效，执行性强得6分； 2.方案考虑基本完善，措施有效，执行性强得4分； 3.方案较为简略，但措施有效，可执行得2分；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1.验收方案详细可行，有针对性，完全满足项目要求的得 6 分； 2.验收方案完整合理，有一定的可行性，基本能满足项目要求的得4分； 3.验收方案有较多欠缺的得 2 分。 4.未提供方案得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供应商近三年(2022年1月1日至今）的文物搬迁业绩，每份有效业绩得1分，满分10分。（以合同签订日期为准，合同应能体现搬迁内容，响应文件中附加盖投标人公章的合同复印件）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1.满足磋商文件实质性要求且最后报价最低的供应商磋商报价为评审基准价，其价格分为满分10分。 2.报价得分=（评审基准价/磋商报价）×10。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联合体协议.docx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详见附件：联合体协议.docx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