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版本号：SZT2025-SN-XC-ZC-GC-053920250617002</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学校消防应急通道等维修改造项目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SZT2025-SN-XC-ZC-GC-0539</w:t>
      </w:r>
      <w:r>
        <w:br/>
      </w:r>
      <w:r>
        <w:br/>
      </w:r>
      <w:r>
        <w:br/>
      </w:r>
    </w:p>
    <w:p>
      <w:pPr>
        <w:pStyle w:val="null3"/>
        <w:jc w:val="center"/>
        <w:outlineLvl w:val="2"/>
      </w:pPr>
      <w:r>
        <w:rPr>
          <w:rFonts w:ascii="仿宋_GB2312" w:hAnsi="仿宋_GB2312" w:cs="仿宋_GB2312" w:eastAsia="仿宋_GB2312"/>
          <w:sz w:val="28"/>
          <w:b/>
        </w:rPr>
        <w:t>西安师范附属小学</w:t>
      </w:r>
    </w:p>
    <w:p>
      <w:pPr>
        <w:pStyle w:val="null3"/>
        <w:jc w:val="center"/>
        <w:outlineLvl w:val="2"/>
      </w:pPr>
      <w:r>
        <w:rPr>
          <w:rFonts w:ascii="仿宋_GB2312" w:hAnsi="仿宋_GB2312" w:cs="仿宋_GB2312" w:eastAsia="仿宋_GB2312"/>
          <w:sz w:val="28"/>
          <w:b/>
        </w:rPr>
        <w:t>陕西中技招标有限公司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2025年06月16日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陕西中技招标有限公司</w:t>
      </w:r>
      <w:r>
        <w:rPr>
          <w:rFonts w:ascii="仿宋_GB2312" w:hAnsi="仿宋_GB2312" w:cs="仿宋_GB2312" w:eastAsia="仿宋_GB2312"/>
        </w:rPr>
        <w:t>（以下简称“代理机构”）受</w:t>
      </w:r>
      <w:r>
        <w:rPr>
          <w:rFonts w:ascii="仿宋_GB2312" w:hAnsi="仿宋_GB2312" w:cs="仿宋_GB2312" w:eastAsia="仿宋_GB2312"/>
        </w:rPr>
        <w:t>西安师范附属小学</w:t>
      </w:r>
      <w:r>
        <w:rPr>
          <w:rFonts w:ascii="仿宋_GB2312" w:hAnsi="仿宋_GB2312" w:cs="仿宋_GB2312" w:eastAsia="仿宋_GB2312"/>
        </w:rPr>
        <w:t>委托，拟对</w:t>
      </w:r>
      <w:r>
        <w:rPr>
          <w:rFonts w:ascii="仿宋_GB2312" w:hAnsi="仿宋_GB2312" w:cs="仿宋_GB2312" w:eastAsia="仿宋_GB2312"/>
        </w:rPr>
        <w:t>学校消防应急通道等维修改造项目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SZT2025-SN-XC-ZC-GC-0539</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学校消防应急通道等维修改造项目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依据《碑林区住建局建设工程消防技术指导服务函》提出的十几条意见进行了专业的设计和审图，施工项目包含宿舍楼消防改造工程、教工活动中心消防改造工程、卫生间消防改造工程、综合楼消防改造工程、教学楼消防改造工程、教学楼钢构楼梯建设、主席台消防改造工程、食堂消防改造工程、食堂钢构楼梯建设、应急照明及疏散指示、消防卷盘、食堂风机、室外工程等。</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采购包1（学校消防应急通道等维修改造项目）：属于专门面向中小企业采购。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1、供应商：消防设施工程专业承包二级及以上资质及在“陕西省住房和城乡建设厅（企业库、人员库）”可查询（提供截图）。</w:t>
      </w:r>
    </w:p>
    <w:p>
      <w:pPr>
        <w:pStyle w:val="null3"/>
      </w:pPr>
      <w:r>
        <w:rPr>
          <w:rFonts w:ascii="仿宋_GB2312" w:hAnsi="仿宋_GB2312" w:cs="仿宋_GB2312" w:eastAsia="仿宋_GB2312"/>
        </w:rPr>
        <w:t>2、拟派项目经理：拟派项目负责人须具有机电工程专业二级及以上注册建造师证书及有效的安全生产考核合格证书；且无在建项目，在“陕西省住房和城乡建设厅（企业库、人员库）”可查询（提供截图）。</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西安师范附属小学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陕西省西安市碑林区书院门123号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陕西省西安师范附属小学经办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029-87288161</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陕西中技招标有限公司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 xml:space="preserve"> 西安市莲湖区高新四路 1 号高科广场 A1001 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赵静</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029-88364979-802</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采购包1：495,000.00元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不属于</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不属于</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不属于</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代理服务费收费标准：采购代理服务费的收取参见国家计委颁布的《招标代理服务收费管理暂行办法》（计价格[2002]1980号）和（发改办价格[2003]857号）工程类收费标准收取。 开户名称：陕西中技招标有限公司 开户行名称：招商银行西安分行营业部 账 号：129916812810001</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西安师范附属小学</w:t>
      </w:r>
      <w:r>
        <w:rPr>
          <w:rFonts w:ascii="仿宋_GB2312" w:hAnsi="仿宋_GB2312" w:cs="仿宋_GB2312" w:eastAsia="仿宋_GB2312"/>
        </w:rPr>
        <w:t>和</w:t>
      </w:r>
      <w:r>
        <w:rPr>
          <w:rFonts w:ascii="仿宋_GB2312" w:hAnsi="仿宋_GB2312" w:cs="仿宋_GB2312" w:eastAsia="仿宋_GB2312"/>
        </w:rPr>
        <w:t>陕西中技招标有限公司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西安师范附属小学</w:t>
      </w:r>
      <w:r>
        <w:rPr>
          <w:rFonts w:ascii="仿宋_GB2312" w:hAnsi="仿宋_GB2312" w:cs="仿宋_GB2312" w:eastAsia="仿宋_GB2312"/>
        </w:rPr>
        <w:t>负责解释。除上述磋商文件内容，其他内容由</w:t>
      </w:r>
      <w:r>
        <w:rPr>
          <w:rFonts w:ascii="仿宋_GB2312" w:hAnsi="仿宋_GB2312" w:cs="仿宋_GB2312" w:eastAsia="仿宋_GB2312"/>
        </w:rPr>
        <w:t>陕西中技招标有限公司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西安师范附属小学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陕西中技招标有限公司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在本单位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按照合同要求执行。</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陕西中技招标有限公司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陕西中技招标有限公司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陕西中技招标有限公司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联系人：戴杨</w:t>
      </w:r>
    </w:p>
    <w:p>
      <w:pPr>
        <w:pStyle w:val="null3"/>
      </w:pPr>
      <w:r>
        <w:rPr>
          <w:rFonts w:ascii="仿宋_GB2312" w:hAnsi="仿宋_GB2312" w:cs="仿宋_GB2312" w:eastAsia="仿宋_GB2312"/>
        </w:rPr>
        <w:t>联系电话：029-88364979-856</w:t>
      </w:r>
    </w:p>
    <w:p>
      <w:pPr>
        <w:pStyle w:val="null3"/>
      </w:pPr>
      <w:r>
        <w:rPr>
          <w:rFonts w:ascii="仿宋_GB2312" w:hAnsi="仿宋_GB2312" w:cs="仿宋_GB2312" w:eastAsia="仿宋_GB2312"/>
        </w:rPr>
        <w:t>地址：西安市莲湖区高新四路 1 号高科广场 A1001 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495,000.00</w:t>
      </w:r>
    </w:p>
    <w:p>
      <w:pPr>
        <w:pStyle w:val="null3"/>
      </w:pPr>
      <w:r>
        <w:rPr>
          <w:rFonts w:ascii="仿宋_GB2312" w:hAnsi="仿宋_GB2312" w:cs="仿宋_GB2312" w:eastAsia="仿宋_GB2312"/>
        </w:rPr>
        <w:t>采购包最高限价（元）: 495,000.00</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学校消防应急通道等维修改造项目</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495,000.00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标的名称：学校消防应急通道等维修改造项目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19"/>
                <w:color w:val="000000"/>
              </w:rPr>
              <w:t>工程要求：符合国家现行规范施工。</w:t>
            </w:r>
          </w:p>
          <w:p>
            <w:pPr>
              <w:pStyle w:val="null3"/>
            </w:pPr>
            <w:r>
              <w:rPr>
                <w:rFonts w:ascii="仿宋_GB2312" w:hAnsi="仿宋_GB2312" w:cs="仿宋_GB2312" w:eastAsia="仿宋_GB2312"/>
                <w:sz w:val="19"/>
                <w:color w:val="000000"/>
              </w:rPr>
              <w:t>工期：</w:t>
            </w:r>
            <w:r>
              <w:rPr>
                <w:rFonts w:ascii="仿宋_GB2312" w:hAnsi="仿宋_GB2312" w:cs="仿宋_GB2312" w:eastAsia="仿宋_GB2312"/>
                <w:sz w:val="19"/>
                <w:color w:val="000000"/>
              </w:rPr>
              <w:t>30</w:t>
            </w:r>
            <w:r>
              <w:rPr>
                <w:rFonts w:ascii="仿宋_GB2312" w:hAnsi="仿宋_GB2312" w:cs="仿宋_GB2312" w:eastAsia="仿宋_GB2312"/>
                <w:sz w:val="19"/>
                <w:color w:val="000000"/>
              </w:rPr>
              <w:t>天。</w:t>
            </w:r>
          </w:p>
          <w:p>
            <w:pPr>
              <w:pStyle w:val="null3"/>
            </w:pPr>
            <w:r>
              <w:rPr>
                <w:rFonts w:ascii="仿宋_GB2312" w:hAnsi="仿宋_GB2312" w:cs="仿宋_GB2312" w:eastAsia="仿宋_GB2312"/>
                <w:sz w:val="19"/>
                <w:color w:val="000000"/>
              </w:rPr>
              <w:t>质保要求：</w:t>
            </w:r>
            <w:r>
              <w:rPr>
                <w:rFonts w:ascii="仿宋_GB2312" w:hAnsi="仿宋_GB2312" w:cs="仿宋_GB2312" w:eastAsia="仿宋_GB2312"/>
                <w:sz w:val="19"/>
                <w:color w:val="000000"/>
              </w:rPr>
              <w:t>1</w:t>
            </w:r>
            <w:r>
              <w:rPr>
                <w:rFonts w:ascii="仿宋_GB2312" w:hAnsi="仿宋_GB2312" w:cs="仿宋_GB2312" w:eastAsia="仿宋_GB2312"/>
                <w:sz w:val="19"/>
                <w:color w:val="000000"/>
              </w:rPr>
              <w:t>年质保。</w:t>
            </w:r>
          </w:p>
          <w:p>
            <w:pPr>
              <w:pStyle w:val="null3"/>
            </w:pPr>
            <w:r>
              <w:rPr>
                <w:rFonts w:ascii="仿宋_GB2312" w:hAnsi="仿宋_GB2312" w:cs="仿宋_GB2312" w:eastAsia="仿宋_GB2312"/>
                <w:sz w:val="19"/>
                <w:color w:val="000000"/>
              </w:rPr>
              <w:t>施工过程中的验收费、审计费、配合费全部由供应商承担。</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工艺达到国家级行业现行技术规范标准，符合国家国家级行业验收合格标准。</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1）详见工程量清单编制说明（2）付款方式：合同签订后支付合同金额30%的工程款，工程全部竣工验收通过后支付合同金额55%的工程款，审计结束后支付到审计金额的97%，剩余金额为工程质保金，保修期到后一次性支付。（3）结算时依据采购人审定的工程量，以成交供应商一次磋商报价中的各项单价进行组价×（1-下浮率）据实结算，下浮率=[（一次磋商报价-最终磋商报价）/一次磋商报价]*100%。供应商磋商报价（一次报价及最终报价）中的价格均包含完成相应工作内容的人工费、材料费、机械费、企业管理费、利润、措施项目费、规费、税金和供应商必须的其它费用以及合同明示或暗示的所有风险、责任和义务等所有相关费用。</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1、安装环境、配套工作和绿色、节能、环保要求及其他需说明的情况 ①成交供应商应严格遵守采购人的有关规章制度，施工人员进入施工现场应佩戴证件并穿戴必要的防护用品，配置齐全的检测维修设备设施、专业工具器械等（所有费用成交供应商自行承担）。施工期间必须严格按照有关规定，做好施工现场管理，做到安全施工、文明施工，防火、防电、防盗、防高空坠落，保证施工人员安全和其他工作人员安全，出现的一切人身伤亡事故和安全责任事故均由成交供应商负责；对于不按规定要求施工的，采购人有权中止其施工，不听劝阻的，将做罚款处理，直至停止施工。 ②施工现场要设置醒目的符合安全规定的安全警示标志、安全标语、夜间须设警示灯，设置标准及数量需满足安全法的相关规定，并设专人负责值班，作业现场有安全操作规章制度。 ③现场维修施工条件。施工前，根据成交供应商施工进度方案，采购人委派专人协调消防重点部位所属物业管理部门，协助成交供应商维修施工。成交供应商因施工需要需断电、断水等，应提前3-5日告知采购人，及时发布停电、停水公告。 ④成交供应商应做好场区内环境保护，防止环境污染。成交供应商使用任何机械前须经采购人同意；施工中不得污染周边环境；做好各类设施维护。任何因施工造成的环境破坏和污染，成交供应商都有责任采取措施予以防止和消除。由于成交供应商过失、疏忽或未按采购人指示做好环境保护工作导致需要另外采取环境保护措施，这部分额外工作的费用应由成交供应商负担。 ⑤在施工期间或竣工后，注意保护施工现场的环境卫生，工程施工中的垃圾要及时外运，不得在现场存放。工程竣工后，将施工垃圾全部清理完毕，做到工完、料净、场地清。 ⑥工程质量保修要求：成交供应商中标后应与采购人协商工程保修相关事项，并签订工程质量保修书. 2、为顺利推进政府采购电子化交易平台试点应用工作，供应商需要在线提交所有通过电子化交易平台实施的政府采购项目的投标文件，同时，线下提交与线上投标文件一致的纸质投标文件正本 壹 份、副本 壹套。3、定标环节采购人有权对投标文件承诺响应的内容进行复核，如有虚假响应，一经发现，取消成交资格并上报财政主管部门，列入政府采购黑名单。</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响应文件封面 供应商为本项目提供的资格证明文件及其他.docx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供应商为本项目提供的资格证明文件及其他.docx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需要落实的政府采购政策.docx 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w:t>
            </w:r>
          </w:p>
        </w:tc>
        <w:tc>
          <w:tcPr>
            <w:tcW w:type="dxa" w:w="3322"/>
          </w:tcPr>
          <w:p>
            <w:pPr>
              <w:pStyle w:val="null3"/>
            </w:pPr>
            <w:r>
              <w:rPr>
                <w:rFonts w:ascii="仿宋_GB2312" w:hAnsi="仿宋_GB2312" w:cs="仿宋_GB2312" w:eastAsia="仿宋_GB2312"/>
              </w:rPr>
              <w:t>消防设施工程专业承包二级及以上资质及在“陕西省住房和城乡建设厅（企业库、人员库）”可查询（提供截图）。</w:t>
            </w:r>
          </w:p>
        </w:tc>
        <w:tc>
          <w:tcPr>
            <w:tcW w:type="dxa" w:w="1661"/>
          </w:tcPr>
          <w:p>
            <w:pPr>
              <w:pStyle w:val="null3"/>
            </w:pPr>
            <w:r>
              <w:rPr>
                <w:rFonts w:ascii="仿宋_GB2312" w:hAnsi="仿宋_GB2312" w:cs="仿宋_GB2312" w:eastAsia="仿宋_GB2312"/>
              </w:rPr>
              <w:t>供应商为本项目提供的资格证明文件及其他.docx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拟派项目经理</w:t>
            </w:r>
          </w:p>
        </w:tc>
        <w:tc>
          <w:tcPr>
            <w:tcW w:type="dxa" w:w="3322"/>
          </w:tcPr>
          <w:p>
            <w:pPr>
              <w:pStyle w:val="null3"/>
            </w:pPr>
            <w:r>
              <w:rPr>
                <w:rFonts w:ascii="仿宋_GB2312" w:hAnsi="仿宋_GB2312" w:cs="仿宋_GB2312" w:eastAsia="仿宋_GB2312"/>
              </w:rPr>
              <w:t>拟派项目负责人须具有机电工程专业二级及以上注册建造师证书及有效的安全生产考核合格证书；且无在建项目，在“陕西省住房和城乡建设厅（企业库、人员库）”可查询（提供截图）。</w:t>
            </w:r>
          </w:p>
        </w:tc>
        <w:tc>
          <w:tcPr>
            <w:tcW w:type="dxa" w:w="1661"/>
          </w:tcPr>
          <w:p>
            <w:pPr>
              <w:pStyle w:val="null3"/>
            </w:pPr>
            <w:r>
              <w:rPr>
                <w:rFonts w:ascii="仿宋_GB2312" w:hAnsi="仿宋_GB2312" w:cs="仿宋_GB2312" w:eastAsia="仿宋_GB2312"/>
              </w:rPr>
              <w:t>供应商为本项目提供的资格证明文件及其他.docx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详细评审80.00分</w:t>
            </w:r>
          </w:p>
          <w:p>
            <w:pPr>
              <w:pStyle w:val="null3"/>
            </w:pPr>
            <w:r>
              <w:rPr>
                <w:rFonts w:ascii="仿宋_GB2312" w:hAnsi="仿宋_GB2312" w:cs="仿宋_GB2312" w:eastAsia="仿宋_GB2312"/>
              </w:rPr>
              <w:t>报价得分20.00分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企业业绩</w:t>
            </w:r>
          </w:p>
        </w:tc>
        <w:tc>
          <w:tcPr>
            <w:tcW w:type="dxa" w:w="2492"/>
          </w:tcPr>
          <w:p>
            <w:pPr>
              <w:pStyle w:val="null3"/>
            </w:pPr>
            <w:r>
              <w:rPr>
                <w:rFonts w:ascii="仿宋_GB2312" w:hAnsi="仿宋_GB2312" w:cs="仿宋_GB2312" w:eastAsia="仿宋_GB2312"/>
              </w:rPr>
              <w:t>供应商提供自2022年1月至今承接的类似业绩证明材料，每提供1项得1分，满分5分。 注：业绩证明材料为加盖供应商公章的合同复印件或扫描件，时间以合同签订时间为准，缺少资料或未按照上述要求提供的，均按照0分计入。</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供应商类似项目业绩一览表.docx</w:t>
            </w:r>
          </w:p>
        </w:tc>
      </w:tr>
      <w:tr>
        <w:tc>
          <w:tcPr>
            <w:tcW w:type="dxa" w:w="831"/>
            <w:vMerge/>
          </w:tcPr>
          <w:p/>
        </w:tc>
        <w:tc>
          <w:tcPr>
            <w:tcW w:type="dxa" w:w="1661"/>
          </w:tcPr>
          <w:p>
            <w:pPr>
              <w:pStyle w:val="null3"/>
            </w:pPr>
            <w:r>
              <w:rPr>
                <w:rFonts w:ascii="仿宋_GB2312" w:hAnsi="仿宋_GB2312" w:cs="仿宋_GB2312" w:eastAsia="仿宋_GB2312"/>
              </w:rPr>
              <w:t>节能环保</w:t>
            </w:r>
          </w:p>
        </w:tc>
        <w:tc>
          <w:tcPr>
            <w:tcW w:type="dxa" w:w="2492"/>
          </w:tcPr>
          <w:p>
            <w:pPr>
              <w:pStyle w:val="null3"/>
            </w:pPr>
            <w:r>
              <w:rPr>
                <w:rFonts w:ascii="仿宋_GB2312" w:hAnsi="仿宋_GB2312" w:cs="仿宋_GB2312" w:eastAsia="仿宋_GB2312"/>
              </w:rPr>
              <w:t>供应商拟投入本项目所使用的主要材料中的产品属于政府采购优先采购范围的，则每有一项为节能产品或者环境标志产品的得0.5分，非节能、环境标志产品的不得分。本项最多得2分。 注：属于优先采购范围内的节能产品或者环境标志产品的，提供国家确定的认证机构出具的、处于有效期之内的节能产品、环境标志产品认证证书复印件加盖供应商公章。</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节能环保表.docx</w:t>
            </w:r>
          </w:p>
        </w:tc>
      </w:tr>
      <w:tr>
        <w:tc>
          <w:tcPr>
            <w:tcW w:type="dxa" w:w="831"/>
            <w:vMerge/>
          </w:tcPr>
          <w:p/>
        </w:tc>
        <w:tc>
          <w:tcPr>
            <w:tcW w:type="dxa" w:w="1661"/>
          </w:tcPr>
          <w:p>
            <w:pPr>
              <w:pStyle w:val="null3"/>
            </w:pPr>
            <w:r>
              <w:rPr>
                <w:rFonts w:ascii="仿宋_GB2312" w:hAnsi="仿宋_GB2312" w:cs="仿宋_GB2312" w:eastAsia="仿宋_GB2312"/>
              </w:rPr>
              <w:t>主要材料要求</w:t>
            </w:r>
          </w:p>
        </w:tc>
        <w:tc>
          <w:tcPr>
            <w:tcW w:type="dxa" w:w="2492"/>
          </w:tcPr>
          <w:p>
            <w:pPr>
              <w:pStyle w:val="null3"/>
            </w:pPr>
            <w:r>
              <w:rPr>
                <w:rFonts w:ascii="仿宋_GB2312" w:hAnsi="仿宋_GB2312" w:cs="仿宋_GB2312" w:eastAsia="仿宋_GB2312"/>
              </w:rPr>
              <w:t>供应商需针对本项目提供项目的主材清单（清单内容包括但不限于材料名称、品牌、规格、材质等）及主材检测报告、技术参数性能证明材料等资料，根据提供内容的完整程度进行综合评分： ①提供主材及清单内容完整齐全，技术参数性能完全满足采购人要求根据响应情况得9分； ②提供主材及清单内容基本齐全，技术参数性能基本满足采购人要求根据响应情况得5分； ③未提供得0分。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主材及型号表.docx</w:t>
            </w:r>
          </w:p>
        </w:tc>
      </w:tr>
      <w:tr>
        <w:tc>
          <w:tcPr>
            <w:tcW w:type="dxa" w:w="831"/>
            <w:vMerge/>
          </w:tcPr>
          <w:p/>
        </w:tc>
        <w:tc>
          <w:tcPr>
            <w:tcW w:type="dxa" w:w="1661"/>
          </w:tcPr>
          <w:p>
            <w:pPr>
              <w:pStyle w:val="null3"/>
            </w:pPr>
            <w:r>
              <w:rPr>
                <w:rFonts w:ascii="仿宋_GB2312" w:hAnsi="仿宋_GB2312" w:cs="仿宋_GB2312" w:eastAsia="仿宋_GB2312"/>
              </w:rPr>
              <w:t>供应商针对本项目在质量保修期内如出现质量问题的解决措施、解决问题的响应时效等进行说明。</w:t>
            </w:r>
          </w:p>
        </w:tc>
        <w:tc>
          <w:tcPr>
            <w:tcW w:type="dxa" w:w="2492"/>
          </w:tcPr>
          <w:p>
            <w:pPr>
              <w:pStyle w:val="null3"/>
            </w:pPr>
            <w:r>
              <w:rPr>
                <w:rFonts w:ascii="仿宋_GB2312" w:hAnsi="仿宋_GB2312" w:cs="仿宋_GB2312" w:eastAsia="仿宋_GB2312"/>
              </w:rPr>
              <w:t>①措施明确可行、响应时效迅速及时得7分； ②措施有缺失或可行性一般得3分； ③未提供不得分。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施工方案.docx</w:t>
            </w:r>
          </w:p>
        </w:tc>
      </w:tr>
      <w:tr>
        <w:tc>
          <w:tcPr>
            <w:tcW w:type="dxa" w:w="831"/>
            <w:vMerge/>
          </w:tcPr>
          <w:p/>
        </w:tc>
        <w:tc>
          <w:tcPr>
            <w:tcW w:type="dxa" w:w="1661"/>
          </w:tcPr>
          <w:p>
            <w:pPr>
              <w:pStyle w:val="null3"/>
            </w:pPr>
            <w:r>
              <w:rPr>
                <w:rFonts w:ascii="仿宋_GB2312" w:hAnsi="仿宋_GB2312" w:cs="仿宋_GB2312" w:eastAsia="仿宋_GB2312"/>
              </w:rPr>
              <w:t>质量保修</w:t>
            </w:r>
          </w:p>
        </w:tc>
        <w:tc>
          <w:tcPr>
            <w:tcW w:type="dxa" w:w="2492"/>
          </w:tcPr>
          <w:p>
            <w:pPr>
              <w:pStyle w:val="null3"/>
            </w:pPr>
            <w:r>
              <w:rPr>
                <w:rFonts w:ascii="仿宋_GB2312" w:hAnsi="仿宋_GB2312" w:cs="仿宋_GB2312" w:eastAsia="仿宋_GB2312"/>
              </w:rPr>
              <w:t>供应商承诺在项目验收通过后，保修期在采购文件要求基础上，质保期每增加一年加 1分，最多3分。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施工方案.docx</w:t>
            </w:r>
          </w:p>
        </w:tc>
      </w:tr>
      <w:tr>
        <w:tc>
          <w:tcPr>
            <w:tcW w:type="dxa" w:w="831"/>
            <w:vMerge/>
          </w:tcPr>
          <w:p/>
        </w:tc>
        <w:tc>
          <w:tcPr>
            <w:tcW w:type="dxa" w:w="1661"/>
          </w:tcPr>
          <w:p>
            <w:pPr>
              <w:pStyle w:val="null3"/>
            </w:pPr>
            <w:r>
              <w:rPr>
                <w:rFonts w:ascii="仿宋_GB2312" w:hAnsi="仿宋_GB2312" w:cs="仿宋_GB2312" w:eastAsia="仿宋_GB2312"/>
              </w:rPr>
              <w:t>工期要求</w:t>
            </w:r>
          </w:p>
        </w:tc>
        <w:tc>
          <w:tcPr>
            <w:tcW w:type="dxa" w:w="2492"/>
          </w:tcPr>
          <w:p>
            <w:pPr>
              <w:pStyle w:val="null3"/>
            </w:pPr>
            <w:r>
              <w:rPr>
                <w:rFonts w:ascii="仿宋_GB2312" w:hAnsi="仿宋_GB2312" w:cs="仿宋_GB2312" w:eastAsia="仿宋_GB2312"/>
              </w:rPr>
              <w:t>工期在采购文件要求基础上，每缩短一天加 1分，最多4分。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标的清单</w:t>
            </w:r>
          </w:p>
        </w:tc>
      </w:tr>
      <w:tr>
        <w:tc>
          <w:tcPr>
            <w:tcW w:type="dxa" w:w="831"/>
            <w:vMerge/>
          </w:tcPr>
          <w:p/>
        </w:tc>
        <w:tc>
          <w:tcPr>
            <w:tcW w:type="dxa" w:w="1661"/>
          </w:tcPr>
          <w:p>
            <w:pPr>
              <w:pStyle w:val="null3"/>
            </w:pPr>
            <w:r>
              <w:rPr>
                <w:rFonts w:ascii="仿宋_GB2312" w:hAnsi="仿宋_GB2312" w:cs="仿宋_GB2312" w:eastAsia="仿宋_GB2312"/>
              </w:rPr>
              <w:t>工期在采购文件要求基础上，每增加一天加 1分，最多4分。</w:t>
            </w:r>
          </w:p>
        </w:tc>
        <w:tc>
          <w:tcPr>
            <w:tcW w:type="dxa" w:w="2492"/>
          </w:tcPr>
          <w:p>
            <w:pPr>
              <w:pStyle w:val="null3"/>
            </w:pPr>
            <w:r>
              <w:rPr>
                <w:rFonts w:ascii="仿宋_GB2312" w:hAnsi="仿宋_GB2312" w:cs="仿宋_GB2312" w:eastAsia="仿宋_GB2312"/>
              </w:rPr>
              <w:t>①未提供方案得 0 分； ②方案不完整或部分合理的得2 分； ③针对本工程现场实际情况的方案完整、合理得5分；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施工方案.docx</w:t>
            </w:r>
          </w:p>
        </w:tc>
      </w:tr>
      <w:tr>
        <w:tc>
          <w:tcPr>
            <w:tcW w:type="dxa" w:w="831"/>
            <w:vMerge/>
          </w:tcPr>
          <w:p/>
        </w:tc>
        <w:tc>
          <w:tcPr>
            <w:tcW w:type="dxa" w:w="1661"/>
          </w:tcPr>
          <w:p>
            <w:pPr>
              <w:pStyle w:val="null3"/>
            </w:pPr>
            <w:r>
              <w:rPr>
                <w:rFonts w:ascii="仿宋_GB2312" w:hAnsi="仿宋_GB2312" w:cs="仿宋_GB2312" w:eastAsia="仿宋_GB2312"/>
              </w:rPr>
              <w:t>确保工程质量的技术组织措施</w:t>
            </w:r>
          </w:p>
        </w:tc>
        <w:tc>
          <w:tcPr>
            <w:tcW w:type="dxa" w:w="2492"/>
          </w:tcPr>
          <w:p>
            <w:pPr>
              <w:pStyle w:val="null3"/>
            </w:pPr>
            <w:r>
              <w:rPr>
                <w:rFonts w:ascii="仿宋_GB2312" w:hAnsi="仿宋_GB2312" w:cs="仿宋_GB2312" w:eastAsia="仿宋_GB2312"/>
              </w:rPr>
              <w:t>①未提供方案得 0 分； ②方案不完整或部分合理的得 2 分； ③针对本工程现场实际情况的方案完整、合理得5分；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施工方案.docx</w:t>
            </w:r>
          </w:p>
        </w:tc>
      </w:tr>
      <w:tr>
        <w:tc>
          <w:tcPr>
            <w:tcW w:type="dxa" w:w="831"/>
            <w:vMerge/>
          </w:tcPr>
          <w:p/>
        </w:tc>
        <w:tc>
          <w:tcPr>
            <w:tcW w:type="dxa" w:w="1661"/>
          </w:tcPr>
          <w:p>
            <w:pPr>
              <w:pStyle w:val="null3"/>
            </w:pPr>
            <w:r>
              <w:rPr>
                <w:rFonts w:ascii="仿宋_GB2312" w:hAnsi="仿宋_GB2312" w:cs="仿宋_GB2312" w:eastAsia="仿宋_GB2312"/>
              </w:rPr>
              <w:t>确保安全生产的技术组织措施（包括人员安全防控技术组织措施，包括但不限于以下内容：外来人员排查管理、现场安全作业封闭管理、应急措施等方面）</w:t>
            </w:r>
          </w:p>
        </w:tc>
        <w:tc>
          <w:tcPr>
            <w:tcW w:type="dxa" w:w="2492"/>
          </w:tcPr>
          <w:p>
            <w:pPr>
              <w:pStyle w:val="null3"/>
            </w:pPr>
            <w:r>
              <w:rPr>
                <w:rFonts w:ascii="仿宋_GB2312" w:hAnsi="仿宋_GB2312" w:cs="仿宋_GB2312" w:eastAsia="仿宋_GB2312"/>
              </w:rPr>
              <w:t>①未提供方案得 0 分； ②方案不完整或部分合理的得 1分； ③针对本工程现场实际情况的方案完整、合理得4分；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施工方案.docx</w:t>
            </w:r>
          </w:p>
        </w:tc>
      </w:tr>
      <w:tr>
        <w:tc>
          <w:tcPr>
            <w:tcW w:type="dxa" w:w="831"/>
            <w:vMerge/>
          </w:tcPr>
          <w:p/>
        </w:tc>
        <w:tc>
          <w:tcPr>
            <w:tcW w:type="dxa" w:w="1661"/>
          </w:tcPr>
          <w:p>
            <w:pPr>
              <w:pStyle w:val="null3"/>
            </w:pPr>
            <w:r>
              <w:rPr>
                <w:rFonts w:ascii="仿宋_GB2312" w:hAnsi="仿宋_GB2312" w:cs="仿宋_GB2312" w:eastAsia="仿宋_GB2312"/>
              </w:rPr>
              <w:t>确保文明 施工的技术组织措施及环境保护措施</w:t>
            </w:r>
          </w:p>
        </w:tc>
        <w:tc>
          <w:tcPr>
            <w:tcW w:type="dxa" w:w="2492"/>
          </w:tcPr>
          <w:p>
            <w:pPr>
              <w:pStyle w:val="null3"/>
            </w:pPr>
            <w:r>
              <w:rPr>
                <w:rFonts w:ascii="仿宋_GB2312" w:hAnsi="仿宋_GB2312" w:cs="仿宋_GB2312" w:eastAsia="仿宋_GB2312"/>
              </w:rPr>
              <w:t>①未提供方案得 0 分； ②方案不完整或部分合理的得 1 分； ③针对本工程现场实际情况的方案完整、合理得4分；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施工方案.docx</w:t>
            </w:r>
          </w:p>
        </w:tc>
      </w:tr>
      <w:tr>
        <w:tc>
          <w:tcPr>
            <w:tcW w:type="dxa" w:w="831"/>
            <w:vMerge/>
          </w:tcPr>
          <w:p/>
        </w:tc>
        <w:tc>
          <w:tcPr>
            <w:tcW w:type="dxa" w:w="1661"/>
          </w:tcPr>
          <w:p>
            <w:pPr>
              <w:pStyle w:val="null3"/>
            </w:pPr>
            <w:r>
              <w:rPr>
                <w:rFonts w:ascii="仿宋_GB2312" w:hAnsi="仿宋_GB2312" w:cs="仿宋_GB2312" w:eastAsia="仿宋_GB2312"/>
              </w:rPr>
              <w:t>确保工期的技术组织措施</w:t>
            </w:r>
          </w:p>
        </w:tc>
        <w:tc>
          <w:tcPr>
            <w:tcW w:type="dxa" w:w="2492"/>
          </w:tcPr>
          <w:p>
            <w:pPr>
              <w:pStyle w:val="null3"/>
            </w:pPr>
            <w:r>
              <w:rPr>
                <w:rFonts w:ascii="仿宋_GB2312" w:hAnsi="仿宋_GB2312" w:cs="仿宋_GB2312" w:eastAsia="仿宋_GB2312"/>
              </w:rPr>
              <w:t>①未提供方案得 0 分； ②方案不完整或部分合理的得 1 分； ③针对本工程现场实际情况的方案完整、合理得4分；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施工方案.docx</w:t>
            </w:r>
          </w:p>
        </w:tc>
      </w:tr>
      <w:tr>
        <w:tc>
          <w:tcPr>
            <w:tcW w:type="dxa" w:w="831"/>
            <w:vMerge/>
          </w:tcPr>
          <w:p/>
        </w:tc>
        <w:tc>
          <w:tcPr>
            <w:tcW w:type="dxa" w:w="1661"/>
          </w:tcPr>
          <w:p>
            <w:pPr>
              <w:pStyle w:val="null3"/>
            </w:pPr>
            <w:r>
              <w:rPr>
                <w:rFonts w:ascii="仿宋_GB2312" w:hAnsi="仿宋_GB2312" w:cs="仿宋_GB2312" w:eastAsia="仿宋_GB2312"/>
              </w:rPr>
              <w:t>施工机械配备和材料投入计划</w:t>
            </w:r>
          </w:p>
        </w:tc>
        <w:tc>
          <w:tcPr>
            <w:tcW w:type="dxa" w:w="2492"/>
          </w:tcPr>
          <w:p>
            <w:pPr>
              <w:pStyle w:val="null3"/>
            </w:pPr>
            <w:r>
              <w:rPr>
                <w:rFonts w:ascii="仿宋_GB2312" w:hAnsi="仿宋_GB2312" w:cs="仿宋_GB2312" w:eastAsia="仿宋_GB2312"/>
              </w:rPr>
              <w:t>①未提供方案得 0 分； ②方案不完整或部分合理的得 1 分； ③针对本工程现场实际情况的方案完整、合理得4分；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拟投入设备、工具一览表.docx</w:t>
            </w:r>
          </w:p>
        </w:tc>
      </w:tr>
      <w:tr>
        <w:tc>
          <w:tcPr>
            <w:tcW w:type="dxa" w:w="831"/>
            <w:vMerge/>
          </w:tcPr>
          <w:p/>
        </w:tc>
        <w:tc>
          <w:tcPr>
            <w:tcW w:type="dxa" w:w="1661"/>
          </w:tcPr>
          <w:p>
            <w:pPr>
              <w:pStyle w:val="null3"/>
            </w:pPr>
            <w:r>
              <w:rPr>
                <w:rFonts w:ascii="仿宋_GB2312" w:hAnsi="仿宋_GB2312" w:cs="仿宋_GB2312" w:eastAsia="仿宋_GB2312"/>
              </w:rPr>
              <w:t>施工进度表或施工网络图</w:t>
            </w:r>
          </w:p>
        </w:tc>
        <w:tc>
          <w:tcPr>
            <w:tcW w:type="dxa" w:w="2492"/>
          </w:tcPr>
          <w:p>
            <w:pPr>
              <w:pStyle w:val="null3"/>
            </w:pPr>
            <w:r>
              <w:rPr>
                <w:rFonts w:ascii="仿宋_GB2312" w:hAnsi="仿宋_GB2312" w:cs="仿宋_GB2312" w:eastAsia="仿宋_GB2312"/>
              </w:rPr>
              <w:t>①未提供方案得 0 分； ②方案不完整或部分合理的得 1 分； ③针对本工程现场实际情况的方案完整、合理得4分；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施工方案.docx</w:t>
            </w:r>
          </w:p>
        </w:tc>
      </w:tr>
      <w:tr>
        <w:tc>
          <w:tcPr>
            <w:tcW w:type="dxa" w:w="831"/>
            <w:vMerge/>
          </w:tcPr>
          <w:p/>
        </w:tc>
        <w:tc>
          <w:tcPr>
            <w:tcW w:type="dxa" w:w="1661"/>
          </w:tcPr>
          <w:p>
            <w:pPr>
              <w:pStyle w:val="null3"/>
            </w:pPr>
            <w:r>
              <w:rPr>
                <w:rFonts w:ascii="仿宋_GB2312" w:hAnsi="仿宋_GB2312" w:cs="仿宋_GB2312" w:eastAsia="仿宋_GB2312"/>
              </w:rPr>
              <w:t>针对学校特点，为减少对学校师生生活影响的施工举措</w:t>
            </w:r>
          </w:p>
        </w:tc>
        <w:tc>
          <w:tcPr>
            <w:tcW w:type="dxa" w:w="2492"/>
          </w:tcPr>
          <w:p>
            <w:pPr>
              <w:pStyle w:val="null3"/>
            </w:pPr>
            <w:r>
              <w:rPr>
                <w:rFonts w:ascii="仿宋_GB2312" w:hAnsi="仿宋_GB2312" w:cs="仿宋_GB2312" w:eastAsia="仿宋_GB2312"/>
              </w:rPr>
              <w:t>①未提供方案得0分； ②方案不完整或部分合理的得1分； ③针对本工程现场实际情况的方案完整、合理得4分；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施工方案.docx</w:t>
            </w:r>
          </w:p>
        </w:tc>
      </w:tr>
      <w:tr>
        <w:tc>
          <w:tcPr>
            <w:tcW w:type="dxa" w:w="831"/>
            <w:vMerge/>
          </w:tcPr>
          <w:p/>
        </w:tc>
        <w:tc>
          <w:tcPr>
            <w:tcW w:type="dxa" w:w="1661"/>
          </w:tcPr>
          <w:p>
            <w:pPr>
              <w:pStyle w:val="null3"/>
            </w:pPr>
            <w:r>
              <w:rPr>
                <w:rFonts w:ascii="仿宋_GB2312" w:hAnsi="仿宋_GB2312" w:cs="仿宋_GB2312" w:eastAsia="仿宋_GB2312"/>
              </w:rPr>
              <w:t>项目进展情况汇报、沟通措施</w:t>
            </w:r>
          </w:p>
        </w:tc>
        <w:tc>
          <w:tcPr>
            <w:tcW w:type="dxa" w:w="2492"/>
          </w:tcPr>
          <w:p>
            <w:pPr>
              <w:pStyle w:val="null3"/>
            </w:pPr>
            <w:r>
              <w:rPr>
                <w:rFonts w:ascii="仿宋_GB2312" w:hAnsi="仿宋_GB2312" w:cs="仿宋_GB2312" w:eastAsia="仿宋_GB2312"/>
              </w:rPr>
              <w:t>①未提供方案得 0 分； ②方案不完整或部分合理的得 1 分； ③针对本工程现场实际情况的方案完整、合理得4分；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施工方案.docx</w:t>
            </w:r>
          </w:p>
        </w:tc>
      </w:tr>
      <w:tr>
        <w:tc>
          <w:tcPr>
            <w:tcW w:type="dxa" w:w="831"/>
            <w:vMerge/>
          </w:tcPr>
          <w:p/>
        </w:tc>
        <w:tc>
          <w:tcPr>
            <w:tcW w:type="dxa" w:w="1661"/>
          </w:tcPr>
          <w:p>
            <w:pPr>
              <w:pStyle w:val="null3"/>
            </w:pPr>
            <w:r>
              <w:rPr>
                <w:rFonts w:ascii="仿宋_GB2312" w:hAnsi="仿宋_GB2312" w:cs="仿宋_GB2312" w:eastAsia="仿宋_GB2312"/>
              </w:rPr>
              <w:t>突发、应急事项处理举措</w:t>
            </w:r>
          </w:p>
        </w:tc>
        <w:tc>
          <w:tcPr>
            <w:tcW w:type="dxa" w:w="2492"/>
          </w:tcPr>
          <w:p>
            <w:pPr>
              <w:pStyle w:val="null3"/>
            </w:pPr>
            <w:r>
              <w:rPr>
                <w:rFonts w:ascii="仿宋_GB2312" w:hAnsi="仿宋_GB2312" w:cs="仿宋_GB2312" w:eastAsia="仿宋_GB2312"/>
              </w:rPr>
              <w:t>①未提供方案得 0 分； ②方案不完整或部分合理的得 1 分； ③针对本工程现场实际情况的方案完整、合理得4分；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施工方案.docx</w:t>
            </w:r>
          </w:p>
        </w:tc>
      </w:tr>
      <w:tr>
        <w:tc>
          <w:tcPr>
            <w:tcW w:type="dxa" w:w="831"/>
            <w:vMerge/>
          </w:tcPr>
          <w:p/>
        </w:tc>
        <w:tc>
          <w:tcPr>
            <w:tcW w:type="dxa" w:w="1661"/>
          </w:tcPr>
          <w:p>
            <w:pPr>
              <w:pStyle w:val="null3"/>
            </w:pPr>
            <w:r>
              <w:rPr>
                <w:rFonts w:ascii="仿宋_GB2312" w:hAnsi="仿宋_GB2312" w:cs="仿宋_GB2312" w:eastAsia="仿宋_GB2312"/>
              </w:rPr>
              <w:t>及时有效响应甲方、监理方管理及监督的举措</w:t>
            </w:r>
          </w:p>
        </w:tc>
        <w:tc>
          <w:tcPr>
            <w:tcW w:type="dxa" w:w="2492"/>
          </w:tcPr>
          <w:p>
            <w:pPr>
              <w:pStyle w:val="null3"/>
            </w:pPr>
            <w:r>
              <w:rPr>
                <w:rFonts w:ascii="仿宋_GB2312" w:hAnsi="仿宋_GB2312" w:cs="仿宋_GB2312" w:eastAsia="仿宋_GB2312"/>
              </w:rPr>
              <w:t>①未提供方案得 0 分； ②方案不完整或部分合理的得 1 分； ③针对本工程现场实际情况的方案完整、合理得4分；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施工方案.docx</w:t>
            </w:r>
          </w:p>
        </w:tc>
      </w:tr>
      <w:tr>
        <w:tc>
          <w:tcPr>
            <w:tcW w:type="dxa" w:w="831"/>
            <w:vMerge/>
          </w:tcPr>
          <w:p/>
        </w:tc>
        <w:tc>
          <w:tcPr>
            <w:tcW w:type="dxa" w:w="1661"/>
          </w:tcPr>
          <w:p>
            <w:pPr>
              <w:pStyle w:val="null3"/>
            </w:pPr>
            <w:r>
              <w:rPr>
                <w:rFonts w:ascii="仿宋_GB2312" w:hAnsi="仿宋_GB2312" w:cs="仿宋_GB2312" w:eastAsia="仿宋_GB2312"/>
              </w:rPr>
              <w:t>项目经理部人员组成</w:t>
            </w:r>
          </w:p>
        </w:tc>
        <w:tc>
          <w:tcPr>
            <w:tcW w:type="dxa" w:w="2492"/>
          </w:tcPr>
          <w:p>
            <w:pPr>
              <w:pStyle w:val="null3"/>
            </w:pPr>
            <w:r>
              <w:rPr>
                <w:rFonts w:ascii="仿宋_GB2312" w:hAnsi="仿宋_GB2312" w:cs="仿宋_GB2312" w:eastAsia="仿宋_GB2312"/>
              </w:rPr>
              <w:t>①未提供方案得 0 分； ②方案不完整或部分合理的得 1 分； ③方案完整、合理得4分；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参与本项目主要人员配备表.docx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满足磋商文件要求且最后磋商价格最低的磋商报价为磋商基准价，其价格分为满分。其他供应商的价格分统一按照下列公式计算：磋商报价得分=（磋商基准价/磋商报价）×20。</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详见附件：参与本项目主要人员配备表.docx</w:t>
      </w:r>
    </w:p>
    <w:p>
      <w:pPr>
        <w:pStyle w:val="null3"/>
        <w:ind w:firstLine="960"/>
      </w:pPr>
      <w:r>
        <w:rPr>
          <w:rFonts w:ascii="仿宋_GB2312" w:hAnsi="仿宋_GB2312" w:cs="仿宋_GB2312" w:eastAsia="仿宋_GB2312"/>
        </w:rPr>
        <w:t>详见附件：供应商类似项目业绩一览表.docx</w:t>
      </w:r>
    </w:p>
    <w:p>
      <w:pPr>
        <w:pStyle w:val="null3"/>
        <w:ind w:firstLine="960"/>
      </w:pPr>
      <w:r>
        <w:rPr>
          <w:rFonts w:ascii="仿宋_GB2312" w:hAnsi="仿宋_GB2312" w:cs="仿宋_GB2312" w:eastAsia="仿宋_GB2312"/>
        </w:rPr>
        <w:t>详见附件：供应商为本项目提供的资格证明文件及其他.docx</w:t>
      </w:r>
    </w:p>
    <w:p>
      <w:pPr>
        <w:pStyle w:val="null3"/>
        <w:ind w:firstLine="960"/>
      </w:pPr>
      <w:r>
        <w:rPr>
          <w:rFonts w:ascii="仿宋_GB2312" w:hAnsi="仿宋_GB2312" w:cs="仿宋_GB2312" w:eastAsia="仿宋_GB2312"/>
        </w:rPr>
        <w:t>详见附件：节能环保表.docx</w:t>
      </w:r>
    </w:p>
    <w:p>
      <w:pPr>
        <w:pStyle w:val="null3"/>
        <w:ind w:firstLine="960"/>
      </w:pPr>
      <w:r>
        <w:rPr>
          <w:rFonts w:ascii="仿宋_GB2312" w:hAnsi="仿宋_GB2312" w:cs="仿宋_GB2312" w:eastAsia="仿宋_GB2312"/>
        </w:rPr>
        <w:t>详见附件：拟投入设备、工具一览表.docx</w:t>
      </w:r>
    </w:p>
    <w:p>
      <w:pPr>
        <w:pStyle w:val="null3"/>
        <w:ind w:firstLine="960"/>
      </w:pPr>
      <w:r>
        <w:rPr>
          <w:rFonts w:ascii="仿宋_GB2312" w:hAnsi="仿宋_GB2312" w:cs="仿宋_GB2312" w:eastAsia="仿宋_GB2312"/>
        </w:rPr>
        <w:t>详见附件：施工方案.docx</w:t>
      </w:r>
    </w:p>
    <w:p>
      <w:pPr>
        <w:pStyle w:val="null3"/>
        <w:ind w:firstLine="960"/>
      </w:pPr>
      <w:r>
        <w:rPr>
          <w:rFonts w:ascii="仿宋_GB2312" w:hAnsi="仿宋_GB2312" w:cs="仿宋_GB2312" w:eastAsia="仿宋_GB2312"/>
        </w:rPr>
        <w:t>详见附件：需要落实的政府采购政策.docx</w:t>
      </w:r>
    </w:p>
    <w:p>
      <w:pPr>
        <w:pStyle w:val="null3"/>
        <w:ind w:firstLine="960"/>
      </w:pPr>
      <w:r>
        <w:rPr>
          <w:rFonts w:ascii="仿宋_GB2312" w:hAnsi="仿宋_GB2312" w:cs="仿宋_GB2312" w:eastAsia="仿宋_GB2312"/>
        </w:rPr>
        <w:t>详见附件：主材及型号表.docx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