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370D2">
      <w:pPr>
        <w:pStyle w:val="5"/>
        <w:jc w:val="left"/>
        <w:outlineLvl w:val="1"/>
      </w:pPr>
      <w:r>
        <w:rPr>
          <w:rFonts w:ascii="仿宋_GB2312" w:hAnsi="仿宋_GB2312" w:eastAsia="仿宋_GB2312" w:cs="仿宋_GB2312"/>
          <w:b/>
          <w:color w:val="000000"/>
          <w:sz w:val="22"/>
        </w:rPr>
        <w:t>一．技术要求</w:t>
      </w:r>
    </w:p>
    <w:p w14:paraId="1B0E3303">
      <w:pPr>
        <w:pStyle w:val="5"/>
        <w:jc w:val="left"/>
        <w:outlineLvl w:val="1"/>
      </w:pPr>
      <w:r>
        <w:rPr>
          <w:rFonts w:ascii="仿宋_GB2312" w:hAnsi="仿宋_GB2312" w:eastAsia="仿宋_GB2312" w:cs="仿宋_GB2312"/>
          <w:b/>
          <w:color w:val="000000"/>
          <w:sz w:val="22"/>
        </w:rPr>
        <w:t>1、技术要求：</w:t>
      </w:r>
    </w:p>
    <w:p w14:paraId="4FC943A2">
      <w:pPr>
        <w:pStyle w:val="5"/>
        <w:jc w:val="left"/>
        <w:outlineLvl w:val="1"/>
      </w:pPr>
      <w:r>
        <w:rPr>
          <w:rFonts w:ascii="仿宋_GB2312" w:hAnsi="仿宋_GB2312" w:eastAsia="仿宋_GB2312" w:cs="仿宋_GB2312"/>
          <w:b/>
          <w:color w:val="000000"/>
          <w:sz w:val="21"/>
        </w:rPr>
        <w:t>（一）一号坑升级改造</w:t>
      </w:r>
    </w:p>
    <w:p w14:paraId="4B24E4CC">
      <w:pPr>
        <w:pStyle w:val="5"/>
        <w:numPr>
          <w:ilvl w:val="0"/>
          <w:numId w:val="1"/>
        </w:numPr>
      </w:pPr>
      <w:r>
        <w:rPr>
          <w:rFonts w:ascii="仿宋_GB2312" w:hAnsi="仿宋_GB2312" w:eastAsia="仿宋_GB2312" w:cs="仿宋_GB2312"/>
          <w:color w:val="000000"/>
          <w:sz w:val="21"/>
        </w:rPr>
        <w:t>一号坑监测设备点位调研与调整</w:t>
      </w:r>
    </w:p>
    <w:p w14:paraId="596BB82E">
      <w:pPr>
        <w:pStyle w:val="5"/>
        <w:ind w:firstLine="420"/>
      </w:pPr>
      <w:r>
        <w:rPr>
          <w:rFonts w:ascii="仿宋_GB2312" w:hAnsi="仿宋_GB2312" w:eastAsia="仿宋_GB2312" w:cs="仿宋_GB2312"/>
          <w:color w:val="0C0C0C"/>
          <w:sz w:val="21"/>
          <w:shd w:val="clear" w:fill="FFFFFF"/>
        </w:rPr>
        <w:t>确定一号坑监测设备点位的当前布局和存在的问题，评估监测设备点位的合理性和有效性，提出调整和优化建议，以提高监测精度和效率。</w:t>
      </w:r>
    </w:p>
    <w:p w14:paraId="7C8A487C">
      <w:pPr>
        <w:pStyle w:val="5"/>
        <w:ind w:firstLine="420"/>
      </w:pPr>
      <w:r>
        <w:rPr>
          <w:rFonts w:ascii="仿宋_GB2312" w:hAnsi="仿宋_GB2312" w:eastAsia="仿宋_GB2312" w:cs="仿宋_GB2312"/>
          <w:color w:val="0C0C0C"/>
          <w:sz w:val="21"/>
          <w:shd w:val="clear" w:fill="FFFFFF"/>
        </w:rPr>
        <w:t>与施工人员、监测人员和技术人员交流，了解对监测设备点位的看法和建议，收集他们对监测工作的反馈和意见。</w:t>
      </w:r>
    </w:p>
    <w:p w14:paraId="21490B26">
      <w:pPr>
        <w:pStyle w:val="5"/>
        <w:ind w:firstLine="420"/>
      </w:pPr>
      <w:r>
        <w:rPr>
          <w:rFonts w:ascii="仿宋_GB2312" w:hAnsi="仿宋_GB2312" w:eastAsia="仿宋_GB2312" w:cs="仿宋_GB2312"/>
          <w:color w:val="0C0C0C"/>
          <w:sz w:val="21"/>
          <w:shd w:val="clear" w:fill="FFFFFF"/>
        </w:rPr>
        <w:t>根据评估结果，提出调整和优化监测设备点位的建议，建议在关键部位、变形较大区域和潜在风险点增加监测点位，考虑采用更先进的监测技术和设备，提高监测精度和效率。</w:t>
      </w:r>
    </w:p>
    <w:p w14:paraId="147B4151">
      <w:pPr>
        <w:pStyle w:val="5"/>
        <w:ind w:firstLine="420"/>
      </w:pPr>
      <w:r>
        <w:rPr>
          <w:rFonts w:ascii="仿宋_GB2312" w:hAnsi="仿宋_GB2312" w:eastAsia="仿宋_GB2312" w:cs="仿宋_GB2312"/>
          <w:color w:val="0C0C0C"/>
          <w:sz w:val="21"/>
          <w:shd w:val="clear" w:fill="FFFFFF"/>
        </w:rPr>
        <w:t>制定详细的实施方案，包括调整点位的具体位置、数量、类型和监测参数等，明确实施步骤、时间节点和责任分工。</w:t>
      </w:r>
    </w:p>
    <w:p w14:paraId="6AC967D1">
      <w:pPr>
        <w:pStyle w:val="5"/>
        <w:ind w:firstLine="420"/>
      </w:pPr>
      <w:r>
        <w:rPr>
          <w:rFonts w:ascii="仿宋_GB2312" w:hAnsi="仿宋_GB2312" w:eastAsia="仿宋_GB2312" w:cs="仿宋_GB2312"/>
          <w:color w:val="0C0C0C"/>
          <w:sz w:val="21"/>
          <w:shd w:val="clear" w:fill="FFFFFF"/>
        </w:rPr>
        <w:t>按照实施方案，调整一号坑监测设备点位，确保新点位布局合理、有效，并满足监测需求。根据新点位布局，更新监测参数和频率，确保监测数据准确、可靠，并及时反馈施工情况。</w:t>
      </w:r>
    </w:p>
    <w:tbl>
      <w:tblPr>
        <w:tblStyle w:val="3"/>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2730"/>
        <w:gridCol w:w="420"/>
        <w:gridCol w:w="420"/>
      </w:tblGrid>
      <w:tr w14:paraId="10BA83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D208FE">
            <w:pPr>
              <w:pStyle w:val="5"/>
              <w:jc w:val="both"/>
            </w:pPr>
            <w:r>
              <w:rPr>
                <w:rFonts w:ascii="仿宋_GB2312" w:hAnsi="仿宋_GB2312" w:eastAsia="仿宋_GB2312" w:cs="仿宋_GB2312"/>
                <w:color w:val="0C0C0C"/>
                <w:sz w:val="21"/>
                <w:shd w:val="clear" w:fill="FFFFFF"/>
              </w:rPr>
              <w:t>序号</w:t>
            </w:r>
          </w:p>
        </w:tc>
        <w:tc>
          <w:tcPr>
            <w:tcW w:w="18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2C255B">
            <w:pPr>
              <w:pStyle w:val="5"/>
              <w:jc w:val="both"/>
            </w:pPr>
            <w:r>
              <w:rPr>
                <w:rFonts w:ascii="仿宋_GB2312" w:hAnsi="仿宋_GB2312" w:eastAsia="仿宋_GB2312" w:cs="仿宋_GB2312"/>
                <w:color w:val="0C0C0C"/>
                <w:sz w:val="21"/>
                <w:shd w:val="clear" w:fill="FFFFFF"/>
              </w:rPr>
              <w:t>参数</w:t>
            </w:r>
          </w:p>
        </w:tc>
        <w:tc>
          <w:tcPr>
            <w:tcW w:w="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F3F04F">
            <w:pPr>
              <w:pStyle w:val="5"/>
              <w:jc w:val="both"/>
            </w:pPr>
            <w:r>
              <w:rPr>
                <w:rFonts w:ascii="仿宋_GB2312" w:hAnsi="仿宋_GB2312" w:eastAsia="仿宋_GB2312" w:cs="仿宋_GB2312"/>
                <w:color w:val="0C0C0C"/>
                <w:sz w:val="21"/>
                <w:shd w:val="clear" w:fill="FFFFFF"/>
              </w:rPr>
              <w:t>单位</w:t>
            </w:r>
          </w:p>
        </w:tc>
        <w:tc>
          <w:tcPr>
            <w:tcW w:w="2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44E479">
            <w:pPr>
              <w:pStyle w:val="5"/>
              <w:jc w:val="both"/>
            </w:pPr>
            <w:r>
              <w:rPr>
                <w:rFonts w:ascii="仿宋_GB2312" w:hAnsi="仿宋_GB2312" w:eastAsia="仿宋_GB2312" w:cs="仿宋_GB2312"/>
                <w:color w:val="0C0C0C"/>
                <w:sz w:val="21"/>
                <w:shd w:val="clear" w:fill="FFFFFF"/>
              </w:rPr>
              <w:t>数量</w:t>
            </w:r>
          </w:p>
        </w:tc>
      </w:tr>
      <w:tr w14:paraId="414541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81371">
            <w:pPr>
              <w:pStyle w:val="5"/>
              <w:jc w:val="both"/>
            </w:pPr>
            <w:r>
              <w:rPr>
                <w:rFonts w:ascii="仿宋_GB2312" w:hAnsi="仿宋_GB2312" w:eastAsia="仿宋_GB2312" w:cs="仿宋_GB2312"/>
                <w:color w:val="0C0C0C"/>
                <w:sz w:val="21"/>
                <w:shd w:val="clear" w:fill="FFFFFF"/>
              </w:rPr>
              <w:t>1</w:t>
            </w: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E48CF">
            <w:pPr>
              <w:pStyle w:val="5"/>
              <w:jc w:val="both"/>
            </w:pPr>
            <w:r>
              <w:rPr>
                <w:rFonts w:ascii="仿宋_GB2312" w:hAnsi="仿宋_GB2312" w:eastAsia="仿宋_GB2312" w:cs="仿宋_GB2312"/>
                <w:color w:val="0C0C0C"/>
                <w:sz w:val="21"/>
                <w:shd w:val="clear" w:fill="FFFFFF"/>
              </w:rPr>
              <w:t>I人脸客流统计半球型网络摄像机</w:t>
            </w:r>
          </w:p>
          <w:p w14:paraId="2E13B7A5">
            <w:pPr>
              <w:pStyle w:val="5"/>
              <w:jc w:val="both"/>
            </w:pPr>
            <w:r>
              <w:rPr>
                <w:rFonts w:ascii="仿宋_GB2312" w:hAnsi="仿宋_GB2312" w:eastAsia="仿宋_GB2312" w:cs="仿宋_GB2312"/>
                <w:color w:val="0C0C0C"/>
                <w:sz w:val="21"/>
                <w:shd w:val="clear" w:fill="FFFFFF"/>
              </w:rPr>
              <w:t>1/1.8"Progressive Scan CMOS</w:t>
            </w:r>
          </w:p>
          <w:p w14:paraId="3BE6ACA0">
            <w:pPr>
              <w:pStyle w:val="5"/>
              <w:jc w:val="both"/>
            </w:pPr>
            <w:r>
              <w:rPr>
                <w:rFonts w:ascii="仿宋_GB2312" w:hAnsi="仿宋_GB2312" w:eastAsia="仿宋_GB2312" w:cs="仿宋_GB2312"/>
                <w:color w:val="0C0C0C"/>
                <w:sz w:val="21"/>
                <w:shd w:val="clear" w:fill="FFFFFF"/>
              </w:rPr>
              <w:t>最低照度</w:t>
            </w:r>
          </w:p>
          <w:p w14:paraId="7C831F04">
            <w:pPr>
              <w:pStyle w:val="5"/>
              <w:jc w:val="both"/>
            </w:pPr>
            <w:r>
              <w:rPr>
                <w:rFonts w:ascii="仿宋_GB2312" w:hAnsi="仿宋_GB2312" w:eastAsia="仿宋_GB2312" w:cs="仿宋_GB2312"/>
                <w:color w:val="0C0C0C"/>
                <w:sz w:val="21"/>
                <w:shd w:val="clear" w:fill="FFFFFF"/>
              </w:rPr>
              <w:t>彩色：0.0005Lux@（F1.2,AGCON）黑白：0.0001Lux@（F1.2,AGCON),0LuxwithIR</w:t>
            </w:r>
          </w:p>
          <w:p w14:paraId="49832102">
            <w:pPr>
              <w:pStyle w:val="5"/>
              <w:jc w:val="both"/>
            </w:pPr>
            <w:r>
              <w:rPr>
                <w:rFonts w:ascii="仿宋_GB2312" w:hAnsi="仿宋_GB2312" w:eastAsia="仿宋_GB2312" w:cs="仿宋_GB2312"/>
                <w:color w:val="0C0C0C"/>
                <w:sz w:val="21"/>
                <w:shd w:val="clear" w:fill="FFFFFF"/>
              </w:rPr>
              <w:t>快门</w:t>
            </w:r>
          </w:p>
          <w:p w14:paraId="6F33F036">
            <w:pPr>
              <w:pStyle w:val="5"/>
              <w:jc w:val="both"/>
            </w:pPr>
            <w:r>
              <w:rPr>
                <w:rFonts w:ascii="仿宋_GB2312" w:hAnsi="仿宋_GB2312" w:eastAsia="仿宋_GB2312" w:cs="仿宋_GB2312"/>
                <w:color w:val="0C0C0C"/>
                <w:sz w:val="21"/>
                <w:shd w:val="clear" w:fill="FFFFFF"/>
              </w:rPr>
              <w:t>1秒至1/100,000秒</w:t>
            </w:r>
          </w:p>
          <w:p w14:paraId="0BA12CBB">
            <w:pPr>
              <w:pStyle w:val="5"/>
              <w:jc w:val="both"/>
            </w:pPr>
            <w:r>
              <w:rPr>
                <w:rFonts w:ascii="仿宋_GB2312" w:hAnsi="仿宋_GB2312" w:eastAsia="仿宋_GB2312" w:cs="仿宋_GB2312"/>
                <w:color w:val="0C0C0C"/>
                <w:sz w:val="21"/>
                <w:shd w:val="clear" w:fill="FFFFFF"/>
              </w:rPr>
              <w:t>镜头</w:t>
            </w:r>
          </w:p>
          <w:p w14:paraId="135DC54B">
            <w:pPr>
              <w:pStyle w:val="5"/>
              <w:jc w:val="both"/>
            </w:pPr>
            <w:r>
              <w:rPr>
                <w:rFonts w:ascii="仿宋_GB2312" w:hAnsi="仿宋_GB2312" w:eastAsia="仿宋_GB2312" w:cs="仿宋_GB2312"/>
                <w:color w:val="0C0C0C"/>
                <w:sz w:val="21"/>
                <w:shd w:val="clear" w:fill="FFFFFF"/>
              </w:rPr>
              <w:t>（变焦）2.8-12mm@F1.2,</w:t>
            </w:r>
          </w:p>
          <w:p w14:paraId="2E5751AC">
            <w:pPr>
              <w:pStyle w:val="5"/>
              <w:jc w:val="both"/>
            </w:pPr>
            <w:r>
              <w:rPr>
                <w:rFonts w:ascii="仿宋_GB2312" w:hAnsi="仿宋_GB2312" w:eastAsia="仿宋_GB2312" w:cs="仿宋_GB2312"/>
                <w:color w:val="0C0C0C"/>
                <w:sz w:val="21"/>
                <w:shd w:val="clear" w:fill="FFFFFF"/>
              </w:rPr>
              <w:t>光圈类型</w:t>
            </w:r>
          </w:p>
          <w:p w14:paraId="460D21FC">
            <w:pPr>
              <w:pStyle w:val="5"/>
              <w:jc w:val="both"/>
            </w:pPr>
            <w:r>
              <w:rPr>
                <w:rFonts w:ascii="仿宋_GB2312" w:hAnsi="仿宋_GB2312" w:eastAsia="仿宋_GB2312" w:cs="仿宋_GB2312"/>
                <w:color w:val="0C0C0C"/>
                <w:sz w:val="21"/>
                <w:shd w:val="clear" w:fill="FFFFFF"/>
              </w:rPr>
              <w:t>2.8-12mm：固定光圈</w:t>
            </w:r>
          </w:p>
          <w:p w14:paraId="302CBB1A">
            <w:pPr>
              <w:pStyle w:val="5"/>
              <w:jc w:val="both"/>
            </w:pPr>
            <w:r>
              <w:rPr>
                <w:rFonts w:ascii="仿宋_GB2312" w:hAnsi="仿宋_GB2312" w:eastAsia="仿宋_GB2312" w:cs="仿宋_GB2312"/>
                <w:color w:val="0C0C0C"/>
                <w:sz w:val="21"/>
                <w:shd w:val="clear" w:fill="FFFFFF"/>
              </w:rPr>
              <w:t>8-32mm：自动光圈</w:t>
            </w:r>
          </w:p>
          <w:p w14:paraId="1B1675CB">
            <w:pPr>
              <w:pStyle w:val="5"/>
              <w:jc w:val="both"/>
            </w:pPr>
            <w:r>
              <w:rPr>
                <w:rFonts w:ascii="仿宋_GB2312" w:hAnsi="仿宋_GB2312" w:eastAsia="仿宋_GB2312" w:cs="仿宋_GB2312"/>
                <w:color w:val="0C0C0C"/>
                <w:sz w:val="21"/>
                <w:shd w:val="clear" w:fill="FFFFFF"/>
              </w:rPr>
              <w:t>数字降噪</w:t>
            </w:r>
          </w:p>
          <w:p w14:paraId="4FFBEEB7">
            <w:pPr>
              <w:pStyle w:val="5"/>
              <w:jc w:val="both"/>
            </w:pPr>
            <w:r>
              <w:rPr>
                <w:rFonts w:ascii="仿宋_GB2312" w:hAnsi="仿宋_GB2312" w:eastAsia="仿宋_GB2312" w:cs="仿宋_GB2312"/>
                <w:color w:val="0C0C0C"/>
                <w:sz w:val="21"/>
                <w:shd w:val="clear" w:fill="FFFFFF"/>
              </w:rPr>
              <w:t>3D数字降噪</w:t>
            </w:r>
          </w:p>
          <w:p w14:paraId="2E5E2240">
            <w:pPr>
              <w:pStyle w:val="5"/>
              <w:jc w:val="both"/>
            </w:pPr>
            <w:r>
              <w:rPr>
                <w:rFonts w:ascii="仿宋_GB2312" w:hAnsi="仿宋_GB2312" w:eastAsia="仿宋_GB2312" w:cs="仿宋_GB2312"/>
                <w:color w:val="0C0C0C"/>
                <w:sz w:val="21"/>
                <w:shd w:val="clear" w:fill="FFFFFF"/>
              </w:rPr>
              <w:t>饱和度，亮度，对比度，锐度，AGC，白平衡通过客户端或者浏览器可调</w:t>
            </w:r>
          </w:p>
          <w:p w14:paraId="370C2B39">
            <w:pPr>
              <w:pStyle w:val="5"/>
              <w:jc w:val="both"/>
            </w:pPr>
            <w:r>
              <w:rPr>
                <w:rFonts w:ascii="仿宋_GB2312" w:hAnsi="仿宋_GB2312" w:eastAsia="仿宋_GB2312" w:cs="仿宋_GB2312"/>
                <w:color w:val="0C0C0C"/>
                <w:sz w:val="21"/>
                <w:shd w:val="clear" w:fill="FFFFFF"/>
              </w:rPr>
              <w:t>图像3D降噪</w:t>
            </w:r>
          </w:p>
          <w:p w14:paraId="34D2E06B">
            <w:pPr>
              <w:pStyle w:val="5"/>
              <w:jc w:val="both"/>
            </w:pPr>
            <w:r>
              <w:rPr>
                <w:rFonts w:ascii="仿宋_GB2312" w:hAnsi="仿宋_GB2312" w:eastAsia="仿宋_GB2312" w:cs="仿宋_GB2312"/>
                <w:color w:val="0C0C0C"/>
                <w:sz w:val="21"/>
                <w:shd w:val="clear" w:fill="FFFFFF"/>
              </w:rPr>
              <w:t>白天、夜晚、自动、定时、报警触发</w:t>
            </w:r>
          </w:p>
          <w:p w14:paraId="54A04023">
            <w:pPr>
              <w:pStyle w:val="5"/>
              <w:jc w:val="both"/>
            </w:pPr>
            <w:r>
              <w:rPr>
                <w:rFonts w:ascii="仿宋_GB2312" w:hAnsi="仿宋_GB2312" w:eastAsia="仿宋_GB2312" w:cs="仿宋_GB2312"/>
                <w:color w:val="0C0C0C"/>
                <w:sz w:val="21"/>
                <w:shd w:val="clear" w:fill="FFFFFF"/>
              </w:rPr>
              <w:t>支持</w:t>
            </w:r>
          </w:p>
          <w:p w14:paraId="42EAECA0">
            <w:pPr>
              <w:pStyle w:val="5"/>
              <w:jc w:val="both"/>
            </w:pPr>
            <w:r>
              <w:rPr>
                <w:rFonts w:ascii="仿宋_GB2312" w:hAnsi="仿宋_GB2312" w:eastAsia="仿宋_GB2312" w:cs="仿宋_GB2312"/>
                <w:color w:val="0C0C0C"/>
                <w:sz w:val="21"/>
                <w:shd w:val="clear" w:fill="FFFFFF"/>
              </w:rPr>
              <w:t>区域裁剪</w:t>
            </w:r>
          </w:p>
          <w:p w14:paraId="2370A8F4">
            <w:pPr>
              <w:pStyle w:val="5"/>
              <w:jc w:val="both"/>
            </w:pPr>
            <w:r>
              <w:rPr>
                <w:rFonts w:ascii="仿宋_GB2312" w:hAnsi="仿宋_GB2312" w:eastAsia="仿宋_GB2312" w:cs="仿宋_GB2312"/>
                <w:color w:val="0C0C0C"/>
                <w:sz w:val="21"/>
                <w:shd w:val="clear" w:fill="FFFFFF"/>
              </w:rPr>
              <w:t>图片叠加</w:t>
            </w:r>
          </w:p>
          <w:p w14:paraId="4A2C0B01">
            <w:pPr>
              <w:pStyle w:val="5"/>
              <w:jc w:val="both"/>
            </w:pPr>
            <w:r>
              <w:rPr>
                <w:rFonts w:ascii="仿宋_GB2312" w:hAnsi="仿宋_GB2312" w:eastAsia="仿宋_GB2312" w:cs="仿宋_GB2312"/>
                <w:color w:val="0C0C0C"/>
                <w:sz w:val="21"/>
                <w:shd w:val="clear" w:fill="FFFFFF"/>
              </w:rPr>
              <w:t>人脸抓拍（正脸抓拍）</w:t>
            </w:r>
          </w:p>
          <w:p w14:paraId="5ADCED19">
            <w:pPr>
              <w:pStyle w:val="5"/>
              <w:jc w:val="both"/>
            </w:pPr>
            <w:r>
              <w:rPr>
                <w:rFonts w:ascii="仿宋_GB2312" w:hAnsi="仿宋_GB2312" w:eastAsia="仿宋_GB2312" w:cs="仿宋_GB2312"/>
                <w:color w:val="0C0C0C"/>
                <w:sz w:val="21"/>
                <w:shd w:val="clear" w:fill="FFFFFF"/>
              </w:rPr>
              <w:t>支持对运动人脸进行检测、跟踪、抓拍、评分、筛选，输出最优的人脸</w:t>
            </w:r>
          </w:p>
          <w:p w14:paraId="49C655C6">
            <w:pPr>
              <w:pStyle w:val="5"/>
              <w:jc w:val="both"/>
            </w:pPr>
            <w:r>
              <w:rPr>
                <w:rFonts w:ascii="仿宋_GB2312" w:hAnsi="仿宋_GB2312" w:eastAsia="仿宋_GB2312" w:cs="仿宋_GB2312"/>
                <w:color w:val="0C0C0C"/>
                <w:sz w:val="21"/>
                <w:shd w:val="clear" w:fill="FFFFFF"/>
              </w:rPr>
              <w:t>支持人脸去误报、自定义侧脸过滤、最优抓拍人脸。</w:t>
            </w:r>
          </w:p>
          <w:p w14:paraId="2044E9C8">
            <w:pPr>
              <w:pStyle w:val="5"/>
              <w:jc w:val="both"/>
            </w:pPr>
            <w:r>
              <w:rPr>
                <w:rFonts w:ascii="仿宋_GB2312" w:hAnsi="仿宋_GB2312" w:eastAsia="仿宋_GB2312" w:cs="仿宋_GB2312"/>
                <w:color w:val="0C0C0C"/>
                <w:sz w:val="21"/>
                <w:shd w:val="clear" w:fill="FFFFFF"/>
              </w:rPr>
              <w:t>自适应以太网口；RS-485；</w:t>
            </w:r>
          </w:p>
          <w:p w14:paraId="0343A326">
            <w:pPr>
              <w:pStyle w:val="5"/>
              <w:jc w:val="both"/>
            </w:pPr>
            <w:r>
              <w:rPr>
                <w:rFonts w:ascii="仿宋_GB2312" w:hAnsi="仿宋_GB2312" w:eastAsia="仿宋_GB2312" w:cs="仿宋_GB2312"/>
                <w:color w:val="0C0C0C"/>
                <w:sz w:val="21"/>
                <w:shd w:val="clear" w:fill="FFFFFF"/>
              </w:rPr>
              <w:t>视频输出</w:t>
            </w:r>
          </w:p>
          <w:p w14:paraId="6020908A">
            <w:pPr>
              <w:pStyle w:val="5"/>
              <w:jc w:val="both"/>
            </w:pPr>
            <w:r>
              <w:rPr>
                <w:rFonts w:ascii="仿宋_GB2312" w:hAnsi="仿宋_GB2312" w:eastAsia="仿宋_GB2312" w:cs="仿宋_GB2312"/>
                <w:color w:val="0C0C0C"/>
                <w:sz w:val="21"/>
                <w:shd w:val="clear" w:fill="FFFFFF"/>
              </w:rPr>
              <w:t>1Vp-p Composite Output(75Q</w:t>
            </w:r>
          </w:p>
        </w:tc>
        <w:tc>
          <w:tcPr>
            <w:tcW w:w="2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521BB">
            <w:pPr>
              <w:pStyle w:val="5"/>
              <w:jc w:val="both"/>
            </w:pPr>
            <w:r>
              <w:rPr>
                <w:rFonts w:ascii="仿宋_GB2312" w:hAnsi="仿宋_GB2312" w:eastAsia="仿宋_GB2312" w:cs="仿宋_GB2312"/>
                <w:color w:val="0C0C0C"/>
                <w:sz w:val="21"/>
                <w:shd w:val="clear" w:fill="FFFFFF"/>
              </w:rPr>
              <w:t>台</w:t>
            </w:r>
          </w:p>
        </w:tc>
        <w:tc>
          <w:tcPr>
            <w:tcW w:w="2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A7EE92">
            <w:pPr>
              <w:pStyle w:val="5"/>
              <w:jc w:val="both"/>
            </w:pPr>
            <w:r>
              <w:rPr>
                <w:rFonts w:ascii="仿宋_GB2312" w:hAnsi="仿宋_GB2312" w:eastAsia="仿宋_GB2312" w:cs="仿宋_GB2312"/>
                <w:color w:val="0C0C0C"/>
                <w:sz w:val="21"/>
                <w:shd w:val="clear" w:fill="FFFFFF"/>
              </w:rPr>
              <w:t>6</w:t>
            </w:r>
          </w:p>
        </w:tc>
      </w:tr>
      <w:tr w14:paraId="77DFA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E98DC">
            <w:pPr>
              <w:pStyle w:val="5"/>
              <w:jc w:val="both"/>
            </w:pPr>
          </w:p>
        </w:tc>
        <w:tc>
          <w:tcPr>
            <w:tcW w:w="18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BB3EE4"/>
        </w:tc>
        <w:tc>
          <w:tcPr>
            <w:tcW w:w="2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1C0A0"/>
        </w:tc>
        <w:tc>
          <w:tcPr>
            <w:tcW w:w="2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4909C"/>
        </w:tc>
      </w:tr>
    </w:tbl>
    <w:p w14:paraId="573D1FAB">
      <w:pPr>
        <w:pStyle w:val="5"/>
      </w:pPr>
      <w:r>
        <w:rPr>
          <w:rFonts w:ascii="仿宋_GB2312" w:hAnsi="仿宋_GB2312" w:eastAsia="仿宋_GB2312" w:cs="仿宋_GB2312"/>
          <w:sz w:val="21"/>
          <w:shd w:val="clear" w:fill="FFFFFF"/>
        </w:rPr>
        <w:t>备注：设备需与</w:t>
      </w:r>
      <w:r>
        <w:rPr>
          <w:rFonts w:ascii="仿宋_GB2312" w:hAnsi="仿宋_GB2312" w:eastAsia="仿宋_GB2312" w:cs="仿宋_GB2312"/>
          <w:sz w:val="21"/>
        </w:rPr>
        <w:t>监测平台原设备兼容，保证设备和软件的正常运行。</w:t>
      </w:r>
    </w:p>
    <w:p w14:paraId="212B1F8A">
      <w:pPr>
        <w:pStyle w:val="5"/>
        <w:numPr>
          <w:ilvl w:val="0"/>
          <w:numId w:val="1"/>
        </w:numPr>
      </w:pPr>
      <w:r>
        <w:rPr>
          <w:rFonts w:ascii="仿宋_GB2312" w:hAnsi="仿宋_GB2312" w:eastAsia="仿宋_GB2312" w:cs="仿宋_GB2312"/>
          <w:color w:val="000000"/>
          <w:sz w:val="21"/>
        </w:rPr>
        <w:t>一号坑监测设备校准升级</w:t>
      </w:r>
    </w:p>
    <w:p w14:paraId="64B368E2">
      <w:pPr>
        <w:pStyle w:val="5"/>
        <w:ind w:firstLine="420"/>
      </w:pPr>
      <w:r>
        <w:rPr>
          <w:rFonts w:ascii="仿宋_GB2312" w:hAnsi="仿宋_GB2312" w:eastAsia="仿宋_GB2312" w:cs="仿宋_GB2312"/>
          <w:color w:val="0C0C0C"/>
          <w:sz w:val="21"/>
          <w:shd w:val="clear" w:fill="FFFFFF"/>
        </w:rPr>
        <w:t>评估当前设备的校准状态和精度、设定校准升级的目标和精度要求。清洁一号坑监测设备的测量面和</w:t>
      </w:r>
      <w:r>
        <w:rPr>
          <w:rFonts w:ascii="仿宋_GB2312" w:hAnsi="仿宋_GB2312" w:eastAsia="仿宋_GB2312" w:cs="仿宋_GB2312"/>
          <w:sz w:val="21"/>
        </w:rPr>
        <w:t>测量角</w:t>
      </w:r>
      <w:r>
        <w:rPr>
          <w:rFonts w:ascii="仿宋_GB2312" w:hAnsi="仿宋_GB2312" w:eastAsia="仿宋_GB2312" w:cs="仿宋_GB2312"/>
          <w:color w:val="0C0C0C"/>
          <w:sz w:val="21"/>
          <w:shd w:val="clear" w:fill="FFFFFF"/>
        </w:rPr>
        <w:t>，确保无污渍和杂质。检查设备的外观和结构，确保无损坏和变形。对具有软件校准功能的设备，进行软件校准。更新设备的校准参数和校准曲线，确保软件与硬件的匹配性。</w:t>
      </w:r>
    </w:p>
    <w:p w14:paraId="311ED9E7">
      <w:pPr>
        <w:pStyle w:val="5"/>
        <w:numPr>
          <w:ilvl w:val="0"/>
          <w:numId w:val="1"/>
        </w:numPr>
      </w:pPr>
      <w:r>
        <w:rPr>
          <w:rFonts w:ascii="仿宋_GB2312" w:hAnsi="仿宋_GB2312" w:eastAsia="仿宋_GB2312" w:cs="仿宋_GB2312"/>
          <w:color w:val="000000"/>
          <w:sz w:val="21"/>
        </w:rPr>
        <w:t>一号坑专项监测系统功能升级</w:t>
      </w:r>
    </w:p>
    <w:p w14:paraId="138E0C5B">
      <w:pPr>
        <w:pStyle w:val="5"/>
        <w:ind w:firstLine="420"/>
      </w:pPr>
      <w:r>
        <w:rPr>
          <w:rFonts w:ascii="仿宋_GB2312" w:hAnsi="仿宋_GB2312" w:eastAsia="仿宋_GB2312" w:cs="仿宋_GB2312"/>
          <w:color w:val="0C0C0C"/>
          <w:sz w:val="21"/>
          <w:shd w:val="clear" w:fill="FFFFFF"/>
        </w:rPr>
        <w:t>提升一号坑专项监测系统功能，包括提升监测时效性、保护预警文物安全等重要措施。通过环境监测、本体监测、游客监测、数据分析与存储以及自动化预警等方面的升级，实现对一号坑的全面监测和有效保护。</w:t>
      </w:r>
    </w:p>
    <w:p w14:paraId="21144667">
      <w:pPr>
        <w:pStyle w:val="5"/>
        <w:jc w:val="left"/>
        <w:outlineLvl w:val="1"/>
      </w:pPr>
      <w:r>
        <w:rPr>
          <w:rFonts w:ascii="仿宋_GB2312" w:hAnsi="仿宋_GB2312" w:eastAsia="仿宋_GB2312" w:cs="仿宋_GB2312"/>
          <w:b/>
          <w:color w:val="000000"/>
          <w:sz w:val="21"/>
        </w:rPr>
        <w:t>（二）秦始皇帝陵博物院物联网环境监测系统对接</w:t>
      </w:r>
    </w:p>
    <w:p w14:paraId="32A95173">
      <w:pPr>
        <w:pStyle w:val="5"/>
        <w:numPr>
          <w:ilvl w:val="0"/>
          <w:numId w:val="1"/>
        </w:numPr>
      </w:pPr>
      <w:r>
        <w:rPr>
          <w:rFonts w:ascii="仿宋_GB2312" w:hAnsi="仿宋_GB2312" w:eastAsia="仿宋_GB2312" w:cs="仿宋_GB2312"/>
          <w:color w:val="000000"/>
          <w:sz w:val="21"/>
        </w:rPr>
        <w:t>物联网环境监测系统调研</w:t>
      </w:r>
    </w:p>
    <w:p w14:paraId="0A4FD609">
      <w:pPr>
        <w:pStyle w:val="5"/>
        <w:ind w:firstLine="420"/>
      </w:pPr>
      <w:r>
        <w:rPr>
          <w:rFonts w:ascii="仿宋_GB2312" w:hAnsi="仿宋_GB2312" w:eastAsia="仿宋_GB2312" w:cs="仿宋_GB2312"/>
          <w:color w:val="0C0C0C"/>
          <w:sz w:val="21"/>
          <w:shd w:val="clear" w:fill="FFFFFF"/>
        </w:rPr>
        <w:t>秦始皇帝陵博物院物联网监测主要分为两个方面，一方面就是利用博物院的物联网环境监测平台实现对各文物保存空间（主要布置在一二三号坑、k9901 四个遗址区，陈列楼临展区和藏品部各文物库房）的温度，湿度，照度，CO2 浓度的监测；另一方面是通过日常监测分季节对各文物保存环境中的温度、相对湿度、大气颗粒物进行监测。物联网环境监测系统调研包括监测系统的系统功能、监测指标、监测数据项以及对接方式等方面的调研，通过系统全方面的调研，确认系统的对接数据项和对接方案。</w:t>
      </w:r>
    </w:p>
    <w:p w14:paraId="32FD866B">
      <w:pPr>
        <w:pStyle w:val="5"/>
        <w:numPr>
          <w:ilvl w:val="0"/>
          <w:numId w:val="1"/>
        </w:numPr>
      </w:pPr>
      <w:r>
        <w:rPr>
          <w:rFonts w:ascii="仿宋_GB2312" w:hAnsi="仿宋_GB2312" w:eastAsia="仿宋_GB2312" w:cs="仿宋_GB2312"/>
          <w:color w:val="000000"/>
          <w:sz w:val="21"/>
        </w:rPr>
        <w:t>物联网环境监测系统对接</w:t>
      </w:r>
    </w:p>
    <w:p w14:paraId="29810656">
      <w:pPr>
        <w:pStyle w:val="5"/>
        <w:ind w:firstLine="420"/>
      </w:pPr>
      <w:r>
        <w:rPr>
          <w:rFonts w:ascii="仿宋_GB2312" w:hAnsi="仿宋_GB2312" w:eastAsia="仿宋_GB2312" w:cs="仿宋_GB2312"/>
          <w:color w:val="0C0C0C"/>
          <w:sz w:val="21"/>
          <w:shd w:val="clear" w:fill="FFFFFF"/>
        </w:rPr>
        <w:t>设备信息数据对接，包括系统监测设备基本信息、监测指标信息、点位信息、状态信息数据对接。</w:t>
      </w:r>
    </w:p>
    <w:p w14:paraId="5CEF973F">
      <w:pPr>
        <w:pStyle w:val="5"/>
        <w:ind w:firstLine="420"/>
      </w:pPr>
      <w:r>
        <w:rPr>
          <w:rFonts w:ascii="仿宋_GB2312" w:hAnsi="仿宋_GB2312" w:eastAsia="仿宋_GB2312" w:cs="仿宋_GB2312"/>
          <w:color w:val="0C0C0C"/>
          <w:sz w:val="21"/>
          <w:shd w:val="clear" w:fill="FFFFFF"/>
        </w:rPr>
        <w:t>系统所有环境监测指标对接，包括系统所有监测指标信息，包含监测传感编号、名称、显示单位、显示精度、取值范围以及监测指标的默认公式信息等数据对接。</w:t>
      </w:r>
    </w:p>
    <w:p w14:paraId="0889A9A0">
      <w:pPr>
        <w:pStyle w:val="5"/>
        <w:ind w:firstLine="420"/>
      </w:pPr>
      <w:r>
        <w:rPr>
          <w:rFonts w:ascii="仿宋_GB2312" w:hAnsi="仿宋_GB2312" w:eastAsia="仿宋_GB2312" w:cs="仿宋_GB2312"/>
          <w:color w:val="0C0C0C"/>
          <w:sz w:val="21"/>
          <w:shd w:val="clear" w:fill="FFFFFF"/>
        </w:rPr>
        <w:t>系统所有环境监测数据对接，包含环境监测传感编号、名称、采集点位、采集时间、采集数据等。</w:t>
      </w:r>
    </w:p>
    <w:p w14:paraId="17E4BC5E">
      <w:pPr>
        <w:pStyle w:val="5"/>
        <w:ind w:firstLine="420"/>
      </w:pPr>
      <w:r>
        <w:rPr>
          <w:rFonts w:ascii="仿宋_GB2312" w:hAnsi="仿宋_GB2312" w:eastAsia="仿宋_GB2312" w:cs="仿宋_GB2312"/>
          <w:color w:val="0C0C0C"/>
          <w:sz w:val="21"/>
          <w:shd w:val="clear" w:fill="FFFFFF"/>
        </w:rPr>
        <w:t>系统所有本体监测数据对接，包含本体监测传感编号、名称、采集点位、采集时间、采集数据等。</w:t>
      </w:r>
    </w:p>
    <w:p w14:paraId="67162B2A">
      <w:pPr>
        <w:pStyle w:val="5"/>
        <w:ind w:firstLine="420"/>
      </w:pPr>
      <w:r>
        <w:rPr>
          <w:rFonts w:ascii="仿宋_GB2312" w:hAnsi="仿宋_GB2312" w:eastAsia="仿宋_GB2312" w:cs="仿宋_GB2312"/>
          <w:color w:val="0C0C0C"/>
          <w:sz w:val="21"/>
          <w:shd w:val="clear" w:fill="FFFFFF"/>
        </w:rPr>
        <w:t>设备三维数据对接，包括设备三维模型链接、模型贴图、模型材质文件链接地址信息。</w:t>
      </w:r>
    </w:p>
    <w:p w14:paraId="04FC83D7">
      <w:pPr>
        <w:pStyle w:val="5"/>
        <w:jc w:val="left"/>
        <w:outlineLvl w:val="1"/>
      </w:pPr>
      <w:r>
        <w:rPr>
          <w:rFonts w:ascii="仿宋_GB2312" w:hAnsi="仿宋_GB2312" w:eastAsia="仿宋_GB2312" w:cs="仿宋_GB2312"/>
          <w:b/>
          <w:color w:val="000000"/>
          <w:sz w:val="21"/>
        </w:rPr>
        <w:t>（三）秦始皇帝陵博物院综合电子票务管理系统对接</w:t>
      </w:r>
    </w:p>
    <w:p w14:paraId="52558EB4">
      <w:pPr>
        <w:pStyle w:val="5"/>
        <w:ind w:firstLine="420"/>
        <w:jc w:val="left"/>
      </w:pPr>
      <w:r>
        <w:rPr>
          <w:rFonts w:ascii="仿宋_GB2312" w:hAnsi="仿宋_GB2312" w:eastAsia="仿宋_GB2312" w:cs="仿宋_GB2312"/>
          <w:color w:val="0C0C0C"/>
          <w:sz w:val="21"/>
          <w:shd w:val="clear" w:fill="FFFFFF"/>
        </w:rPr>
        <w:t>综合电子票务管理系统调研</w:t>
      </w:r>
    </w:p>
    <w:p w14:paraId="64BA0085">
      <w:pPr>
        <w:pStyle w:val="5"/>
        <w:ind w:firstLine="420"/>
      </w:pPr>
      <w:r>
        <w:rPr>
          <w:rFonts w:ascii="仿宋_GB2312" w:hAnsi="仿宋_GB2312" w:eastAsia="仿宋_GB2312" w:cs="仿宋_GB2312"/>
          <w:color w:val="0C0C0C"/>
          <w:sz w:val="21"/>
          <w:shd w:val="clear" w:fill="FFFFFF"/>
        </w:rPr>
        <w:t>秦始皇帝陵博物院综合电子票务管理系统是构建博物院线上、线下一体的票务管理系统（包括软、硬件），实时的景区票务管理分析统计平台，实现对博物院票务及相关数据的全面采集、管理、统计、分析及挖掘应用，提升博物院为观众服务水平；博物院观众承载量预警系统；售票厅多媒体信息发布系统。综合电子票务管理系统调研包括票务系统的系统功能、数据项以及对接方式等方面的调研，通过系统全方面的调研，确认系统的对接项和对接方案。</w:t>
      </w:r>
    </w:p>
    <w:p w14:paraId="521DB7D1">
      <w:pPr>
        <w:pStyle w:val="5"/>
        <w:numPr>
          <w:ilvl w:val="0"/>
          <w:numId w:val="1"/>
        </w:numPr>
      </w:pPr>
      <w:r>
        <w:rPr>
          <w:rFonts w:ascii="仿宋_GB2312" w:hAnsi="仿宋_GB2312" w:eastAsia="仿宋_GB2312" w:cs="仿宋_GB2312"/>
          <w:color w:val="000000"/>
          <w:sz w:val="21"/>
        </w:rPr>
        <w:t>综合电子票务管理系统对接</w:t>
      </w:r>
    </w:p>
    <w:p w14:paraId="4E689164">
      <w:pPr>
        <w:pStyle w:val="5"/>
        <w:ind w:firstLine="420"/>
      </w:pPr>
      <w:r>
        <w:rPr>
          <w:rFonts w:ascii="仿宋_GB2312" w:hAnsi="仿宋_GB2312" w:eastAsia="仿宋_GB2312" w:cs="仿宋_GB2312"/>
          <w:color w:val="0C0C0C"/>
          <w:sz w:val="21"/>
          <w:shd w:val="clear" w:fill="FFFFFF"/>
        </w:rPr>
        <w:t>票务销售数据对接，包括通过博物院官方网站、第三方旅游平台等线上渠道和线下渠道销售的票务数据等。</w:t>
      </w:r>
    </w:p>
    <w:p w14:paraId="71F2F51C">
      <w:pPr>
        <w:pStyle w:val="5"/>
        <w:ind w:firstLine="420"/>
      </w:pPr>
      <w:r>
        <w:rPr>
          <w:rFonts w:ascii="仿宋_GB2312" w:hAnsi="仿宋_GB2312" w:eastAsia="仿宋_GB2312" w:cs="仿宋_GB2312"/>
          <w:color w:val="0C0C0C"/>
          <w:sz w:val="21"/>
          <w:shd w:val="clear" w:fill="FFFFFF"/>
        </w:rPr>
        <w:t>票务验证对接，包括人脸识别入园、二维码验证入园以及工牌验证入园等多种验证数据对接。</w:t>
      </w:r>
    </w:p>
    <w:p w14:paraId="1546DF32">
      <w:pPr>
        <w:pStyle w:val="5"/>
        <w:ind w:firstLine="420"/>
      </w:pPr>
      <w:r>
        <w:rPr>
          <w:rFonts w:ascii="仿宋_GB2312" w:hAnsi="仿宋_GB2312" w:eastAsia="仿宋_GB2312" w:cs="仿宋_GB2312"/>
          <w:color w:val="0C0C0C"/>
          <w:sz w:val="21"/>
          <w:shd w:val="clear" w:fill="FFFFFF"/>
        </w:rPr>
        <w:t>票务管理数据对接，包含对票务库存数据、票务分析数据等数据信息的对接，系包括平台能够收集和分析游客的购票数据，如购票渠道、购票时间等，为博物院的运营决策提供支持。</w:t>
      </w:r>
    </w:p>
    <w:p w14:paraId="4E7A6E9D">
      <w:pPr>
        <w:pStyle w:val="5"/>
        <w:jc w:val="left"/>
        <w:outlineLvl w:val="1"/>
      </w:pPr>
      <w:r>
        <w:rPr>
          <w:rFonts w:ascii="仿宋_GB2312" w:hAnsi="仿宋_GB2312" w:eastAsia="仿宋_GB2312" w:cs="仿宋_GB2312"/>
          <w:b/>
          <w:color w:val="000000"/>
          <w:sz w:val="21"/>
        </w:rPr>
        <w:t>（四）秦始皇帝陵博物院档案管理及数字化系统对接</w:t>
      </w:r>
    </w:p>
    <w:p w14:paraId="6FF8EA58">
      <w:pPr>
        <w:pStyle w:val="5"/>
        <w:numPr>
          <w:ilvl w:val="0"/>
          <w:numId w:val="1"/>
        </w:numPr>
      </w:pPr>
      <w:r>
        <w:rPr>
          <w:rFonts w:ascii="仿宋_GB2312" w:hAnsi="仿宋_GB2312" w:eastAsia="仿宋_GB2312" w:cs="仿宋_GB2312"/>
          <w:color w:val="000000"/>
          <w:sz w:val="21"/>
        </w:rPr>
        <w:t>档案管理及数字化系统调研</w:t>
      </w:r>
    </w:p>
    <w:p w14:paraId="7E603C8C">
      <w:pPr>
        <w:pStyle w:val="5"/>
        <w:ind w:firstLine="420"/>
      </w:pPr>
      <w:r>
        <w:rPr>
          <w:rFonts w:ascii="仿宋_GB2312" w:hAnsi="仿宋_GB2312" w:eastAsia="仿宋_GB2312" w:cs="仿宋_GB2312"/>
          <w:color w:val="0C0C0C"/>
          <w:sz w:val="21"/>
          <w:shd w:val="clear" w:fill="FFFFFF"/>
        </w:rPr>
        <w:t>秦始皇帝陵博物院的档案管理系统主要是对基建、考古等部门档案资料进行系统地数字化规范管理。通过数字化手段，将各类档案信息进行整合、分类、存储和展示，为博物院的文物保护、研究、展示和教育提供支持的系统。档案管理及数字化系统的调研包括档案管理系统功能、档案分类与档案数据项和对接方式等方面的调研，通过系统全方面的调研，确认系统的对接数据项和对接方案。</w:t>
      </w:r>
    </w:p>
    <w:p w14:paraId="5CDD2B77">
      <w:pPr>
        <w:pStyle w:val="5"/>
        <w:numPr>
          <w:ilvl w:val="0"/>
          <w:numId w:val="1"/>
        </w:numPr>
      </w:pPr>
      <w:r>
        <w:rPr>
          <w:rFonts w:ascii="仿宋_GB2312" w:hAnsi="仿宋_GB2312" w:eastAsia="仿宋_GB2312" w:cs="仿宋_GB2312"/>
          <w:color w:val="000000"/>
          <w:sz w:val="21"/>
        </w:rPr>
        <w:t>档案管理及数字化系统对接</w:t>
      </w:r>
    </w:p>
    <w:p w14:paraId="58B4969F">
      <w:pPr>
        <w:pStyle w:val="5"/>
        <w:ind w:firstLine="420"/>
      </w:pPr>
      <w:r>
        <w:rPr>
          <w:rFonts w:ascii="仿宋_GB2312" w:hAnsi="仿宋_GB2312" w:eastAsia="仿宋_GB2312" w:cs="仿宋_GB2312"/>
          <w:color w:val="0C0C0C"/>
          <w:sz w:val="21"/>
          <w:shd w:val="clear" w:fill="FFFFFF"/>
        </w:rPr>
        <w:t>档案管理及数字化系统对接，包括案卷类型、案卷列表、档案列表、档案文件、档案维护（立卷单位、文保单位、档案类别）信息等数据内容的对接。通过数据对接，打破了系统之间的数据壁垒，实现了档案数据的全面流通与整合，提升了博物院在文物保护、考古研究、游客服务以及日常运营等方面的管理效率与决策水平。</w:t>
      </w:r>
    </w:p>
    <w:p w14:paraId="0900B050">
      <w:pPr>
        <w:pStyle w:val="5"/>
        <w:jc w:val="left"/>
        <w:outlineLvl w:val="1"/>
      </w:pPr>
      <w:r>
        <w:rPr>
          <w:rFonts w:ascii="仿宋_GB2312" w:hAnsi="仿宋_GB2312" w:eastAsia="仿宋_GB2312" w:cs="仿宋_GB2312"/>
          <w:b/>
          <w:color w:val="000000"/>
          <w:sz w:val="21"/>
        </w:rPr>
        <w:t>（五）秦始皇陵遗产监测平台数据整合对接</w:t>
      </w:r>
    </w:p>
    <w:p w14:paraId="152A0AE5">
      <w:pPr>
        <w:pStyle w:val="5"/>
        <w:numPr>
          <w:ilvl w:val="0"/>
          <w:numId w:val="1"/>
        </w:numPr>
      </w:pPr>
      <w:r>
        <w:rPr>
          <w:rFonts w:ascii="仿宋_GB2312" w:hAnsi="仿宋_GB2312" w:eastAsia="仿宋_GB2312" w:cs="仿宋_GB2312"/>
          <w:color w:val="000000"/>
          <w:sz w:val="21"/>
        </w:rPr>
        <w:t>秦始皇陵遗产监测平台对接数据梳理</w:t>
      </w:r>
    </w:p>
    <w:p w14:paraId="05918D7D">
      <w:pPr>
        <w:pStyle w:val="5"/>
        <w:ind w:firstLine="420"/>
      </w:pPr>
      <w:r>
        <w:rPr>
          <w:rFonts w:ascii="仿宋_GB2312" w:hAnsi="仿宋_GB2312" w:eastAsia="仿宋_GB2312" w:cs="仿宋_GB2312"/>
          <w:color w:val="0C0C0C"/>
          <w:sz w:val="21"/>
          <w:shd w:val="clear" w:fill="FFFFFF"/>
        </w:rPr>
        <w:t>梳理秦始皇帝陵博物院秦始皇陵遗产监测平台的采集数据指标，包括环境监测采集数据指标、本体监测采集数据指标、游客监测采集数据指标等多项采集数据指标梳理，确认采集数据的周期频次等，建立数据共享机制，确保监测结果能及时与已有系统保持数据同步，指导保护与管理工作的持续改进。</w:t>
      </w:r>
    </w:p>
    <w:p w14:paraId="324D5B7E">
      <w:pPr>
        <w:pStyle w:val="5"/>
        <w:numPr>
          <w:ilvl w:val="0"/>
          <w:numId w:val="1"/>
        </w:numPr>
      </w:pPr>
      <w:r>
        <w:rPr>
          <w:rFonts w:ascii="仿宋_GB2312" w:hAnsi="仿宋_GB2312" w:eastAsia="仿宋_GB2312" w:cs="仿宋_GB2312"/>
          <w:color w:val="000000"/>
          <w:sz w:val="21"/>
        </w:rPr>
        <w:t>设备信息数据整合对接</w:t>
      </w:r>
    </w:p>
    <w:p w14:paraId="7CD0F198">
      <w:pPr>
        <w:pStyle w:val="5"/>
        <w:ind w:firstLine="420"/>
      </w:pPr>
      <w:r>
        <w:rPr>
          <w:rFonts w:ascii="仿宋_GB2312" w:hAnsi="仿宋_GB2312" w:eastAsia="仿宋_GB2312" w:cs="仿宋_GB2312"/>
          <w:color w:val="0C0C0C"/>
          <w:sz w:val="21"/>
          <w:shd w:val="clear" w:fill="FFFFFF"/>
        </w:rPr>
        <w:t>提供统一的设备信息整合对接数据模型，支撑与已有系统的采集设备数据互通，制定标准协议和数据格式，建立数据校验与错误处理机制。设备信息数据包括设备基础信息、设备状态信息、设备挂载采集传感器信息、设备点位信息等多项信息整合对接。</w:t>
      </w:r>
    </w:p>
    <w:p w14:paraId="07479CAE">
      <w:pPr>
        <w:pStyle w:val="5"/>
        <w:numPr>
          <w:ilvl w:val="0"/>
          <w:numId w:val="1"/>
        </w:numPr>
      </w:pPr>
      <w:r>
        <w:rPr>
          <w:rFonts w:ascii="仿宋_GB2312" w:hAnsi="仿宋_GB2312" w:eastAsia="仿宋_GB2312" w:cs="仿宋_GB2312"/>
          <w:color w:val="000000"/>
          <w:sz w:val="21"/>
        </w:rPr>
        <w:t>采集数据整合对接</w:t>
      </w:r>
    </w:p>
    <w:p w14:paraId="704F5686">
      <w:pPr>
        <w:pStyle w:val="5"/>
        <w:ind w:firstLine="420"/>
      </w:pPr>
      <w:r>
        <w:rPr>
          <w:rFonts w:ascii="仿宋_GB2312" w:hAnsi="仿宋_GB2312" w:eastAsia="仿宋_GB2312" w:cs="仿宋_GB2312"/>
          <w:color w:val="0C0C0C"/>
          <w:sz w:val="21"/>
          <w:shd w:val="clear" w:fill="FFFFFF"/>
        </w:rPr>
        <w:t>针对设备采集的最新实时数据与历史采集数据，支撑以不同时效性的方式对接，采用实时同步和批量同步等不同方式的同步策略，建立安全控制与权限验证，确保数据访问的安全性，防止数据泄露。构建一个高效、安全、可扩展的设备数据整合对接方案，为与已有系统的数据互通提供坚实的基础。</w:t>
      </w:r>
    </w:p>
    <w:p w14:paraId="2D211220">
      <w:pPr>
        <w:pStyle w:val="5"/>
        <w:ind w:firstLine="420"/>
        <w:jc w:val="left"/>
      </w:pPr>
      <w:r>
        <w:rPr>
          <w:rFonts w:ascii="仿宋_GB2312" w:hAnsi="仿宋_GB2312" w:eastAsia="仿宋_GB2312" w:cs="仿宋_GB2312"/>
          <w:color w:val="000000"/>
          <w:sz w:val="24"/>
          <w:shd w:val="clear" w:fill="FFFFFF"/>
        </w:rPr>
        <w:t xml:space="preserve">  </w:t>
      </w:r>
      <w:r>
        <w:rPr>
          <w:rFonts w:ascii="仿宋_GB2312" w:hAnsi="仿宋_GB2312" w:eastAsia="仿宋_GB2312" w:cs="仿宋_GB2312"/>
          <w:color w:val="000000"/>
          <w:sz w:val="22"/>
          <w:shd w:val="clear" w:fill="FFFFFF"/>
        </w:rPr>
        <w:t>2、人员条件：</w:t>
      </w:r>
    </w:p>
    <w:p w14:paraId="571F897A">
      <w:pPr>
        <w:pStyle w:val="5"/>
        <w:ind w:firstLine="396"/>
        <w:jc w:val="left"/>
      </w:pPr>
      <w:r>
        <w:rPr>
          <w:rFonts w:ascii="仿宋_GB2312" w:hAnsi="仿宋_GB2312" w:eastAsia="仿宋_GB2312" w:cs="仿宋_GB2312"/>
          <w:color w:val="0C0C0C"/>
          <w:sz w:val="21"/>
          <w:shd w:val="clear" w:fill="FFFFFF"/>
        </w:rPr>
        <w:t>（1）基本人员资质要求：团队核心成员应具备本科及以上学历且具有2年以上同类项目经验，需提供学历证明及过往项目经验证明；</w:t>
      </w:r>
    </w:p>
    <w:p w14:paraId="452DA5D7">
      <w:pPr>
        <w:pStyle w:val="5"/>
        <w:ind w:firstLine="420"/>
        <w:jc w:val="left"/>
      </w:pPr>
      <w:r>
        <w:rPr>
          <w:rFonts w:ascii="仿宋_GB2312" w:hAnsi="仿宋_GB2312" w:eastAsia="仿宋_GB2312" w:cs="仿宋_GB2312"/>
          <w:color w:val="0C0C0C"/>
          <w:sz w:val="21"/>
          <w:shd w:val="clear" w:fill="FFFFFF"/>
        </w:rPr>
        <w:t>（2）团队配置要求：服务团队最低人数不得低于5人，团队专业结构合理，需提供团队名单及岗位分工，明确关键岗位；</w:t>
      </w:r>
    </w:p>
    <w:p w14:paraId="6046EE64">
      <w:pPr>
        <w:pStyle w:val="5"/>
        <w:ind w:firstLine="420"/>
        <w:jc w:val="left"/>
      </w:pPr>
      <w:r>
        <w:rPr>
          <w:rFonts w:ascii="仿宋_GB2312" w:hAnsi="仿宋_GB2312" w:eastAsia="仿宋_GB2312" w:cs="仿宋_GB2312"/>
          <w:color w:val="0C0C0C"/>
          <w:sz w:val="21"/>
          <w:shd w:val="clear" w:fill="FFFFFF"/>
        </w:rPr>
        <w:t>（3）人员稳定性要求：服务期内关键岗位人员不得随意更换，需提供关键岗位人员近6个月社保缴纳记录。</w:t>
      </w:r>
    </w:p>
    <w:p w14:paraId="088379F4">
      <w:pPr>
        <w:pStyle w:val="5"/>
        <w:ind w:firstLine="420"/>
        <w:jc w:val="left"/>
      </w:pPr>
      <w:r>
        <w:rPr>
          <w:rFonts w:ascii="仿宋_GB2312" w:hAnsi="仿宋_GB2312" w:eastAsia="仿宋_GB2312" w:cs="仿宋_GB2312"/>
          <w:color w:val="0C0C0C"/>
          <w:sz w:val="21"/>
          <w:shd w:val="clear" w:fill="FFFFFF"/>
        </w:rPr>
        <w:t>（4）职业道德要求：团队人员无重大违法记录，需提供书面承诺函。</w:t>
      </w:r>
    </w:p>
    <w:p w14:paraId="2EA81CA8">
      <w:pPr>
        <w:pStyle w:val="5"/>
        <w:jc w:val="left"/>
      </w:pPr>
      <w:r>
        <w:rPr>
          <w:rFonts w:ascii="仿宋_GB2312" w:hAnsi="仿宋_GB2312" w:eastAsia="仿宋_GB2312" w:cs="仿宋_GB2312"/>
          <w:color w:val="000000"/>
          <w:sz w:val="22"/>
        </w:rPr>
        <w:t>二、商务要求</w:t>
      </w:r>
    </w:p>
    <w:p w14:paraId="15A055CC">
      <w:pPr>
        <w:pStyle w:val="5"/>
        <w:ind w:firstLine="440"/>
        <w:jc w:val="left"/>
      </w:pPr>
      <w:r>
        <w:rPr>
          <w:rFonts w:ascii="仿宋_GB2312" w:hAnsi="仿宋_GB2312" w:eastAsia="仿宋_GB2312" w:cs="仿宋_GB2312"/>
          <w:color w:val="000000"/>
          <w:sz w:val="22"/>
        </w:rPr>
        <w:t>1）付款方式：</w:t>
      </w:r>
    </w:p>
    <w:p w14:paraId="5932DB03">
      <w:pPr>
        <w:pStyle w:val="5"/>
        <w:ind w:firstLine="440"/>
        <w:jc w:val="left"/>
      </w:pPr>
      <w:r>
        <w:rPr>
          <w:rFonts w:ascii="仿宋_GB2312" w:hAnsi="仿宋_GB2312" w:eastAsia="仿宋_GB2312" w:cs="仿宋_GB2312"/>
          <w:color w:val="000000"/>
          <w:sz w:val="22"/>
        </w:rPr>
        <w:t>进度付款方式，预付款45%，验收合格后支付50%，尾款5%作为质保金，质保期满后支付，质保期一年。</w:t>
      </w:r>
    </w:p>
    <w:p w14:paraId="2B04C87F">
      <w:pPr>
        <w:pStyle w:val="5"/>
        <w:ind w:firstLine="440"/>
        <w:jc w:val="left"/>
      </w:pPr>
      <w:r>
        <w:rPr>
          <w:rFonts w:ascii="仿宋_GB2312" w:hAnsi="仿宋_GB2312" w:eastAsia="仿宋_GB2312" w:cs="仿宋_GB2312"/>
          <w:color w:val="000000"/>
          <w:sz w:val="22"/>
        </w:rPr>
        <w:t>2）工期及实施地点要求：</w:t>
      </w:r>
    </w:p>
    <w:p w14:paraId="69FAAA72">
      <w:pPr>
        <w:pStyle w:val="5"/>
        <w:ind w:firstLine="420"/>
        <w:jc w:val="left"/>
      </w:pPr>
      <w:r>
        <w:rPr>
          <w:rFonts w:ascii="仿宋_GB2312" w:hAnsi="仿宋_GB2312" w:eastAsia="仿宋_GB2312" w:cs="仿宋_GB2312"/>
          <w:color w:val="000000"/>
          <w:sz w:val="21"/>
        </w:rPr>
        <w:t>工期：合同签订后200个日历天；</w:t>
      </w:r>
    </w:p>
    <w:p w14:paraId="070124DC">
      <w:pPr>
        <w:pStyle w:val="5"/>
        <w:ind w:firstLine="420"/>
        <w:jc w:val="left"/>
      </w:pPr>
      <w:r>
        <w:rPr>
          <w:rFonts w:ascii="仿宋_GB2312" w:hAnsi="仿宋_GB2312" w:eastAsia="仿宋_GB2312" w:cs="仿宋_GB2312"/>
          <w:color w:val="000000"/>
          <w:sz w:val="21"/>
        </w:rPr>
        <w:t>实施地点：秦始皇帝陵博物院指定地点；</w:t>
      </w:r>
    </w:p>
    <w:p w14:paraId="1CD7EE9D">
      <w:pPr>
        <w:pStyle w:val="5"/>
        <w:ind w:firstLine="420"/>
        <w:jc w:val="left"/>
      </w:pPr>
      <w:r>
        <w:rPr>
          <w:rFonts w:ascii="仿宋_GB2312" w:hAnsi="仿宋_GB2312" w:eastAsia="仿宋_GB2312" w:cs="仿宋_GB2312"/>
          <w:color w:val="000000"/>
          <w:sz w:val="21"/>
        </w:rPr>
        <w:t>质保期：设备安装验收及系统调试验收后1年。</w:t>
      </w:r>
    </w:p>
    <w:p w14:paraId="276DA480">
      <w:pPr>
        <w:pStyle w:val="5"/>
        <w:ind w:firstLine="440"/>
        <w:jc w:val="left"/>
      </w:pPr>
      <w:r>
        <w:rPr>
          <w:rFonts w:ascii="仿宋_GB2312" w:hAnsi="仿宋_GB2312" w:eastAsia="仿宋_GB2312" w:cs="仿宋_GB2312"/>
          <w:color w:val="000000"/>
          <w:sz w:val="22"/>
        </w:rPr>
        <w:t>3）质量要求：</w:t>
      </w:r>
    </w:p>
    <w:p w14:paraId="223E0F6A">
      <w:pPr>
        <w:pStyle w:val="5"/>
        <w:ind w:firstLine="420"/>
        <w:jc w:val="left"/>
      </w:pPr>
      <w:r>
        <w:rPr>
          <w:rFonts w:ascii="仿宋_GB2312" w:hAnsi="仿宋_GB2312" w:eastAsia="仿宋_GB2312" w:cs="仿宋_GB2312"/>
          <w:color w:val="000000"/>
          <w:sz w:val="21"/>
        </w:rPr>
        <w:t>（一）供应商应根据《秦始皇帝陵博物院秦始皇陵遗产监测平台升级改造方案》实施项目；</w:t>
      </w:r>
    </w:p>
    <w:p w14:paraId="34525B3A">
      <w:pPr>
        <w:pStyle w:val="5"/>
        <w:ind w:firstLine="420"/>
        <w:jc w:val="left"/>
      </w:pPr>
      <w:r>
        <w:rPr>
          <w:rFonts w:ascii="仿宋_GB2312" w:hAnsi="仿宋_GB2312" w:eastAsia="仿宋_GB2312" w:cs="仿宋_GB2312"/>
          <w:color w:val="000000"/>
          <w:sz w:val="21"/>
        </w:rPr>
        <w:t>（二）供应商提供的产品必须是设计科学、技术成熟、工艺优良，是用优质材料制造的、先进的、原厂生产的未曾使用过的、全新的合格产品；</w:t>
      </w:r>
    </w:p>
    <w:p w14:paraId="050BF8AA">
      <w:pPr>
        <w:pStyle w:val="5"/>
        <w:ind w:firstLine="420"/>
        <w:jc w:val="left"/>
      </w:pPr>
      <w:r>
        <w:rPr>
          <w:rFonts w:ascii="仿宋_GB2312" w:hAnsi="仿宋_GB2312" w:eastAsia="仿宋_GB2312" w:cs="仿宋_GB2312"/>
          <w:color w:val="000000"/>
          <w:sz w:val="21"/>
        </w:rPr>
        <w:t>（三）设计技术专利、外形专利、应用软件专利等均应符合我国有关法律及行业标准；</w:t>
      </w:r>
    </w:p>
    <w:p w14:paraId="4E4624AE">
      <w:pPr>
        <w:pStyle w:val="5"/>
        <w:ind w:firstLine="420"/>
        <w:jc w:val="left"/>
      </w:pPr>
      <w:r>
        <w:rPr>
          <w:rFonts w:ascii="仿宋_GB2312" w:hAnsi="仿宋_GB2312" w:eastAsia="仿宋_GB2312" w:cs="仿宋_GB2312"/>
          <w:color w:val="000000"/>
          <w:sz w:val="21"/>
        </w:rPr>
        <w:t>（四）安全可靠。在正常使用下不应对操作者造成任何人身伤害；</w:t>
      </w:r>
    </w:p>
    <w:p w14:paraId="22368031">
      <w:pPr>
        <w:pStyle w:val="5"/>
        <w:ind w:firstLine="420"/>
        <w:jc w:val="left"/>
      </w:pPr>
      <w:r>
        <w:rPr>
          <w:rFonts w:ascii="仿宋_GB2312" w:hAnsi="仿宋_GB2312" w:eastAsia="仿宋_GB2312" w:cs="仿宋_GB2312"/>
          <w:color w:val="000000"/>
          <w:sz w:val="21"/>
        </w:rPr>
        <w:t>（五）有强制性安全标准的产品，供应商应提供该产品的制造许可证证明；</w:t>
      </w:r>
    </w:p>
    <w:p w14:paraId="678B159F">
      <w:pPr>
        <w:pStyle w:val="5"/>
        <w:ind w:firstLine="420"/>
        <w:jc w:val="left"/>
      </w:pPr>
      <w:r>
        <w:rPr>
          <w:rFonts w:ascii="仿宋_GB2312" w:hAnsi="仿宋_GB2312" w:eastAsia="仿宋_GB2312" w:cs="仿宋_GB2312"/>
          <w:color w:val="000000"/>
          <w:sz w:val="21"/>
        </w:rPr>
        <w:t>（六）产品性能必须与其标示的技术指标项符合。</w:t>
      </w:r>
    </w:p>
    <w:p w14:paraId="19A25178">
      <w:pPr>
        <w:pStyle w:val="5"/>
        <w:ind w:firstLine="420"/>
        <w:jc w:val="left"/>
      </w:pPr>
      <w:r>
        <w:rPr>
          <w:rFonts w:ascii="仿宋_GB2312" w:hAnsi="仿宋_GB2312" w:eastAsia="仿宋_GB2312" w:cs="仿宋_GB2312"/>
          <w:color w:val="000000"/>
          <w:sz w:val="21"/>
        </w:rPr>
        <w:t xml:space="preserve"> </w:t>
      </w:r>
      <w:r>
        <w:rPr>
          <w:rFonts w:ascii="仿宋_GB2312" w:hAnsi="仿宋_GB2312" w:eastAsia="仿宋_GB2312" w:cs="仿宋_GB2312"/>
          <w:color w:val="000000"/>
          <w:sz w:val="22"/>
        </w:rPr>
        <w:t>4）其他要求：</w:t>
      </w:r>
    </w:p>
    <w:p w14:paraId="01E2FA82">
      <w:pPr>
        <w:pStyle w:val="5"/>
        <w:ind w:firstLine="420"/>
        <w:jc w:val="left"/>
      </w:pPr>
      <w:r>
        <w:rPr>
          <w:rFonts w:ascii="仿宋_GB2312" w:hAnsi="仿宋_GB2312" w:eastAsia="仿宋_GB2312" w:cs="仿宋_GB2312"/>
          <w:color w:val="000000"/>
          <w:sz w:val="21"/>
        </w:rPr>
        <w:t>（一）响应时效：故障响应≤15分钟；</w:t>
      </w:r>
    </w:p>
    <w:p w14:paraId="4B4DDF7E">
      <w:pPr>
        <w:pStyle w:val="5"/>
        <w:ind w:firstLine="420"/>
        <w:jc w:val="left"/>
      </w:pPr>
      <w:r>
        <w:rPr>
          <w:rFonts w:ascii="仿宋_GB2312" w:hAnsi="仿宋_GB2312" w:eastAsia="仿宋_GB2312" w:cs="仿宋_GB2312"/>
          <w:color w:val="000000"/>
          <w:sz w:val="21"/>
        </w:rPr>
        <w:t>（二）技术支持：</w:t>
      </w:r>
    </w:p>
    <w:p w14:paraId="557899B0">
      <w:pPr>
        <w:pStyle w:val="5"/>
        <w:ind w:firstLine="420"/>
        <w:jc w:val="left"/>
      </w:pPr>
      <w:r>
        <w:rPr>
          <w:rFonts w:ascii="仿宋_GB2312" w:hAnsi="仿宋_GB2312" w:eastAsia="仿宋_GB2312" w:cs="仿宋_GB2312"/>
          <w:color w:val="000000"/>
          <w:sz w:val="21"/>
        </w:rPr>
        <w:t>（1）提供7×24小时远程支持；</w:t>
      </w:r>
    </w:p>
    <w:p w14:paraId="78F1952F">
      <w:pPr>
        <w:pStyle w:val="5"/>
        <w:ind w:firstLine="420"/>
        <w:jc w:val="left"/>
      </w:pPr>
      <w:r>
        <w:rPr>
          <w:rFonts w:ascii="仿宋_GB2312" w:hAnsi="仿宋_GB2312" w:eastAsia="仿宋_GB2312" w:cs="仿宋_GB2312"/>
          <w:color w:val="000000"/>
          <w:sz w:val="21"/>
        </w:rPr>
        <w:t>（2）免费提供＞5次的培训，保证操作人员至能达到操作要求；</w:t>
      </w:r>
    </w:p>
    <w:p w14:paraId="250E4B2F">
      <w:pPr>
        <w:pStyle w:val="5"/>
        <w:ind w:firstLine="420"/>
        <w:jc w:val="left"/>
      </w:pPr>
      <w:r>
        <w:rPr>
          <w:rFonts w:ascii="仿宋_GB2312" w:hAnsi="仿宋_GB2312" w:eastAsia="仿宋_GB2312" w:cs="仿宋_GB2312"/>
          <w:color w:val="000000"/>
          <w:sz w:val="21"/>
        </w:rPr>
        <w:t>（三）质保期：设备及系统质保期≥6个月，质保期内免费更换电池及易损件。</w:t>
      </w:r>
    </w:p>
    <w:p w14:paraId="35339F23">
      <w:pPr>
        <w:pStyle w:val="5"/>
        <w:ind w:firstLine="420"/>
        <w:jc w:val="left"/>
      </w:pPr>
      <w:r>
        <w:rPr>
          <w:rFonts w:ascii="仿宋_GB2312" w:hAnsi="仿宋_GB2312" w:eastAsia="仿宋_GB2312" w:cs="仿宋_GB2312"/>
          <w:color w:val="000000"/>
          <w:sz w:val="21"/>
        </w:rPr>
        <w:t>（四）供应商承担投标费用，采购人不承担。</w:t>
      </w:r>
    </w:p>
    <w:p w14:paraId="096DD461">
      <w:pPr>
        <w:pStyle w:val="5"/>
        <w:ind w:firstLine="420"/>
        <w:jc w:val="left"/>
      </w:pPr>
      <w:r>
        <w:rPr>
          <w:rFonts w:ascii="仿宋_GB2312" w:hAnsi="仿宋_GB2312" w:eastAsia="仿宋_GB2312" w:cs="仿宋_GB2312"/>
          <w:color w:val="000000"/>
          <w:sz w:val="21"/>
        </w:rPr>
        <w:t>（五）采购人监督成交供应商工作进展和成果，成交供应商配合，存在违约或质量问题，采购人有权要求整改，严重时可解除合同并追究违约责任。</w:t>
      </w:r>
    </w:p>
    <w:p w14:paraId="635B7F2E">
      <w:pPr>
        <w:pStyle w:val="5"/>
        <w:ind w:firstLine="420"/>
        <w:jc w:val="left"/>
      </w:pPr>
      <w:r>
        <w:rPr>
          <w:rFonts w:ascii="仿宋_GB2312" w:hAnsi="仿宋_GB2312" w:eastAsia="仿宋_GB2312" w:cs="仿宋_GB2312"/>
          <w:color w:val="000000"/>
          <w:sz w:val="21"/>
        </w:rPr>
        <w:t>（六）项目磋商公告发布后，如有变更或补充事项会更正公告，供应商关注。</w:t>
      </w:r>
    </w:p>
    <w:p w14:paraId="736B4D31">
      <w:r>
        <w:rPr>
          <w:rFonts w:ascii="仿宋_GB2312" w:hAnsi="仿宋_GB2312" w:eastAsia="仿宋_GB2312" w:cs="仿宋_GB2312"/>
          <w:color w:val="000000"/>
          <w:sz w:val="21"/>
        </w:rPr>
        <w:t>（七）投标人对磋商文件疑问在磋商截止时间前书面提出，采购人答复并通知所有潜在投标人。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15AD2"/>
    <w:rsid w:val="7E81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2024-08-30T03:27:00Z</dcterms:created>
  <dc:creator>Administrator</dc:creator>
  <cp:lastModifiedBy>沈肖楠</cp:lastModifiedBy>
  <dcterms:modified xsi:type="dcterms:W3CDTF">2025-07-01T06:18:31Z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776110EA2EE14E4F8A0AFF103FC87BB1_12</vt:lpwstr>
  </property>
  <property fmtid="{D5CDD505-2E9C-101B-9397-08002B2CF9AE}" pid="4" name="KSOTemplateDocerSaveRecord">
    <vt:lpwstr>eyJoZGlkIjoiZThmMzYxMmRiNjE2Y2Y0NGIzMTY3NmFiYWI0ZWZmNGIiLCJ1c2VySWQiOiI1MTY0MDE0OTcifQ==</vt:lpwstr>
  </property>
</Properties>
</file>