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版本号：SZT2025-SN-SC-ZC-FW-022720250603001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处方前置审核、处方点评及合理用药系统项目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SZT2025-SN-SC-ZC-FW-0227</w:t>
      </w:r>
      <w:r>
        <w:br/>
      </w:r>
      <w:r>
        <w:br/>
      </w:r>
      <w:r>
        <w:br/>
      </w:r>
    </w:p>
    <w:p>
      <w:pPr>
        <w:pStyle w:val="null3"/>
        <w:jc w:val="center"/>
        <w:outlineLvl w:val="2"/>
      </w:pPr>
      <w:r>
        <w:rPr>
          <w:rFonts w:ascii="仿宋_GB2312" w:hAnsi="仿宋_GB2312" w:cs="仿宋_GB2312" w:eastAsia="仿宋_GB2312"/>
          <w:sz w:val="28"/>
          <w:b/>
        </w:rPr>
        <w:t>西北妇女儿童医院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西北妇女儿童医院</w:t>
      </w:r>
      <w:r>
        <w:rPr>
          <w:rFonts w:ascii="仿宋_GB2312" w:hAnsi="仿宋_GB2312" w:cs="仿宋_GB2312" w:eastAsia="仿宋_GB2312"/>
        </w:rPr>
        <w:t>委托，拟对</w:t>
      </w:r>
      <w:r>
        <w:rPr>
          <w:rFonts w:ascii="仿宋_GB2312" w:hAnsi="仿宋_GB2312" w:cs="仿宋_GB2312" w:eastAsia="仿宋_GB2312"/>
        </w:rPr>
        <w:t>处方前置审核、处方点评及合理用药系统项目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SZT2025-SN-SC-ZC-FW-0227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处方前置审核、处方点评及合理用药系统项目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随着医院信息化建设的深入，合理用药、处方前置审核及处方点评成为提升医疗质量、保障患者用药安全的重要手段。通过建设处方前置审核、处方点评及合理用药系统，能够有效减少不合理用药现象，提升医院药事管理水平。 通过系统建设，实现处方前置审核、处方点评及合理用药的自动化、智能化管理，确保用药安全，提升医院合理用药水平，满足国家相关政策和评级要求。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应授权合法的人员参加投标全过程，其中法定代表人直接参加投标的，须提供法定代表人身份证，并与营业执照上信息一致。法定代表人授权代表参加投标的，须提供法定代表人授权书及授权代表身份证。</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西北妇女儿童医院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西安市雁翔路1616号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029-89550065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连杰、李文俊、马帅、单博、李娜、胡婷、赵静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029-88364979-849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开户名称：陕西中技招标有限公司（转账备注项目编号后四位数字）</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代理服务费收费标准：采购代理服务费的收取参见国家计委颁布的《招标代理服务收费管理暂行办法》（计价格〔2002〕1980号）和（发改办价格〔2003〕857号）收费标准下浮20%收取。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西北妇女儿童医院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西北妇女儿童医院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西北妇女儿童医院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完成合同及招标文件规定的全部内容，并经采购人确认项目建设满足采购人管理需要，由中标人提出正式上线验收申请，采购人组织相关人员（必要时组成院外专家组）进行项目验收，出具验收报告。正式验收完成后，须继续配合完成相关评级内容。 2.系统上线后，中标人向采购人用户提供系统使用培训，提供技术人员培训，以保证采购人工程师能够掌握软件表结构、数据业务流等技术信息。 3.验收资料。在项目验收时，中标人需提供但不限于项目实施方案、需求说明书、使用人员签字的培训记录、系统操作说明、系统维护说明、验收申请、数据业务流、数据字典及表结构说明、用户手册、数据库用户名及密码等资料。</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联系人：戴杨</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随着医院信息化建设的深入，合理用药、处方前置审核及处方点评成为提升医疗质量、保障患者用药安全的重要手段。通过建设处方前置审核、处方点评及合理用药系统，能够有效减少不合理用药现象，提升医院药事管理水平。 通过系统建设，实现处方前置审核、处方点评及合理用药的自动化、智能化管理，确保用药安全，提升医院合理用药水平，满足国家相关政策和评级要求。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1,010,000.00</w:t>
      </w:r>
    </w:p>
    <w:p>
      <w:pPr>
        <w:pStyle w:val="null3"/>
      </w:pPr>
      <w:r>
        <w:rPr>
          <w:rFonts w:ascii="仿宋_GB2312" w:hAnsi="仿宋_GB2312" w:cs="仿宋_GB2312" w:eastAsia="仿宋_GB2312"/>
        </w:rPr>
        <w:t>采购包最高限价（元）: 1,010,000.00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处方前置审核、处方点评及合理用药系统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标的名称：处方前置审核、处方点评及合理用药系统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color w:val="000000"/>
              </w:rPr>
              <w:t>一、系统建设背景与目标</w:t>
            </w:r>
          </w:p>
          <w:p>
            <w:pPr>
              <w:pStyle w:val="null3"/>
              <w:jc w:val="both"/>
            </w:pPr>
            <w:r>
              <w:rPr>
                <w:rFonts w:ascii="仿宋_GB2312" w:hAnsi="仿宋_GB2312" w:cs="仿宋_GB2312" w:eastAsia="仿宋_GB2312"/>
                <w:sz w:val="20"/>
                <w:color w:val="000000"/>
              </w:rPr>
              <w:t>1.背景：随着医院信息化建设的深入，合理用药、处方前置审核及处方点评成为提升医疗质量、保障患者用药安全的重要手段。通过建设处方前置审核、处方点评及合理用药系统，能够有效减少不合理用药现象，提升医院药事管理水平。</w:t>
            </w:r>
          </w:p>
          <w:p>
            <w:pPr>
              <w:pStyle w:val="null3"/>
              <w:jc w:val="both"/>
            </w:pPr>
            <w:r>
              <w:rPr>
                <w:rFonts w:ascii="仿宋_GB2312" w:hAnsi="仿宋_GB2312" w:cs="仿宋_GB2312" w:eastAsia="仿宋_GB2312"/>
                <w:sz w:val="20"/>
                <w:color w:val="000000"/>
              </w:rPr>
              <w:t>2.目标：通过系统建设，实现处方前置审核、处方点评及合理用药的自动化、智能化管理，确保用药安全，提升医院合理用药水平，满足国家相关政策和评级要求。</w:t>
            </w:r>
          </w:p>
          <w:p>
            <w:pPr>
              <w:pStyle w:val="null3"/>
              <w:jc w:val="both"/>
            </w:pPr>
            <w:r>
              <w:rPr>
                <w:rFonts w:ascii="仿宋_GB2312" w:hAnsi="仿宋_GB2312" w:cs="仿宋_GB2312" w:eastAsia="仿宋_GB2312"/>
                <w:sz w:val="20"/>
                <w:color w:val="000000"/>
              </w:rPr>
              <w:t>二、系统建设要求</w:t>
            </w:r>
          </w:p>
          <w:p>
            <w:pPr>
              <w:pStyle w:val="null3"/>
              <w:jc w:val="both"/>
            </w:pPr>
            <w:r>
              <w:rPr>
                <w:rFonts w:ascii="仿宋_GB2312" w:hAnsi="仿宋_GB2312" w:cs="仿宋_GB2312" w:eastAsia="仿宋_GB2312"/>
                <w:sz w:val="20"/>
                <w:color w:val="000000"/>
              </w:rPr>
              <w:t>1.系统功能要求：</w:t>
            </w:r>
          </w:p>
          <w:p>
            <w:pPr>
              <w:pStyle w:val="null3"/>
              <w:jc w:val="both"/>
            </w:pPr>
            <w:r>
              <w:rPr>
                <w:rFonts w:ascii="仿宋_GB2312" w:hAnsi="仿宋_GB2312" w:cs="仿宋_GB2312" w:eastAsia="仿宋_GB2312"/>
                <w:sz w:val="20"/>
                <w:color w:val="000000"/>
              </w:rPr>
              <w:t>1.1处方前置审核：</w:t>
            </w:r>
          </w:p>
          <w:p>
            <w:pPr>
              <w:pStyle w:val="null3"/>
              <w:jc w:val="both"/>
            </w:pPr>
            <w:r>
              <w:rPr>
                <w:rFonts w:ascii="仿宋_GB2312" w:hAnsi="仿宋_GB2312" w:cs="仿宋_GB2312" w:eastAsia="仿宋_GB2312"/>
                <w:sz w:val="20"/>
                <w:color w:val="000000"/>
              </w:rPr>
              <w:t>1.1.1 具备实时处方审核功能，自动拦截不合理处方，包括剂量、给药途径、药物相互作用、禁忌症等审查。</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1.1.2 具备多维度审查功能，如患者诊断、嘱托信息、年龄、体重、性别、妊娠状态、肝肾功能等。</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1.1.3 具备自定义审查规则功能，医院可根据实际情况调整审查标准，如限定科室（门诊或病区）或具体医师、调整问题级别、选择提示医师的问题级别等。</w:t>
            </w:r>
          </w:p>
          <w:p>
            <w:pPr>
              <w:pStyle w:val="null3"/>
              <w:jc w:val="both"/>
            </w:pPr>
            <w:r>
              <w:rPr>
                <w:rFonts w:ascii="仿宋_GB2312" w:hAnsi="仿宋_GB2312" w:cs="仿宋_GB2312" w:eastAsia="仿宋_GB2312"/>
                <w:sz w:val="20"/>
                <w:color w:val="000000"/>
              </w:rPr>
              <w:t>1.1.4 具备药师与医生的实时互动功能，药师可对问题处方进行人工干预。</w:t>
            </w:r>
          </w:p>
          <w:p>
            <w:pPr>
              <w:pStyle w:val="null3"/>
              <w:jc w:val="both"/>
            </w:pPr>
            <w:r>
              <w:rPr>
                <w:rFonts w:ascii="仿宋_GB2312" w:hAnsi="仿宋_GB2312" w:cs="仿宋_GB2312" w:eastAsia="仿宋_GB2312"/>
                <w:sz w:val="20"/>
                <w:color w:val="000000"/>
              </w:rPr>
              <w:t>1.1.5 具备历史处方审查功能，确保跨处方、跨科室的用药合理性。</w:t>
            </w:r>
          </w:p>
          <w:p>
            <w:pPr>
              <w:pStyle w:val="null3"/>
              <w:jc w:val="both"/>
            </w:pPr>
            <w:r>
              <w:rPr>
                <w:rFonts w:ascii="仿宋_GB2312" w:hAnsi="仿宋_GB2312" w:cs="仿宋_GB2312" w:eastAsia="仿宋_GB2312"/>
                <w:sz w:val="20"/>
                <w:color w:val="000000"/>
              </w:rPr>
              <w:t xml:space="preserve">1.1.6 </w:t>
            </w:r>
            <w:r>
              <w:rPr>
                <w:rFonts w:ascii="仿宋_GB2312" w:hAnsi="仿宋_GB2312" w:cs="仿宋_GB2312" w:eastAsia="仿宋_GB2312"/>
                <w:sz w:val="20"/>
                <w:color w:val="000000"/>
              </w:rPr>
              <w:t>审方干预</w:t>
            </w:r>
          </w:p>
          <w:p>
            <w:pPr>
              <w:pStyle w:val="null3"/>
              <w:jc w:val="both"/>
            </w:pPr>
            <w:r>
              <w:rPr>
                <w:rFonts w:ascii="仿宋_GB2312" w:hAnsi="仿宋_GB2312" w:cs="仿宋_GB2312" w:eastAsia="仿宋_GB2312"/>
                <w:sz w:val="20"/>
                <w:color w:val="000000"/>
              </w:rPr>
              <w:t>1.1.6.</w:t>
            </w:r>
            <w:r>
              <w:rPr>
                <w:rFonts w:ascii="仿宋_GB2312" w:hAnsi="仿宋_GB2312" w:cs="仿宋_GB2312" w:eastAsia="仿宋_GB2312"/>
                <w:sz w:val="20"/>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药师审查时，可在审查界面一体化查看当前处方（医嘱）历史干预记录，如医生操作、用药理由等。</w:t>
            </w:r>
          </w:p>
          <w:p>
            <w:pPr>
              <w:pStyle w:val="null3"/>
              <w:jc w:val="both"/>
            </w:pPr>
            <w:r>
              <w:rPr>
                <w:rFonts w:ascii="仿宋_GB2312" w:hAnsi="仿宋_GB2312" w:cs="仿宋_GB2312" w:eastAsia="仿宋_GB2312"/>
                <w:sz w:val="20"/>
                <w:color w:val="000000"/>
              </w:rPr>
              <w:t>1.1.6</w:t>
            </w:r>
            <w:r>
              <w:rPr>
                <w:rFonts w:ascii="仿宋_GB2312" w:hAnsi="仿宋_GB2312" w:cs="仿宋_GB2312" w:eastAsia="仿宋_GB2312"/>
                <w:sz w:val="20"/>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药师审查时可查看当前处方（医嘱）历史修改信息。</w:t>
            </w:r>
          </w:p>
          <w:p>
            <w:pPr>
              <w:pStyle w:val="null3"/>
              <w:jc w:val="both"/>
            </w:pPr>
            <w:r>
              <w:rPr>
                <w:rFonts w:ascii="仿宋_GB2312" w:hAnsi="仿宋_GB2312" w:cs="仿宋_GB2312" w:eastAsia="仿宋_GB2312"/>
                <w:sz w:val="20"/>
                <w:color w:val="000000"/>
              </w:rPr>
              <w:t>1.1.6</w:t>
            </w:r>
            <w:r>
              <w:rPr>
                <w:rFonts w:ascii="仿宋_GB2312" w:hAnsi="仿宋_GB2312" w:cs="仿宋_GB2312" w:eastAsia="仿宋_GB2312"/>
                <w:sz w:val="20"/>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药师可选择审核意见中的文字处理后发给医生</w:t>
            </w:r>
            <w:r>
              <w:rPr>
                <w:rFonts w:ascii="仿宋_GB2312" w:hAnsi="仿宋_GB2312" w:cs="仿宋_GB2312" w:eastAsia="仿宋_GB2312"/>
                <w:sz w:val="20"/>
                <w:color w:val="000000"/>
              </w:rPr>
              <w:t>，</w:t>
            </w:r>
            <w:r>
              <w:rPr>
                <w:rFonts w:ascii="仿宋_GB2312" w:hAnsi="仿宋_GB2312" w:cs="仿宋_GB2312" w:eastAsia="仿宋_GB2312"/>
                <w:sz w:val="20"/>
                <w:color w:val="000000"/>
              </w:rPr>
              <w:t>还可预设常用问题模板。</w:t>
            </w:r>
          </w:p>
          <w:p>
            <w:pPr>
              <w:pStyle w:val="null3"/>
              <w:jc w:val="both"/>
            </w:pPr>
            <w:r>
              <w:rPr>
                <w:rFonts w:ascii="仿宋_GB2312" w:hAnsi="仿宋_GB2312" w:cs="仿宋_GB2312" w:eastAsia="仿宋_GB2312"/>
                <w:sz w:val="20"/>
                <w:color w:val="000000"/>
              </w:rPr>
              <w:t>1.1.6</w:t>
            </w:r>
            <w:r>
              <w:rPr>
                <w:rFonts w:ascii="仿宋_GB2312" w:hAnsi="仿宋_GB2312" w:cs="仿宋_GB2312" w:eastAsia="仿宋_GB2312"/>
                <w:sz w:val="20"/>
                <w:color w:val="000000"/>
              </w:rPr>
              <w:t>.4</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药师可以根据不同任务情况选择医生处方（医嘱）双签</w:t>
            </w:r>
            <w:r>
              <w:rPr>
                <w:rFonts w:ascii="仿宋_GB2312" w:hAnsi="仿宋_GB2312" w:cs="仿宋_GB2312" w:eastAsia="仿宋_GB2312"/>
                <w:sz w:val="20"/>
                <w:color w:val="000000"/>
              </w:rPr>
              <w:t>或</w:t>
            </w:r>
            <w:r>
              <w:rPr>
                <w:rFonts w:ascii="仿宋_GB2312" w:hAnsi="仿宋_GB2312" w:cs="仿宋_GB2312" w:eastAsia="仿宋_GB2312"/>
                <w:sz w:val="20"/>
                <w:color w:val="000000"/>
              </w:rPr>
              <w:t>药师复核。</w:t>
            </w:r>
          </w:p>
          <w:p>
            <w:pPr>
              <w:pStyle w:val="null3"/>
              <w:jc w:val="both"/>
            </w:pPr>
            <w:r>
              <w:rPr>
                <w:rFonts w:ascii="仿宋_GB2312" w:hAnsi="仿宋_GB2312" w:cs="仿宋_GB2312" w:eastAsia="仿宋_GB2312"/>
                <w:sz w:val="20"/>
                <w:color w:val="000000"/>
              </w:rPr>
              <w:t>1.1.6.5 药师不在岗时，系统自动记录问题处方，待调剂药师发药时，通过扫码获取处方具体问题并进行人工复核。</w:t>
            </w:r>
          </w:p>
          <w:p>
            <w:pPr>
              <w:pStyle w:val="null3"/>
              <w:jc w:val="both"/>
            </w:pPr>
            <w:r>
              <w:rPr>
                <w:rFonts w:ascii="仿宋_GB2312" w:hAnsi="仿宋_GB2312" w:cs="仿宋_GB2312" w:eastAsia="仿宋_GB2312"/>
                <w:sz w:val="20"/>
                <w:color w:val="000000"/>
              </w:rPr>
              <w:t xml:space="preserve">1.1.7 </w:t>
            </w:r>
            <w:r>
              <w:rPr>
                <w:rFonts w:ascii="仿宋_GB2312" w:hAnsi="仿宋_GB2312" w:cs="仿宋_GB2312" w:eastAsia="仿宋_GB2312"/>
                <w:sz w:val="20"/>
                <w:color w:val="000000"/>
              </w:rPr>
              <w:t>审方干预自定义</w:t>
            </w:r>
          </w:p>
          <w:p>
            <w:pPr>
              <w:pStyle w:val="null3"/>
              <w:jc w:val="both"/>
            </w:pPr>
            <w:r>
              <w:rPr>
                <w:rFonts w:ascii="仿宋_GB2312" w:hAnsi="仿宋_GB2312" w:cs="仿宋_GB2312" w:eastAsia="仿宋_GB2312"/>
                <w:sz w:val="20"/>
                <w:color w:val="000000"/>
              </w:rPr>
              <w:t>1.1.7</w:t>
            </w:r>
            <w:r>
              <w:rPr>
                <w:rFonts w:ascii="仿宋_GB2312" w:hAnsi="仿宋_GB2312" w:cs="仿宋_GB2312" w:eastAsia="仿宋_GB2312"/>
                <w:sz w:val="20"/>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用户可将任意科室、医生、患者、疾病、药品设置为重点关注，可按科室、医生、患者、疾病、药品、问题类型、警示级别多条件组合设置重点关注，包含重点关注信息的处方由药师进行全面审查。</w:t>
            </w:r>
          </w:p>
          <w:p>
            <w:pPr>
              <w:pStyle w:val="null3"/>
              <w:jc w:val="both"/>
            </w:pPr>
            <w:r>
              <w:rPr>
                <w:rFonts w:ascii="仿宋_GB2312" w:hAnsi="仿宋_GB2312" w:cs="仿宋_GB2312" w:eastAsia="仿宋_GB2312"/>
                <w:sz w:val="20"/>
                <w:color w:val="000000"/>
              </w:rPr>
              <w:t>1.1.7</w:t>
            </w:r>
            <w:r>
              <w:rPr>
                <w:rFonts w:ascii="仿宋_GB2312" w:hAnsi="仿宋_GB2312" w:cs="仿宋_GB2312" w:eastAsia="仿宋_GB2312"/>
                <w:sz w:val="20"/>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用户可设置双盲审方、单盲审方，在需要时隐藏医生、药师信息。</w:t>
            </w:r>
          </w:p>
          <w:p>
            <w:pPr>
              <w:pStyle w:val="null3"/>
              <w:jc w:val="both"/>
            </w:pPr>
            <w:r>
              <w:rPr>
                <w:rFonts w:ascii="仿宋_GB2312" w:hAnsi="仿宋_GB2312" w:cs="仿宋_GB2312" w:eastAsia="仿宋_GB2312"/>
                <w:sz w:val="20"/>
                <w:color w:val="000000"/>
              </w:rPr>
              <w:t>1.1.7</w:t>
            </w:r>
            <w:r>
              <w:rPr>
                <w:rFonts w:ascii="仿宋_GB2312" w:hAnsi="仿宋_GB2312" w:cs="仿宋_GB2312" w:eastAsia="仿宋_GB2312"/>
                <w:sz w:val="20"/>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用户可根据使用习惯进行个性化设置，如任务提示音（支持上传），处置按钮顺序及样式，审方界面字体及颜色，发送给医生的常用语等。</w:t>
            </w:r>
          </w:p>
          <w:p>
            <w:pPr>
              <w:pStyle w:val="null3"/>
              <w:jc w:val="both"/>
            </w:pPr>
            <w:r>
              <w:rPr>
                <w:rFonts w:ascii="仿宋_GB2312" w:hAnsi="仿宋_GB2312" w:cs="仿宋_GB2312" w:eastAsia="仿宋_GB2312"/>
                <w:sz w:val="20"/>
                <w:color w:val="000000"/>
              </w:rPr>
              <w:t>1.1.7</w:t>
            </w:r>
            <w:r>
              <w:rPr>
                <w:rFonts w:ascii="仿宋_GB2312" w:hAnsi="仿宋_GB2312" w:cs="仿宋_GB2312" w:eastAsia="仿宋_GB2312"/>
                <w:sz w:val="20"/>
                <w:color w:val="000000"/>
              </w:rPr>
              <w:t>.4</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用户可设置自动干预模式，并设置医生填写用药理由的模式。药师不在岗时，系统自动干预，医生填写用药理由后方可执行，支持全院和分科室设置。</w:t>
            </w:r>
          </w:p>
          <w:p>
            <w:pPr>
              <w:pStyle w:val="null3"/>
              <w:jc w:val="both"/>
            </w:pPr>
            <w:r>
              <w:rPr>
                <w:rFonts w:ascii="仿宋_GB2312" w:hAnsi="仿宋_GB2312" w:cs="仿宋_GB2312" w:eastAsia="仿宋_GB2312"/>
                <w:sz w:val="20"/>
                <w:color w:val="000000"/>
              </w:rPr>
              <w:t xml:space="preserve">1.1.8 </w:t>
            </w:r>
            <w:r>
              <w:rPr>
                <w:rFonts w:ascii="仿宋_GB2312" w:hAnsi="仿宋_GB2312" w:cs="仿宋_GB2312" w:eastAsia="仿宋_GB2312"/>
                <w:sz w:val="20"/>
                <w:color w:val="000000"/>
              </w:rPr>
              <w:t>患者信息查询</w:t>
            </w:r>
          </w:p>
          <w:p>
            <w:pPr>
              <w:pStyle w:val="null3"/>
              <w:jc w:val="both"/>
            </w:pPr>
            <w:r>
              <w:rPr>
                <w:rFonts w:ascii="仿宋_GB2312" w:hAnsi="仿宋_GB2312" w:cs="仿宋_GB2312" w:eastAsia="仿宋_GB2312"/>
                <w:sz w:val="20"/>
                <w:color w:val="000000"/>
              </w:rPr>
              <w:t>1.1.8</w:t>
            </w:r>
            <w:r>
              <w:rPr>
                <w:rFonts w:ascii="仿宋_GB2312" w:hAnsi="仿宋_GB2312" w:cs="仿宋_GB2312" w:eastAsia="仿宋_GB2312"/>
                <w:sz w:val="20"/>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药师审方界面：可查看患者基本信息、患者过敏史、手术信息、检验检查信息、会诊信息、病程记录，检验结果异常项可单独显示。可链接</w:t>
            </w:r>
            <w:r>
              <w:rPr>
                <w:rFonts w:ascii="仿宋_GB2312" w:hAnsi="仿宋_GB2312" w:cs="仿宋_GB2312" w:eastAsia="仿宋_GB2312"/>
                <w:sz w:val="20"/>
                <w:color w:val="000000"/>
              </w:rPr>
              <w:t>EMR系统查看患者详细信息。</w:t>
            </w:r>
          </w:p>
          <w:p>
            <w:pPr>
              <w:pStyle w:val="null3"/>
              <w:jc w:val="both"/>
            </w:pPr>
            <w:r>
              <w:rPr>
                <w:rFonts w:ascii="仿宋_GB2312" w:hAnsi="仿宋_GB2312" w:cs="仿宋_GB2312" w:eastAsia="仿宋_GB2312"/>
                <w:sz w:val="20"/>
                <w:color w:val="000000"/>
              </w:rPr>
              <w:t>1.1.8.</w:t>
            </w:r>
            <w:r>
              <w:rPr>
                <w:rFonts w:ascii="仿宋_GB2312" w:hAnsi="仿宋_GB2312" w:cs="仿宋_GB2312" w:eastAsia="仿宋_GB2312"/>
                <w:sz w:val="20"/>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可标记门诊特殊病人。</w:t>
            </w:r>
          </w:p>
          <w:p>
            <w:pPr>
              <w:pStyle w:val="null3"/>
              <w:jc w:val="both"/>
            </w:pPr>
            <w:r>
              <w:rPr>
                <w:rFonts w:ascii="仿宋_GB2312" w:hAnsi="仿宋_GB2312" w:cs="仿宋_GB2312" w:eastAsia="仿宋_GB2312"/>
                <w:sz w:val="20"/>
                <w:color w:val="000000"/>
              </w:rPr>
              <w:t>1.1.8</w:t>
            </w:r>
            <w:r>
              <w:rPr>
                <w:rFonts w:ascii="仿宋_GB2312" w:hAnsi="仿宋_GB2312" w:cs="仿宋_GB2312" w:eastAsia="仿宋_GB2312"/>
                <w:sz w:val="20"/>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药师审查时可查看当前患者的其他处方。</w:t>
            </w:r>
          </w:p>
          <w:p>
            <w:pPr>
              <w:pStyle w:val="null3"/>
              <w:jc w:val="both"/>
            </w:pPr>
            <w:r>
              <w:rPr>
                <w:rFonts w:ascii="仿宋_GB2312" w:hAnsi="仿宋_GB2312" w:cs="仿宋_GB2312" w:eastAsia="仿宋_GB2312"/>
                <w:sz w:val="20"/>
                <w:color w:val="000000"/>
              </w:rPr>
              <w:t xml:space="preserve">1.1.9 </w:t>
            </w:r>
            <w:r>
              <w:rPr>
                <w:rFonts w:ascii="仿宋_GB2312" w:hAnsi="仿宋_GB2312" w:cs="仿宋_GB2312" w:eastAsia="仿宋_GB2312"/>
                <w:sz w:val="20"/>
                <w:color w:val="000000"/>
              </w:rPr>
              <w:t>医药信息查询</w:t>
            </w:r>
          </w:p>
          <w:p>
            <w:pPr>
              <w:pStyle w:val="null3"/>
              <w:jc w:val="both"/>
            </w:pPr>
            <w:r>
              <w:rPr>
                <w:rFonts w:ascii="仿宋_GB2312" w:hAnsi="仿宋_GB2312" w:cs="仿宋_GB2312" w:eastAsia="仿宋_GB2312"/>
                <w:sz w:val="20"/>
                <w:color w:val="000000"/>
              </w:rPr>
              <w:t>1.1.9.</w:t>
            </w:r>
            <w:r>
              <w:rPr>
                <w:rFonts w:ascii="仿宋_GB2312" w:hAnsi="仿宋_GB2312" w:cs="仿宋_GB2312" w:eastAsia="仿宋_GB2312"/>
                <w:sz w:val="20"/>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药物信息参考</w:t>
            </w:r>
            <w:r>
              <w:rPr>
                <w:rFonts w:ascii="仿宋_GB2312" w:hAnsi="仿宋_GB2312" w:cs="仿宋_GB2312" w:eastAsia="仿宋_GB2312"/>
                <w:sz w:val="20"/>
                <w:color w:val="000000"/>
              </w:rPr>
              <w:t>：</w:t>
            </w:r>
            <w:r>
              <w:rPr>
                <w:rFonts w:ascii="仿宋_GB2312" w:hAnsi="仿宋_GB2312" w:cs="仿宋_GB2312" w:eastAsia="仿宋_GB2312"/>
                <w:sz w:val="20"/>
                <w:color w:val="000000"/>
              </w:rPr>
              <w:t>为医护人员提供权威的临床药物信息查询途径，帮助临床专业人员了解和掌握最新的医药专业知识和资讯，为医生提供权威的临床用药决策信息支持。</w:t>
            </w:r>
          </w:p>
          <w:p>
            <w:pPr>
              <w:pStyle w:val="null3"/>
              <w:jc w:val="both"/>
            </w:pPr>
            <w:r>
              <w:rPr>
                <w:rFonts w:ascii="仿宋_GB2312" w:hAnsi="仿宋_GB2312" w:cs="仿宋_GB2312" w:eastAsia="仿宋_GB2312"/>
                <w:sz w:val="20"/>
                <w:color w:val="000000"/>
              </w:rPr>
              <w:t>1.1.9.</w:t>
            </w:r>
            <w:r>
              <w:rPr>
                <w:rFonts w:ascii="仿宋_GB2312" w:hAnsi="仿宋_GB2312" w:cs="仿宋_GB2312" w:eastAsia="仿宋_GB2312"/>
                <w:sz w:val="20"/>
                <w:color w:val="000000"/>
              </w:rPr>
              <w:t>1.1 提供国内外上市药品的详细临床用药信息，内容包括药物的各种名称、临床应用、用法与用量、注意事项、不良反应、药物相互作用、给药说明、药理、制剂与规格等信息。</w:t>
            </w:r>
          </w:p>
          <w:p>
            <w:pPr>
              <w:pStyle w:val="null3"/>
              <w:jc w:val="both"/>
            </w:pPr>
            <w:r>
              <w:rPr>
                <w:rFonts w:ascii="仿宋_GB2312" w:hAnsi="仿宋_GB2312" w:cs="仿宋_GB2312" w:eastAsia="仿宋_GB2312"/>
                <w:sz w:val="20"/>
                <w:color w:val="000000"/>
              </w:rPr>
              <w:t>1.1.9.</w:t>
            </w:r>
            <w:r>
              <w:rPr>
                <w:rFonts w:ascii="仿宋_GB2312" w:hAnsi="仿宋_GB2312" w:cs="仿宋_GB2312" w:eastAsia="仿宋_GB2312"/>
                <w:sz w:val="20"/>
                <w:color w:val="000000"/>
              </w:rPr>
              <w:t>1.2 可查看特殊人群(老人、儿童、妊娠期妇女、哺乳期妇女)及特殊疾病状态(如肝功能不全、肾功能不全、心力衰竭等)患者用药的注事项。</w:t>
            </w:r>
          </w:p>
          <w:p>
            <w:pPr>
              <w:pStyle w:val="null3"/>
              <w:jc w:val="both"/>
            </w:pPr>
            <w:r>
              <w:rPr>
                <w:rFonts w:ascii="仿宋_GB2312" w:hAnsi="仿宋_GB2312" w:cs="仿宋_GB2312" w:eastAsia="仿宋_GB2312"/>
                <w:sz w:val="20"/>
                <w:color w:val="000000"/>
              </w:rPr>
              <w:t>1.1.9.</w:t>
            </w:r>
            <w:r>
              <w:rPr>
                <w:rFonts w:ascii="仿宋_GB2312" w:hAnsi="仿宋_GB2312" w:cs="仿宋_GB2312" w:eastAsia="仿宋_GB2312"/>
                <w:sz w:val="20"/>
                <w:color w:val="000000"/>
              </w:rPr>
              <w:t>1.3 提供与药物临床应用密切相关的信息如不良反应处理方法、药物对检验值或诊断的影响等。</w:t>
            </w:r>
          </w:p>
          <w:p>
            <w:pPr>
              <w:pStyle w:val="null3"/>
              <w:jc w:val="both"/>
            </w:pPr>
            <w:r>
              <w:rPr>
                <w:rFonts w:ascii="仿宋_GB2312" w:hAnsi="仿宋_GB2312" w:cs="仿宋_GB2312" w:eastAsia="仿宋_GB2312"/>
                <w:sz w:val="20"/>
                <w:color w:val="000000"/>
              </w:rPr>
              <w:t>1.1.9</w:t>
            </w:r>
            <w:r>
              <w:rPr>
                <w:rFonts w:ascii="仿宋_GB2312" w:hAnsi="仿宋_GB2312" w:cs="仿宋_GB2312" w:eastAsia="仿宋_GB2312"/>
                <w:sz w:val="20"/>
                <w:color w:val="000000"/>
              </w:rPr>
              <w:t>.2 药品说明书</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提供国家药品监督管理局批准的厂家药品说明书，应可查看国家药品监督管理局发布的说明书修订通知。还应提供高级检索的功能。</w:t>
            </w:r>
          </w:p>
          <w:p>
            <w:pPr>
              <w:pStyle w:val="null3"/>
              <w:jc w:val="both"/>
            </w:pPr>
            <w:r>
              <w:rPr>
                <w:rFonts w:ascii="仿宋_GB2312" w:hAnsi="仿宋_GB2312" w:cs="仿宋_GB2312" w:eastAsia="仿宋_GB2312"/>
                <w:sz w:val="20"/>
                <w:color w:val="000000"/>
              </w:rPr>
              <w:t>1.1.9</w:t>
            </w:r>
            <w:r>
              <w:rPr>
                <w:rFonts w:ascii="仿宋_GB2312" w:hAnsi="仿宋_GB2312" w:cs="仿宋_GB2312" w:eastAsia="仿宋_GB2312"/>
                <w:sz w:val="20"/>
                <w:color w:val="000000"/>
              </w:rPr>
              <w:t>.3 妊娠哺乳用药</w:t>
            </w:r>
            <w:r>
              <w:rPr>
                <w:rFonts w:ascii="仿宋_GB2312" w:hAnsi="仿宋_GB2312" w:cs="仿宋_GB2312" w:eastAsia="仿宋_GB2312"/>
                <w:sz w:val="20"/>
                <w:color w:val="000000"/>
              </w:rPr>
              <w:t>，</w:t>
            </w:r>
            <w:r>
              <w:rPr>
                <w:rFonts w:ascii="仿宋_GB2312" w:hAnsi="仿宋_GB2312" w:cs="仿宋_GB2312" w:eastAsia="仿宋_GB2312"/>
                <w:sz w:val="20"/>
                <w:color w:val="000000"/>
              </w:rPr>
              <w:t>可</w:t>
            </w:r>
            <w:r>
              <w:rPr>
                <w:rFonts w:ascii="仿宋_GB2312" w:hAnsi="仿宋_GB2312" w:cs="仿宋_GB2312" w:eastAsia="仿宋_GB2312"/>
                <w:sz w:val="20"/>
                <w:color w:val="000000"/>
              </w:rPr>
              <w:t>基于循证医学原则评价国内外药品说明书、专业数据库、专著、研究文献，对妊娠期和哺乳期药物暴露风险进行评估，提出用药建议。提供药代动力学、文献报道等供临床参考。所有信息均应提供参考文献。</w:t>
            </w:r>
          </w:p>
          <w:p>
            <w:pPr>
              <w:pStyle w:val="null3"/>
              <w:jc w:val="both"/>
            </w:pPr>
            <w:r>
              <w:rPr>
                <w:rFonts w:ascii="仿宋_GB2312" w:hAnsi="仿宋_GB2312" w:cs="仿宋_GB2312" w:eastAsia="仿宋_GB2312"/>
                <w:sz w:val="20"/>
                <w:color w:val="000000"/>
              </w:rPr>
              <w:t>1.1.9</w:t>
            </w:r>
            <w:r>
              <w:rPr>
                <w:rFonts w:ascii="仿宋_GB2312" w:hAnsi="仿宋_GB2312" w:cs="仿宋_GB2312" w:eastAsia="仿宋_GB2312"/>
                <w:sz w:val="20"/>
                <w:color w:val="000000"/>
              </w:rPr>
              <w:t>.4 FDA妊娠用药安全性分级</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可</w:t>
            </w:r>
            <w:r>
              <w:rPr>
                <w:rFonts w:ascii="仿宋_GB2312" w:hAnsi="仿宋_GB2312" w:cs="仿宋_GB2312" w:eastAsia="仿宋_GB2312"/>
                <w:sz w:val="20"/>
                <w:color w:val="000000"/>
              </w:rPr>
              <w:t>提供美国</w:t>
            </w:r>
            <w:r>
              <w:rPr>
                <w:rFonts w:ascii="仿宋_GB2312" w:hAnsi="仿宋_GB2312" w:cs="仿宋_GB2312" w:eastAsia="仿宋_GB2312"/>
                <w:sz w:val="20"/>
                <w:color w:val="000000"/>
              </w:rPr>
              <w:t>FDA根据药物对动物和妊娠期妇女致畸危险而作的妊娠期用药安全性分级，可通过药理分类或药名检索的方式实现，查询范围为临床各科室常用药物。</w:t>
            </w:r>
          </w:p>
          <w:p>
            <w:pPr>
              <w:pStyle w:val="null3"/>
              <w:jc w:val="both"/>
            </w:pPr>
            <w:r>
              <w:rPr>
                <w:rFonts w:ascii="仿宋_GB2312" w:hAnsi="仿宋_GB2312" w:cs="仿宋_GB2312" w:eastAsia="仿宋_GB2312"/>
                <w:sz w:val="20"/>
                <w:color w:val="000000"/>
              </w:rPr>
              <w:t>1.1.9</w:t>
            </w:r>
            <w:r>
              <w:rPr>
                <w:rFonts w:ascii="仿宋_GB2312" w:hAnsi="仿宋_GB2312" w:cs="仿宋_GB2312" w:eastAsia="仿宋_GB2312"/>
                <w:sz w:val="20"/>
                <w:color w:val="000000"/>
              </w:rPr>
              <w:t>.5 中医药</w:t>
            </w:r>
            <w:r>
              <w:rPr>
                <w:rFonts w:ascii="仿宋_GB2312" w:hAnsi="仿宋_GB2312" w:cs="仿宋_GB2312" w:eastAsia="仿宋_GB2312"/>
                <w:sz w:val="20"/>
                <w:color w:val="000000"/>
              </w:rPr>
              <w:t>，</w:t>
            </w:r>
            <w:r>
              <w:rPr>
                <w:rFonts w:ascii="仿宋_GB2312" w:hAnsi="仿宋_GB2312" w:cs="仿宋_GB2312" w:eastAsia="仿宋_GB2312"/>
                <w:sz w:val="20"/>
                <w:color w:val="000000"/>
              </w:rPr>
              <w:t>可</w:t>
            </w:r>
            <w:r>
              <w:rPr>
                <w:rFonts w:ascii="仿宋_GB2312" w:hAnsi="仿宋_GB2312" w:cs="仿宋_GB2312" w:eastAsia="仿宋_GB2312"/>
                <w:sz w:val="20"/>
                <w:color w:val="000000"/>
              </w:rPr>
              <w:t>提供中药材、中医方剂等中医药信息内容。</w:t>
            </w:r>
          </w:p>
          <w:p>
            <w:pPr>
              <w:pStyle w:val="null3"/>
              <w:jc w:val="both"/>
            </w:pPr>
            <w:r>
              <w:rPr>
                <w:rFonts w:ascii="仿宋_GB2312" w:hAnsi="仿宋_GB2312" w:cs="仿宋_GB2312" w:eastAsia="仿宋_GB2312"/>
                <w:sz w:val="20"/>
                <w:color w:val="000000"/>
              </w:rPr>
              <w:t>1.1.9</w:t>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超说明书用药</w:t>
            </w:r>
            <w:r>
              <w:rPr>
                <w:rFonts w:ascii="仿宋_GB2312" w:hAnsi="仿宋_GB2312" w:cs="仿宋_GB2312" w:eastAsia="仿宋_GB2312"/>
                <w:sz w:val="20"/>
                <w:color w:val="000000"/>
              </w:rPr>
              <w:t>，</w:t>
            </w:r>
            <w:r>
              <w:rPr>
                <w:rFonts w:ascii="仿宋_GB2312" w:hAnsi="仿宋_GB2312" w:cs="仿宋_GB2312" w:eastAsia="仿宋_GB2312"/>
                <w:sz w:val="20"/>
                <w:color w:val="000000"/>
              </w:rPr>
              <w:t>可</w:t>
            </w:r>
            <w:r>
              <w:rPr>
                <w:rFonts w:ascii="仿宋_GB2312" w:hAnsi="仿宋_GB2312" w:cs="仿宋_GB2312" w:eastAsia="仿宋_GB2312"/>
                <w:sz w:val="20"/>
                <w:color w:val="000000"/>
              </w:rPr>
              <w:t>提供权威的超说明书用药信息，内容应包括用药类型、适应症、用法用量、循证医学证据等。</w:t>
            </w:r>
          </w:p>
          <w:p>
            <w:pPr>
              <w:pStyle w:val="null3"/>
              <w:jc w:val="both"/>
            </w:pPr>
            <w:r>
              <w:rPr>
                <w:rFonts w:ascii="仿宋_GB2312" w:hAnsi="仿宋_GB2312" w:cs="仿宋_GB2312" w:eastAsia="仿宋_GB2312"/>
                <w:sz w:val="20"/>
                <w:color w:val="000000"/>
              </w:rPr>
              <w:t>1.1.9</w:t>
            </w: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儿童用药</w:t>
            </w:r>
            <w:r>
              <w:rPr>
                <w:rFonts w:ascii="仿宋_GB2312" w:hAnsi="仿宋_GB2312" w:cs="仿宋_GB2312" w:eastAsia="仿宋_GB2312"/>
                <w:sz w:val="20"/>
                <w:color w:val="000000"/>
              </w:rPr>
              <w:t>，</w:t>
            </w:r>
            <w:r>
              <w:rPr>
                <w:rFonts w:ascii="仿宋_GB2312" w:hAnsi="仿宋_GB2312" w:cs="仿宋_GB2312" w:eastAsia="仿宋_GB2312"/>
                <w:sz w:val="20"/>
                <w:color w:val="000000"/>
              </w:rPr>
              <w:t>可</w:t>
            </w:r>
            <w:r>
              <w:rPr>
                <w:rFonts w:ascii="仿宋_GB2312" w:hAnsi="仿宋_GB2312" w:cs="仿宋_GB2312" w:eastAsia="仿宋_GB2312"/>
                <w:sz w:val="20"/>
                <w:color w:val="000000"/>
              </w:rPr>
              <w:t>提供婴幼儿或儿童的用药相关信息，内容应包括儿童用药的注意事项、用法用量、药代动力学等。并提供婴幼儿或儿童用药剂量计算功能。</w:t>
            </w:r>
          </w:p>
          <w:p>
            <w:pPr>
              <w:pStyle w:val="null3"/>
              <w:jc w:val="both"/>
            </w:pPr>
            <w:r>
              <w:rPr>
                <w:rFonts w:ascii="仿宋_GB2312" w:hAnsi="仿宋_GB2312" w:cs="仿宋_GB2312" w:eastAsia="仿宋_GB2312"/>
                <w:sz w:val="20"/>
                <w:color w:val="000000"/>
              </w:rPr>
              <w:t>1.1.9</w:t>
            </w: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药物相互作用</w:t>
            </w:r>
            <w:r>
              <w:rPr>
                <w:rFonts w:ascii="仿宋_GB2312" w:hAnsi="仿宋_GB2312" w:cs="仿宋_GB2312" w:eastAsia="仿宋_GB2312"/>
                <w:sz w:val="20"/>
                <w:color w:val="000000"/>
              </w:rPr>
              <w:t>及配伍禁忌</w:t>
            </w:r>
            <w:r>
              <w:rPr>
                <w:rFonts w:ascii="仿宋_GB2312" w:hAnsi="仿宋_GB2312" w:cs="仿宋_GB2312" w:eastAsia="仿宋_GB2312"/>
                <w:sz w:val="20"/>
                <w:color w:val="000000"/>
              </w:rPr>
              <w:t>审查</w:t>
            </w:r>
            <w:r>
              <w:rPr>
                <w:rFonts w:ascii="仿宋_GB2312" w:hAnsi="仿宋_GB2312" w:cs="仿宋_GB2312" w:eastAsia="仿宋_GB2312"/>
                <w:sz w:val="20"/>
                <w:color w:val="000000"/>
              </w:rPr>
              <w:t>，</w:t>
            </w:r>
            <w:r>
              <w:rPr>
                <w:rFonts w:ascii="仿宋_GB2312" w:hAnsi="仿宋_GB2312" w:cs="仿宋_GB2312" w:eastAsia="仿宋_GB2312"/>
                <w:sz w:val="20"/>
                <w:color w:val="000000"/>
              </w:rPr>
              <w:t>可</w:t>
            </w:r>
            <w:r>
              <w:rPr>
                <w:rFonts w:ascii="仿宋_GB2312" w:hAnsi="仿宋_GB2312" w:cs="仿宋_GB2312" w:eastAsia="仿宋_GB2312"/>
                <w:sz w:val="20"/>
                <w:color w:val="000000"/>
              </w:rPr>
              <w:t>提供西药和西药、中药和中药、中药和西药的相互作用信息。</w:t>
            </w:r>
            <w:r>
              <w:rPr>
                <w:rFonts w:ascii="仿宋_GB2312" w:hAnsi="仿宋_GB2312" w:cs="仿宋_GB2312" w:eastAsia="仿宋_GB2312"/>
                <w:sz w:val="20"/>
                <w:color w:val="000000"/>
              </w:rPr>
              <w:t>还</w:t>
            </w:r>
            <w:r>
              <w:rPr>
                <w:rFonts w:ascii="仿宋_GB2312" w:hAnsi="仿宋_GB2312" w:cs="仿宋_GB2312" w:eastAsia="仿宋_GB2312"/>
                <w:sz w:val="20"/>
                <w:color w:val="000000"/>
              </w:rPr>
              <w:t>应提供注射药物配伍的信息，内容包括了注射药物配伍的物理化学变化及药效学变化、支持配伍结论的实验数据等。</w:t>
            </w:r>
          </w:p>
          <w:p>
            <w:pPr>
              <w:pStyle w:val="null3"/>
              <w:jc w:val="both"/>
            </w:pPr>
            <w:r>
              <w:rPr>
                <w:rFonts w:ascii="仿宋_GB2312" w:hAnsi="仿宋_GB2312" w:cs="仿宋_GB2312" w:eastAsia="仿宋_GB2312"/>
                <w:sz w:val="20"/>
                <w:color w:val="000000"/>
              </w:rPr>
              <w:t xml:space="preserve">1.1.10 </w:t>
            </w:r>
            <w:r>
              <w:rPr>
                <w:rFonts w:ascii="仿宋_GB2312" w:hAnsi="仿宋_GB2312" w:cs="仿宋_GB2312" w:eastAsia="仿宋_GB2312"/>
                <w:sz w:val="20"/>
                <w:color w:val="000000"/>
              </w:rPr>
              <w:t>统计分析</w:t>
            </w:r>
          </w:p>
          <w:p>
            <w:pPr>
              <w:pStyle w:val="null3"/>
              <w:jc w:val="both"/>
            </w:pPr>
            <w:r>
              <w:rPr>
                <w:rFonts w:ascii="仿宋_GB2312" w:hAnsi="仿宋_GB2312" w:cs="仿宋_GB2312" w:eastAsia="仿宋_GB2312"/>
                <w:sz w:val="20"/>
                <w:color w:val="000000"/>
              </w:rPr>
              <w:t>1.1.10</w:t>
            </w:r>
            <w:r>
              <w:rPr>
                <w:rFonts w:ascii="仿宋_GB2312" w:hAnsi="仿宋_GB2312" w:cs="仿宋_GB2312" w:eastAsia="仿宋_GB2312"/>
                <w:sz w:val="20"/>
                <w:color w:val="000000"/>
              </w:rPr>
              <w:t>.1可以分别统计门诊、住院任务的审核率、干预率、合格率等重要指标，并可提供统计图。可按照科室、医生、药品、药师、药物类进行干预情况分类统计。</w:t>
            </w:r>
          </w:p>
          <w:p>
            <w:pPr>
              <w:pStyle w:val="null3"/>
              <w:jc w:val="both"/>
            </w:pPr>
            <w:r>
              <w:rPr>
                <w:rFonts w:ascii="仿宋_GB2312" w:hAnsi="仿宋_GB2312" w:cs="仿宋_GB2312" w:eastAsia="仿宋_GB2312"/>
                <w:sz w:val="20"/>
                <w:color w:val="000000"/>
              </w:rPr>
              <w:t>1.1.10</w:t>
            </w:r>
            <w:r>
              <w:rPr>
                <w:rFonts w:ascii="仿宋_GB2312" w:hAnsi="仿宋_GB2312" w:cs="仿宋_GB2312" w:eastAsia="仿宋_GB2312"/>
                <w:sz w:val="20"/>
                <w:color w:val="000000"/>
              </w:rPr>
              <w:t>.2可以统计每个药师的监测时长、审核工作量、干预工作量和干预有效率，并可提供统计图。</w:t>
            </w:r>
          </w:p>
          <w:p>
            <w:pPr>
              <w:pStyle w:val="null3"/>
              <w:jc w:val="both"/>
            </w:pPr>
            <w:r>
              <w:rPr>
                <w:rFonts w:ascii="仿宋_GB2312" w:hAnsi="仿宋_GB2312" w:cs="仿宋_GB2312" w:eastAsia="仿宋_GB2312"/>
                <w:sz w:val="20"/>
                <w:color w:val="000000"/>
              </w:rPr>
              <w:t>1.1.10</w:t>
            </w:r>
            <w:r>
              <w:rPr>
                <w:rFonts w:ascii="仿宋_GB2312" w:hAnsi="仿宋_GB2312" w:cs="仿宋_GB2312" w:eastAsia="仿宋_GB2312"/>
                <w:sz w:val="20"/>
                <w:color w:val="000000"/>
              </w:rPr>
              <w:t>.3可以提供不合理问题统计分析，支持按时间、问题类型、警示等级等条件进行统计，并可生成统计图。</w:t>
            </w:r>
          </w:p>
          <w:p>
            <w:pPr>
              <w:pStyle w:val="null3"/>
              <w:jc w:val="both"/>
            </w:pPr>
            <w:r>
              <w:rPr>
                <w:rFonts w:ascii="仿宋_GB2312" w:hAnsi="仿宋_GB2312" w:cs="仿宋_GB2312" w:eastAsia="仿宋_GB2312"/>
                <w:sz w:val="20"/>
                <w:color w:val="000000"/>
              </w:rPr>
              <w:t>1.2处方点评：</w:t>
            </w:r>
          </w:p>
          <w:p>
            <w:pPr>
              <w:pStyle w:val="null3"/>
              <w:jc w:val="both"/>
            </w:pPr>
            <w:r>
              <w:rPr>
                <w:rFonts w:ascii="仿宋_GB2312" w:hAnsi="仿宋_GB2312" w:cs="仿宋_GB2312" w:eastAsia="仿宋_GB2312"/>
                <w:sz w:val="20"/>
                <w:color w:val="000000"/>
              </w:rPr>
              <w:t>1.2.1具备自动点评与人工点评相结合功能，系统能够根据预设规则自动点评处方，药师可进行人工复核。</w:t>
            </w:r>
          </w:p>
          <w:p>
            <w:pPr>
              <w:pStyle w:val="null3"/>
              <w:jc w:val="both"/>
            </w:pPr>
            <w:r>
              <w:rPr>
                <w:rFonts w:ascii="仿宋_GB2312" w:hAnsi="仿宋_GB2312" w:cs="仿宋_GB2312" w:eastAsia="仿宋_GB2312"/>
                <w:sz w:val="20"/>
                <w:color w:val="000000"/>
              </w:rPr>
              <w:t>1.2.2具备多种点评模式功能，包括门急诊处方点评、住院医嘱点评、专项点评（如抗菌药物、抗肿瘤药物等）。</w:t>
            </w:r>
          </w:p>
          <w:p>
            <w:pPr>
              <w:pStyle w:val="null3"/>
              <w:jc w:val="both"/>
            </w:pPr>
            <w:r>
              <w:rPr>
                <w:rFonts w:ascii="仿宋_GB2312" w:hAnsi="仿宋_GB2312" w:cs="仿宋_GB2312" w:eastAsia="仿宋_GB2312"/>
                <w:sz w:val="20"/>
                <w:color w:val="000000"/>
              </w:rPr>
              <w:t>1.2.3具备点评结果的统计分析功能，生成合理用药报告，帮助医院进行用药管理。</w:t>
            </w:r>
          </w:p>
          <w:p>
            <w:pPr>
              <w:pStyle w:val="null3"/>
              <w:jc w:val="both"/>
            </w:pPr>
            <w:r>
              <w:rPr>
                <w:rFonts w:ascii="仿宋_GB2312" w:hAnsi="仿宋_GB2312" w:cs="仿宋_GB2312" w:eastAsia="仿宋_GB2312"/>
                <w:sz w:val="20"/>
                <w:color w:val="000000"/>
              </w:rPr>
              <w:t>1.2.4具备点评结果的反馈与公示功能，医生可对点评结果进行反馈，药师可进行回复。</w:t>
            </w:r>
          </w:p>
          <w:p>
            <w:pPr>
              <w:pStyle w:val="null3"/>
              <w:jc w:val="both"/>
            </w:pPr>
            <w:r>
              <w:rPr>
                <w:rFonts w:ascii="仿宋_GB2312" w:hAnsi="仿宋_GB2312" w:cs="仿宋_GB2312" w:eastAsia="仿宋_GB2312"/>
                <w:sz w:val="20"/>
                <w:color w:val="000000"/>
              </w:rPr>
              <w:t>1.2.5处方（医嘱）电子化评价，应能对处方（医嘱）用药进行以下程序点评：剂量审查、给药途径审查、相互作用审查、体外注射剂配伍审查、配伍浓度审查、钾离子监测、TPN处方审查、门诊输液审查、禁忌症审查、不良反应审查、特殊人群用药审查、重复用药审查、适应症审查、药物过敏审查、药物检验值审查、规范性审查、医保审查、越权用药审查、围术期用药审查，并提供审查规则自定义功能，使得点评结果更加符合医院实际用药情况。</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1.2.6系统应能实现点评任务分配、点评求助、点评复核、反馈医生、医生申述的闭环管理，并在医生、药师交互环节进行消息提示。点评结果反馈医生或科主任后，医生（工作站）可直接填写申述理由或确认并查看点评结果。</w:t>
            </w:r>
          </w:p>
          <w:p>
            <w:pPr>
              <w:pStyle w:val="null3"/>
              <w:jc w:val="both"/>
            </w:pPr>
            <w:r>
              <w:rPr>
                <w:rFonts w:ascii="仿宋_GB2312" w:hAnsi="仿宋_GB2312" w:cs="仿宋_GB2312" w:eastAsia="仿宋_GB2312"/>
                <w:sz w:val="20"/>
                <w:color w:val="000000"/>
              </w:rPr>
              <w:t>1.2.7系统应能自定义点评模板及点评点，实现个性化点评需求。</w:t>
            </w:r>
          </w:p>
          <w:p>
            <w:pPr>
              <w:pStyle w:val="null3"/>
              <w:jc w:val="both"/>
            </w:pPr>
            <w:r>
              <w:rPr>
                <w:rFonts w:ascii="仿宋_GB2312" w:hAnsi="仿宋_GB2312" w:cs="仿宋_GB2312" w:eastAsia="仿宋_GB2312"/>
                <w:sz w:val="20"/>
                <w:color w:val="000000"/>
              </w:rPr>
              <w:t>1.2.8系统应能自动生成点评相关报表及任务完成情况等管理报表。</w:t>
            </w:r>
          </w:p>
          <w:p>
            <w:pPr>
              <w:pStyle w:val="null3"/>
              <w:jc w:val="both"/>
            </w:pPr>
            <w:r>
              <w:rPr>
                <w:rFonts w:ascii="仿宋_GB2312" w:hAnsi="仿宋_GB2312" w:cs="仿宋_GB2312" w:eastAsia="仿宋_GB2312"/>
                <w:sz w:val="20"/>
                <w:color w:val="000000"/>
              </w:rPr>
              <w:t>1.2.9 系统应包含全处方点评、全医嘱点评、门急诊/住院抗菌药物专项点评、围手术期抗菌药物专项点评、门急诊/住院专项药品点评、门急诊/住院抗肿瘤药物专项点评、住院病人特殊级抗菌药物专项点评、住院病人碳青霉烯类及替加环素专项点评、住院病人人血白蛋白专项点评、门（急）诊/住院中药饮片专项点评、门（急）诊中成药处方专项点评、用药排名医嘱点评、住院用药医嘱点评、出院带药医嘱点评、门（急）诊基本药物专项点评、住院病人肠外营养专项点评、住院病人自备药专项点评、门（急）诊外延处方点评。</w:t>
            </w:r>
          </w:p>
          <w:p>
            <w:pPr>
              <w:pStyle w:val="null3"/>
              <w:jc w:val="both"/>
            </w:pPr>
            <w:r>
              <w:rPr>
                <w:rFonts w:ascii="仿宋_GB2312" w:hAnsi="仿宋_GB2312" w:cs="仿宋_GB2312" w:eastAsia="仿宋_GB2312"/>
                <w:sz w:val="20"/>
                <w:color w:val="000000"/>
              </w:rPr>
              <w:t>1.3 合理用药系统：</w:t>
            </w:r>
          </w:p>
          <w:p>
            <w:pPr>
              <w:pStyle w:val="null3"/>
              <w:jc w:val="both"/>
            </w:pPr>
            <w:r>
              <w:rPr>
                <w:rFonts w:ascii="仿宋_GB2312" w:hAnsi="仿宋_GB2312" w:cs="仿宋_GB2312" w:eastAsia="仿宋_GB2312"/>
                <w:sz w:val="20"/>
                <w:color w:val="000000"/>
              </w:rPr>
              <w:t>1.3.1 提供全面的药学知识库功能，具备药品说明书、药物相互作用、配伍禁忌等查询功能。</w:t>
            </w:r>
          </w:p>
          <w:p>
            <w:pPr>
              <w:pStyle w:val="null3"/>
              <w:jc w:val="both"/>
            </w:pPr>
            <w:r>
              <w:rPr>
                <w:rFonts w:ascii="仿宋_GB2312" w:hAnsi="仿宋_GB2312" w:cs="仿宋_GB2312" w:eastAsia="仿宋_GB2312"/>
                <w:sz w:val="20"/>
                <w:color w:val="000000"/>
              </w:rPr>
              <w:t>1.3.2 具备特殊人群（如儿童、老年人、妊娠期妇女）用药指导功能。</w:t>
            </w:r>
          </w:p>
          <w:p>
            <w:pPr>
              <w:pStyle w:val="null3"/>
              <w:jc w:val="both"/>
            </w:pPr>
            <w:r>
              <w:rPr>
                <w:rFonts w:ascii="仿宋_GB2312" w:hAnsi="仿宋_GB2312" w:cs="仿宋_GB2312" w:eastAsia="仿宋_GB2312"/>
                <w:sz w:val="20"/>
                <w:color w:val="000000"/>
              </w:rPr>
              <w:t>1.3.3 具备抗菌药物、抗肿瘤药物等专项用药管理功能。</w:t>
            </w:r>
          </w:p>
          <w:p>
            <w:pPr>
              <w:pStyle w:val="null3"/>
              <w:jc w:val="both"/>
            </w:pPr>
            <w:r>
              <w:rPr>
                <w:rFonts w:ascii="仿宋_GB2312" w:hAnsi="仿宋_GB2312" w:cs="仿宋_GB2312" w:eastAsia="仿宋_GB2312"/>
                <w:sz w:val="20"/>
                <w:color w:val="000000"/>
              </w:rPr>
              <w:t>1.3.4 具备用药教育，提供通俗易懂的用药指导，帮助患者正确用药功能。</w:t>
            </w:r>
          </w:p>
          <w:p>
            <w:pPr>
              <w:pStyle w:val="null3"/>
              <w:jc w:val="both"/>
            </w:pPr>
            <w:r>
              <w:rPr>
                <w:rFonts w:ascii="仿宋_GB2312" w:hAnsi="仿宋_GB2312" w:cs="仿宋_GB2312" w:eastAsia="仿宋_GB2312"/>
                <w:sz w:val="20"/>
                <w:color w:val="000000"/>
              </w:rPr>
              <w:t>1.3.5 处方（医嘱）用药审查，系统应能对处方（医嘱）用药的剂量、日剂量、累计用量、给药途径、药物相互作用、配伍禁忌、特殊人群用药、性别用药、重复用药、药物过敏等内容进行审查，并提示医生。</w:t>
            </w:r>
          </w:p>
          <w:p>
            <w:pPr>
              <w:pStyle w:val="null3"/>
              <w:jc w:val="both"/>
            </w:pPr>
            <w:r>
              <w:rPr>
                <w:rFonts w:ascii="仿宋_GB2312" w:hAnsi="仿宋_GB2312" w:cs="仿宋_GB2312" w:eastAsia="仿宋_GB2312"/>
                <w:sz w:val="20"/>
                <w:color w:val="000000"/>
              </w:rPr>
              <w:t>1.3.6 药品信息提示，可查看药品相关重要信息，包括完整的药品厂家说明书，禁忌症、特殊人群用药信息、注射药品的滴速信息、中药材信息等。</w:t>
            </w:r>
          </w:p>
          <w:p>
            <w:pPr>
              <w:pStyle w:val="null3"/>
              <w:jc w:val="both"/>
            </w:pPr>
            <w:r>
              <w:rPr>
                <w:rFonts w:ascii="仿宋_GB2312" w:hAnsi="仿宋_GB2312" w:cs="仿宋_GB2312" w:eastAsia="仿宋_GB2312"/>
                <w:sz w:val="20"/>
                <w:color w:val="000000"/>
              </w:rPr>
              <w:t>1.3.7 药品标识信息提示，包括如麻醉药品、精神类药品、医保药品、基本药物、高警示药品、需皮试药品等。</w:t>
            </w:r>
          </w:p>
          <w:p>
            <w:pPr>
              <w:pStyle w:val="null3"/>
              <w:jc w:val="both"/>
            </w:pPr>
            <w:r>
              <w:rPr>
                <w:rFonts w:ascii="仿宋_GB2312" w:hAnsi="仿宋_GB2312" w:cs="仿宋_GB2312" w:eastAsia="仿宋_GB2312"/>
                <w:sz w:val="20"/>
                <w:color w:val="000000"/>
              </w:rPr>
              <w:t>1.3.8专项管控</w:t>
            </w:r>
            <w:r>
              <w:rPr>
                <w:rFonts w:ascii="仿宋_GB2312" w:hAnsi="仿宋_GB2312" w:cs="仿宋_GB2312" w:eastAsia="仿宋_GB2312"/>
                <w:sz w:val="20"/>
                <w:color w:val="000000"/>
              </w:rPr>
              <w:t>针对国家发布的专项点评药品目录进行用药合理性审查。如抗菌药物专项管控、质子泵抑制剂专项管控等。</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1.3.9审查提示及屏蔽，系统应能对剂量、给药途径、药物相互作用、体外注射剂配伍、配伍浓度、禁忌症、不良反应、儿童用药、老人用药、成人用药、性别用药、妊娠期用药、哺乳期用药、药物过敏、重复用药等审查项目进行审查提示屏蔽，支持分门诊、住院、急诊屏蔽，屏蔽后不再对相同问题进行提示。</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1.3.10审查规则自定义，系统可以提供多种自定义方式，如适应症、剂量、用法用量、性别、年龄、等规则的维护，可查询药品、科室以及各模块的自定义规则。</w:t>
            </w:r>
          </w:p>
          <w:p>
            <w:pPr>
              <w:pStyle w:val="null3"/>
              <w:jc w:val="both"/>
            </w:pPr>
            <w:r>
              <w:rPr>
                <w:rFonts w:ascii="仿宋_GB2312" w:hAnsi="仿宋_GB2312" w:cs="仿宋_GB2312" w:eastAsia="仿宋_GB2312"/>
                <w:sz w:val="20"/>
                <w:color w:val="000000"/>
              </w:rPr>
              <w:t>1.3.11统计分析，可以对问题处方（医嘱）进行保存、查询，对不合理问题及用药理由进行评估和统计分析。</w:t>
            </w:r>
          </w:p>
          <w:p>
            <w:pPr>
              <w:pStyle w:val="null3"/>
              <w:jc w:val="both"/>
            </w:pPr>
            <w:r>
              <w:rPr>
                <w:rFonts w:ascii="仿宋_GB2312" w:hAnsi="仿宋_GB2312" w:cs="仿宋_GB2312" w:eastAsia="仿宋_GB2312"/>
                <w:sz w:val="20"/>
                <w:color w:val="000000"/>
              </w:rPr>
              <w:t>2.技术参数要求：</w:t>
            </w:r>
          </w:p>
          <w:p>
            <w:pPr>
              <w:pStyle w:val="null3"/>
              <w:jc w:val="both"/>
            </w:pPr>
            <w:r>
              <w:rPr>
                <w:rFonts w:ascii="仿宋_GB2312" w:hAnsi="仿宋_GB2312" w:cs="仿宋_GB2312" w:eastAsia="仿宋_GB2312"/>
                <w:sz w:val="20"/>
                <w:color w:val="000000"/>
              </w:rPr>
              <w:t>2.1 系统架构：</w:t>
            </w:r>
          </w:p>
          <w:p>
            <w:pPr>
              <w:pStyle w:val="null3"/>
              <w:jc w:val="both"/>
            </w:pPr>
            <w:r>
              <w:rPr>
                <w:rFonts w:ascii="仿宋_GB2312" w:hAnsi="仿宋_GB2312" w:cs="仿宋_GB2312" w:eastAsia="仿宋_GB2312"/>
                <w:sz w:val="20"/>
                <w:color w:val="000000"/>
              </w:rPr>
              <w:t>系统应支持高并发、高可用性，确保系统</w:t>
            </w:r>
            <w:r>
              <w:rPr>
                <w:rFonts w:ascii="仿宋_GB2312" w:hAnsi="仿宋_GB2312" w:cs="仿宋_GB2312" w:eastAsia="仿宋_GB2312"/>
                <w:sz w:val="20"/>
                <w:color w:val="000000"/>
              </w:rPr>
              <w:t>迅速响应和</w:t>
            </w:r>
            <w:r>
              <w:rPr>
                <w:rFonts w:ascii="仿宋_GB2312" w:hAnsi="仿宋_GB2312" w:cs="仿宋_GB2312" w:eastAsia="仿宋_GB2312"/>
                <w:sz w:val="20"/>
                <w:color w:val="000000"/>
              </w:rPr>
              <w:t>稳定运行。</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2</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数据安全：系统应具备数据加密、传输加密、备份与恢复功能，确保数据的安全性。</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3</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性能要求：系统应具备高可用性，确保</w:t>
            </w:r>
            <w:r>
              <w:rPr>
                <w:rFonts w:ascii="仿宋_GB2312" w:hAnsi="仿宋_GB2312" w:cs="仿宋_GB2312" w:eastAsia="仿宋_GB2312"/>
                <w:sz w:val="20"/>
                <w:color w:val="000000"/>
              </w:rPr>
              <w:t>7*24小时不间断运行。具备数据的实时同步与备份功能，确保数据的一致性与完整性。</w:t>
            </w:r>
          </w:p>
          <w:p>
            <w:pPr>
              <w:pStyle w:val="null3"/>
              <w:jc w:val="both"/>
            </w:pPr>
            <w:r>
              <w:rPr>
                <w:rFonts w:ascii="仿宋_GB2312" w:hAnsi="仿宋_GB2312" w:cs="仿宋_GB2312" w:eastAsia="仿宋_GB2312"/>
                <w:sz w:val="20"/>
                <w:color w:val="000000"/>
              </w:rPr>
              <w:t>3.系统集成要求：</w:t>
            </w:r>
          </w:p>
          <w:p>
            <w:pPr>
              <w:pStyle w:val="null3"/>
              <w:jc w:val="both"/>
            </w:pPr>
            <w:r>
              <w:rPr>
                <w:rFonts w:ascii="仿宋_GB2312" w:hAnsi="仿宋_GB2312" w:cs="仿宋_GB2312" w:eastAsia="仿宋_GB2312"/>
                <w:sz w:val="20"/>
                <w:color w:val="000000"/>
              </w:rPr>
              <w:t>为保证功能完整性和业务流畅性，系统需与包括且不限于以下系统对接：</w:t>
            </w:r>
          </w:p>
          <w:p>
            <w:pPr>
              <w:pStyle w:val="null3"/>
              <w:jc w:val="both"/>
            </w:pPr>
            <w:r>
              <w:rPr>
                <w:rFonts w:ascii="仿宋_GB2312" w:hAnsi="仿宋_GB2312" w:cs="仿宋_GB2312" w:eastAsia="仿宋_GB2312"/>
                <w:sz w:val="20"/>
                <w:color w:val="000000"/>
              </w:rPr>
              <w:t>3.1 与HIS系统集成：系统应与</w:t>
            </w:r>
            <w:r>
              <w:rPr>
                <w:rFonts w:ascii="仿宋_GB2312" w:hAnsi="仿宋_GB2312" w:cs="仿宋_GB2312" w:eastAsia="仿宋_GB2312"/>
                <w:sz w:val="20"/>
                <w:color w:val="000000"/>
              </w:rPr>
              <w:t>采购人</w:t>
            </w:r>
            <w:r>
              <w:rPr>
                <w:rFonts w:ascii="仿宋_GB2312" w:hAnsi="仿宋_GB2312" w:cs="仿宋_GB2312" w:eastAsia="仿宋_GB2312"/>
                <w:sz w:val="20"/>
                <w:color w:val="000000"/>
              </w:rPr>
              <w:t>HIS系统无缝对接，实现处方数据的实时传输与审核。</w:t>
            </w:r>
          </w:p>
          <w:p>
            <w:pPr>
              <w:pStyle w:val="null3"/>
              <w:jc w:val="both"/>
            </w:pPr>
            <w:r>
              <w:rPr>
                <w:rFonts w:ascii="仿宋_GB2312" w:hAnsi="仿宋_GB2312" w:cs="仿宋_GB2312" w:eastAsia="仿宋_GB2312"/>
                <w:sz w:val="20"/>
                <w:color w:val="000000"/>
              </w:rPr>
              <w:t>3.2 与电子病历系统集成：系统应与电子病历系统集成，具备患者病历信息的实时调取功能，确保用药合理性。</w:t>
            </w:r>
          </w:p>
          <w:p>
            <w:pPr>
              <w:pStyle w:val="null3"/>
              <w:jc w:val="both"/>
            </w:pPr>
            <w:r>
              <w:rPr>
                <w:rFonts w:ascii="仿宋_GB2312" w:hAnsi="仿宋_GB2312" w:cs="仿宋_GB2312" w:eastAsia="仿宋_GB2312"/>
                <w:sz w:val="20"/>
                <w:color w:val="000000"/>
              </w:rPr>
              <w:t>3.3 与药房系统集成：系统应与药房系统集成，具备处方发药前的二次审核功能，确保用药安全。</w:t>
            </w:r>
          </w:p>
          <w:p>
            <w:pPr>
              <w:pStyle w:val="null3"/>
              <w:jc w:val="both"/>
            </w:pPr>
            <w:r>
              <w:rPr>
                <w:rFonts w:ascii="仿宋_GB2312" w:hAnsi="仿宋_GB2312" w:cs="仿宋_GB2312" w:eastAsia="仿宋_GB2312"/>
                <w:sz w:val="20"/>
                <w:color w:val="000000"/>
              </w:rPr>
              <w:t>3.4 与检验系统集成：系统应与检验系统集成，具备根据患者检验结果进行用药合理性审查功能。</w:t>
            </w:r>
          </w:p>
          <w:p>
            <w:pPr>
              <w:pStyle w:val="null3"/>
              <w:jc w:val="both"/>
            </w:pPr>
            <w:r>
              <w:rPr>
                <w:rFonts w:ascii="仿宋_GB2312" w:hAnsi="仿宋_GB2312" w:cs="仿宋_GB2312" w:eastAsia="仿宋_GB2312"/>
                <w:sz w:val="20"/>
                <w:color w:val="000000"/>
              </w:rPr>
              <w:t>3.5 与互联网医院集成：系统应与互联网医院集成，实现线上处方数据的实时传输与审核。</w:t>
            </w:r>
          </w:p>
          <w:p>
            <w:pPr>
              <w:pStyle w:val="null3"/>
              <w:jc w:val="both"/>
            </w:pPr>
            <w:r>
              <w:rPr>
                <w:rFonts w:ascii="仿宋_GB2312" w:hAnsi="仿宋_GB2312" w:cs="仿宋_GB2312" w:eastAsia="仿宋_GB2312"/>
                <w:sz w:val="20"/>
                <w:color w:val="000000"/>
              </w:rPr>
              <w:t>4.系统管理要求：</w:t>
            </w:r>
          </w:p>
          <w:p>
            <w:pPr>
              <w:pStyle w:val="null3"/>
              <w:jc w:val="both"/>
            </w:pPr>
            <w:r>
              <w:rPr>
                <w:rFonts w:ascii="仿宋_GB2312" w:hAnsi="仿宋_GB2312" w:cs="仿宋_GB2312" w:eastAsia="仿宋_GB2312"/>
                <w:sz w:val="20"/>
                <w:color w:val="000000"/>
              </w:rPr>
              <w:t>4.1 用户权限管理：系统应具备多级用户权限管理功能，确保不同角色的用户拥有相应的操作权限。</w:t>
            </w:r>
          </w:p>
          <w:p>
            <w:pPr>
              <w:pStyle w:val="null3"/>
              <w:jc w:val="both"/>
            </w:pPr>
            <w:r>
              <w:rPr>
                <w:rFonts w:ascii="仿宋_GB2312" w:hAnsi="仿宋_GB2312" w:cs="仿宋_GB2312" w:eastAsia="仿宋_GB2312"/>
                <w:sz w:val="20"/>
                <w:color w:val="000000"/>
              </w:rPr>
              <w:t>4.2 日志管理：系统应具备完善的日志管理功能，记录用户操作、系统运行状态等信息，便于审计与故障排查。</w:t>
            </w:r>
          </w:p>
          <w:p>
            <w:pPr>
              <w:pStyle w:val="null3"/>
              <w:jc w:val="both"/>
            </w:pPr>
            <w:r>
              <w:rPr>
                <w:rFonts w:ascii="仿宋_GB2312" w:hAnsi="仿宋_GB2312" w:cs="仿宋_GB2312" w:eastAsia="仿宋_GB2312"/>
                <w:sz w:val="20"/>
                <w:color w:val="000000"/>
              </w:rPr>
              <w:t>4.3 系统监控：系统应具备实时监控功能，具备大屏展示系统运行状态、处方审核情况等关键指标。</w:t>
            </w:r>
          </w:p>
          <w:p>
            <w:pPr>
              <w:pStyle w:val="null3"/>
              <w:jc w:val="both"/>
            </w:pPr>
            <w:r>
              <w:rPr>
                <w:rFonts w:ascii="仿宋_GB2312" w:hAnsi="仿宋_GB2312" w:cs="仿宋_GB2312" w:eastAsia="仿宋_GB2312"/>
                <w:sz w:val="20"/>
                <w:color w:val="000000"/>
              </w:rPr>
              <w:t>4.4 报表与统计分析：系统应具备多种报表生成与统计分析功能，帮助</w:t>
            </w:r>
            <w:r>
              <w:rPr>
                <w:rFonts w:ascii="仿宋_GB2312" w:hAnsi="仿宋_GB2312" w:cs="仿宋_GB2312" w:eastAsia="仿宋_GB2312"/>
                <w:sz w:val="20"/>
                <w:color w:val="000000"/>
              </w:rPr>
              <w:t>采购人</w:t>
            </w:r>
            <w:r>
              <w:rPr>
                <w:rFonts w:ascii="仿宋_GB2312" w:hAnsi="仿宋_GB2312" w:cs="仿宋_GB2312" w:eastAsia="仿宋_GB2312"/>
                <w:sz w:val="20"/>
                <w:color w:val="000000"/>
              </w:rPr>
              <w:t>进行合理用药管理。</w:t>
            </w:r>
          </w:p>
          <w:p>
            <w:pPr>
              <w:pStyle w:val="null3"/>
              <w:jc w:val="both"/>
            </w:pPr>
            <w:r>
              <w:rPr>
                <w:rFonts w:ascii="仿宋_GB2312" w:hAnsi="仿宋_GB2312" w:cs="仿宋_GB2312" w:eastAsia="仿宋_GB2312"/>
                <w:sz w:val="20"/>
                <w:color w:val="000000"/>
              </w:rPr>
              <w:t>5.安全</w:t>
            </w:r>
            <w:r>
              <w:rPr>
                <w:rFonts w:ascii="仿宋_GB2312" w:hAnsi="仿宋_GB2312" w:cs="仿宋_GB2312" w:eastAsia="仿宋_GB2312"/>
                <w:sz w:val="20"/>
                <w:color w:val="000000"/>
              </w:rPr>
              <w:t>防护</w:t>
            </w:r>
            <w:r>
              <w:rPr>
                <w:rFonts w:ascii="仿宋_GB2312" w:hAnsi="仿宋_GB2312" w:cs="仿宋_GB2312" w:eastAsia="仿宋_GB2312"/>
                <w:sz w:val="20"/>
                <w:color w:val="000000"/>
              </w:rPr>
              <w:t>要求：</w:t>
            </w:r>
          </w:p>
          <w:p>
            <w:pPr>
              <w:pStyle w:val="null3"/>
              <w:jc w:val="both"/>
            </w:pPr>
            <w:r>
              <w:rPr>
                <w:rFonts w:ascii="仿宋_GB2312" w:hAnsi="仿宋_GB2312" w:cs="仿宋_GB2312" w:eastAsia="仿宋_GB2312"/>
                <w:sz w:val="20"/>
                <w:color w:val="000000"/>
              </w:rPr>
              <w:t>5.1系统应支持数据的加密存储与传输，确保数据的安全性。</w:t>
            </w:r>
          </w:p>
          <w:p>
            <w:pPr>
              <w:pStyle w:val="null3"/>
              <w:jc w:val="both"/>
            </w:pPr>
            <w:r>
              <w:rPr>
                <w:rFonts w:ascii="仿宋_GB2312" w:hAnsi="仿宋_GB2312" w:cs="仿宋_GB2312" w:eastAsia="仿宋_GB2312"/>
                <w:sz w:val="20"/>
                <w:color w:val="000000"/>
              </w:rPr>
              <w:t>5.2供应商</w:t>
            </w:r>
            <w:r>
              <w:rPr>
                <w:rFonts w:ascii="仿宋_GB2312" w:hAnsi="仿宋_GB2312" w:cs="仿宋_GB2312" w:eastAsia="仿宋_GB2312"/>
                <w:sz w:val="20"/>
                <w:color w:val="000000"/>
              </w:rPr>
              <w:t>应确保交付软件的</w:t>
            </w:r>
            <w:r>
              <w:rPr>
                <w:rFonts w:ascii="仿宋_GB2312" w:hAnsi="仿宋_GB2312" w:cs="仿宋_GB2312" w:eastAsia="仿宋_GB2312"/>
                <w:sz w:val="20"/>
                <w:color w:val="000000"/>
              </w:rPr>
              <w:t>安全性</w:t>
            </w:r>
            <w:r>
              <w:rPr>
                <w:rFonts w:ascii="仿宋_GB2312" w:hAnsi="仿宋_GB2312" w:cs="仿宋_GB2312" w:eastAsia="仿宋_GB2312"/>
                <w:sz w:val="20"/>
                <w:color w:val="000000"/>
              </w:rPr>
              <w:t>，并提供符合行业标准的安全评估报告</w:t>
            </w:r>
            <w:r>
              <w:rPr>
                <w:rFonts w:ascii="仿宋_GB2312" w:hAnsi="仿宋_GB2312" w:cs="仿宋_GB2312" w:eastAsia="仿宋_GB2312"/>
                <w:sz w:val="20"/>
                <w:color w:val="000000"/>
              </w:rPr>
              <w:t>，包含但不限于</w:t>
            </w:r>
            <w:r>
              <w:rPr>
                <w:rFonts w:ascii="仿宋_GB2312" w:hAnsi="仿宋_GB2312" w:cs="仿宋_GB2312" w:eastAsia="仿宋_GB2312"/>
                <w:sz w:val="20"/>
                <w:color w:val="000000"/>
              </w:rPr>
              <w:t>代码安全审计报告</w:t>
            </w:r>
            <w:r>
              <w:rPr>
                <w:rFonts w:ascii="仿宋_GB2312" w:hAnsi="仿宋_GB2312" w:cs="仿宋_GB2312" w:eastAsia="仿宋_GB2312"/>
                <w:sz w:val="20"/>
                <w:color w:val="000000"/>
              </w:rPr>
              <w:t>、漏洞扫描报告、渗透测试报告等。若</w:t>
            </w:r>
            <w:r>
              <w:rPr>
                <w:rFonts w:ascii="仿宋_GB2312" w:hAnsi="仿宋_GB2312" w:cs="仿宋_GB2312" w:eastAsia="仿宋_GB2312"/>
                <w:sz w:val="20"/>
                <w:color w:val="000000"/>
              </w:rPr>
              <w:t>涉及</w:t>
            </w:r>
            <w:r>
              <w:rPr>
                <w:rFonts w:ascii="仿宋_GB2312" w:hAnsi="仿宋_GB2312" w:cs="仿宋_GB2312" w:eastAsia="仿宋_GB2312"/>
                <w:sz w:val="20"/>
                <w:color w:val="000000"/>
              </w:rPr>
              <w:t>APP需提供 APP 端数据安全与合规性评估报告、APP 业务安全及反欺诈测试报告</w:t>
            </w:r>
          </w:p>
          <w:p>
            <w:pPr>
              <w:pStyle w:val="null3"/>
              <w:jc w:val="both"/>
            </w:pPr>
            <w:r>
              <w:rPr>
                <w:rFonts w:ascii="仿宋_GB2312" w:hAnsi="仿宋_GB2312" w:cs="仿宋_GB2312" w:eastAsia="仿宋_GB2312"/>
                <w:sz w:val="20"/>
                <w:color w:val="000000"/>
              </w:rPr>
              <w:t>5.3供应商</w:t>
            </w:r>
            <w:r>
              <w:rPr>
                <w:rFonts w:ascii="仿宋_GB2312" w:hAnsi="仿宋_GB2312" w:cs="仿宋_GB2312" w:eastAsia="仿宋_GB2312"/>
                <w:sz w:val="20"/>
                <w:color w:val="000000"/>
              </w:rPr>
              <w:t>需对</w:t>
            </w:r>
            <w:r>
              <w:rPr>
                <w:rFonts w:ascii="仿宋_GB2312" w:hAnsi="仿宋_GB2312" w:cs="仿宋_GB2312" w:eastAsia="仿宋_GB2312"/>
                <w:sz w:val="20"/>
                <w:color w:val="000000"/>
              </w:rPr>
              <w:t>采购人</w:t>
            </w:r>
            <w:r>
              <w:rPr>
                <w:rFonts w:ascii="仿宋_GB2312" w:hAnsi="仿宋_GB2312" w:cs="仿宋_GB2312" w:eastAsia="仿宋_GB2312"/>
                <w:sz w:val="20"/>
                <w:color w:val="000000"/>
              </w:rPr>
              <w:t>提供</w:t>
            </w:r>
            <w:r>
              <w:rPr>
                <w:rFonts w:ascii="仿宋_GB2312" w:hAnsi="仿宋_GB2312" w:cs="仿宋_GB2312" w:eastAsia="仿宋_GB2312"/>
                <w:sz w:val="20"/>
                <w:color w:val="000000"/>
              </w:rPr>
              <w:t>或自行提供</w:t>
            </w:r>
            <w:r>
              <w:rPr>
                <w:rFonts w:ascii="仿宋_GB2312" w:hAnsi="仿宋_GB2312" w:cs="仿宋_GB2312" w:eastAsia="仿宋_GB2312"/>
                <w:sz w:val="20"/>
                <w:color w:val="000000"/>
              </w:rPr>
              <w:t>的</w:t>
            </w:r>
            <w:r>
              <w:rPr>
                <w:rFonts w:ascii="仿宋_GB2312" w:hAnsi="仿宋_GB2312" w:cs="仿宋_GB2312" w:eastAsia="仿宋_GB2312"/>
                <w:sz w:val="20"/>
                <w:color w:val="000000"/>
              </w:rPr>
              <w:t>系统</w:t>
            </w:r>
            <w:r>
              <w:rPr>
                <w:rFonts w:ascii="仿宋_GB2312" w:hAnsi="仿宋_GB2312" w:cs="仿宋_GB2312" w:eastAsia="仿宋_GB2312"/>
                <w:sz w:val="20"/>
                <w:color w:val="000000"/>
              </w:rPr>
              <w:t>资产（包括物理</w:t>
            </w:r>
            <w:r>
              <w:rPr>
                <w:rFonts w:ascii="仿宋_GB2312" w:hAnsi="仿宋_GB2312" w:cs="仿宋_GB2312" w:eastAsia="仿宋_GB2312"/>
                <w:sz w:val="20"/>
                <w:color w:val="000000"/>
              </w:rPr>
              <w:t>/云服务器、网络及存储设备）承担全生命周期的安全管理责任，配置符合等保 2.0 三级</w:t>
            </w:r>
            <w:r>
              <w:rPr>
                <w:rFonts w:ascii="仿宋_GB2312" w:hAnsi="仿宋_GB2312" w:cs="仿宋_GB2312" w:eastAsia="仿宋_GB2312"/>
                <w:sz w:val="20"/>
                <w:color w:val="000000"/>
              </w:rPr>
              <w:t>安全防护</w:t>
            </w:r>
            <w:r>
              <w:rPr>
                <w:rFonts w:ascii="仿宋_GB2312" w:hAnsi="仿宋_GB2312" w:cs="仿宋_GB2312" w:eastAsia="仿宋_GB2312"/>
                <w:sz w:val="20"/>
                <w:color w:val="000000"/>
              </w:rPr>
              <w:t>要求</w:t>
            </w:r>
            <w:r>
              <w:rPr>
                <w:rFonts w:ascii="仿宋_GB2312" w:hAnsi="仿宋_GB2312" w:cs="仿宋_GB2312" w:eastAsia="仿宋_GB2312"/>
                <w:sz w:val="20"/>
                <w:color w:val="000000"/>
              </w:rPr>
              <w:t>和</w:t>
            </w:r>
            <w:r>
              <w:rPr>
                <w:rFonts w:ascii="仿宋_GB2312" w:hAnsi="仿宋_GB2312" w:cs="仿宋_GB2312" w:eastAsia="仿宋_GB2312"/>
                <w:sz w:val="20"/>
                <w:color w:val="000000"/>
              </w:rPr>
              <w:t>甲方指定的安全基线，确保业务的持续性与安全性。</w:t>
            </w:r>
          </w:p>
          <w:p>
            <w:pPr>
              <w:pStyle w:val="null3"/>
              <w:jc w:val="both"/>
            </w:pPr>
            <w:r>
              <w:rPr>
                <w:rFonts w:ascii="仿宋_GB2312" w:hAnsi="仿宋_GB2312" w:cs="仿宋_GB2312" w:eastAsia="仿宋_GB2312"/>
                <w:sz w:val="20"/>
                <w:color w:val="000000"/>
              </w:rPr>
              <w:t>5.4供应商</w:t>
            </w:r>
            <w:r>
              <w:rPr>
                <w:rFonts w:ascii="仿宋_GB2312" w:hAnsi="仿宋_GB2312" w:cs="仿宋_GB2312" w:eastAsia="仿宋_GB2312"/>
                <w:sz w:val="20"/>
                <w:color w:val="000000"/>
              </w:rPr>
              <w:t>应积极</w:t>
            </w:r>
            <w:r>
              <w:rPr>
                <w:rFonts w:ascii="仿宋_GB2312" w:hAnsi="仿宋_GB2312" w:cs="仿宋_GB2312" w:eastAsia="仿宋_GB2312"/>
                <w:sz w:val="20"/>
                <w:color w:val="000000"/>
              </w:rPr>
              <w:t>无条件</w:t>
            </w:r>
            <w:r>
              <w:rPr>
                <w:rFonts w:ascii="仿宋_GB2312" w:hAnsi="仿宋_GB2312" w:cs="仿宋_GB2312" w:eastAsia="仿宋_GB2312"/>
                <w:sz w:val="20"/>
                <w:color w:val="000000"/>
              </w:rPr>
              <w:t>配合</w:t>
            </w:r>
            <w:r>
              <w:rPr>
                <w:rFonts w:ascii="仿宋_GB2312" w:hAnsi="仿宋_GB2312" w:cs="仿宋_GB2312" w:eastAsia="仿宋_GB2312"/>
                <w:sz w:val="20"/>
                <w:color w:val="000000"/>
              </w:rPr>
              <w:t>采购人</w:t>
            </w:r>
            <w:r>
              <w:rPr>
                <w:rFonts w:ascii="仿宋_GB2312" w:hAnsi="仿宋_GB2312" w:cs="仿宋_GB2312" w:eastAsia="仿宋_GB2312"/>
                <w:sz w:val="20"/>
                <w:color w:val="000000"/>
              </w:rPr>
              <w:t>开展（包括但不限于物理</w:t>
            </w:r>
            <w:r>
              <w:rPr>
                <w:rFonts w:ascii="仿宋_GB2312" w:hAnsi="仿宋_GB2312" w:cs="仿宋_GB2312" w:eastAsia="仿宋_GB2312"/>
                <w:sz w:val="20"/>
                <w:color w:val="000000"/>
              </w:rPr>
              <w:t>/云服务器、网络及存储设备、中间件、数据库</w:t>
            </w:r>
            <w:r>
              <w:rPr>
                <w:rFonts w:ascii="仿宋_GB2312" w:hAnsi="仿宋_GB2312" w:cs="仿宋_GB2312" w:eastAsia="仿宋_GB2312"/>
                <w:sz w:val="20"/>
                <w:color w:val="000000"/>
              </w:rPr>
              <w:t>、操作系统等</w:t>
            </w:r>
            <w:r>
              <w:rPr>
                <w:rFonts w:ascii="仿宋_GB2312" w:hAnsi="仿宋_GB2312" w:cs="仿宋_GB2312" w:eastAsia="仿宋_GB2312"/>
                <w:sz w:val="20"/>
                <w:color w:val="000000"/>
              </w:rPr>
              <w:t>）的安全审计、安全加固、渗透测试、应急响应等安全工作，</w:t>
            </w:r>
            <w:r>
              <w:rPr>
                <w:rFonts w:ascii="仿宋_GB2312" w:hAnsi="仿宋_GB2312" w:cs="仿宋_GB2312" w:eastAsia="仿宋_GB2312"/>
                <w:sz w:val="20"/>
                <w:color w:val="000000"/>
              </w:rPr>
              <w:t>并</w:t>
            </w:r>
            <w:r>
              <w:rPr>
                <w:rFonts w:ascii="仿宋_GB2312" w:hAnsi="仿宋_GB2312" w:cs="仿宋_GB2312" w:eastAsia="仿宋_GB2312"/>
                <w:sz w:val="20"/>
                <w:color w:val="000000"/>
              </w:rPr>
              <w:t>提供必要的权限支持，</w:t>
            </w:r>
            <w:r>
              <w:rPr>
                <w:rFonts w:ascii="仿宋_GB2312" w:hAnsi="仿宋_GB2312" w:cs="仿宋_GB2312" w:eastAsia="仿宋_GB2312"/>
                <w:sz w:val="20"/>
                <w:color w:val="000000"/>
              </w:rPr>
              <w:t>且</w:t>
            </w:r>
            <w:r>
              <w:rPr>
                <w:rFonts w:ascii="仿宋_GB2312" w:hAnsi="仿宋_GB2312" w:cs="仿宋_GB2312" w:eastAsia="仿宋_GB2312"/>
                <w:sz w:val="20"/>
                <w:color w:val="000000"/>
              </w:rPr>
              <w:t>在</w:t>
            </w:r>
            <w:r>
              <w:rPr>
                <w:rFonts w:ascii="仿宋_GB2312" w:hAnsi="仿宋_GB2312" w:cs="仿宋_GB2312" w:eastAsia="仿宋_GB2312"/>
                <w:sz w:val="20"/>
                <w:color w:val="000000"/>
              </w:rPr>
              <w:t>48 小时内提交书面整改计划，发生重大安全事件时，</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应立即响应并协助取证，确保事件快速处置并将影响降到最低。</w:t>
            </w:r>
          </w:p>
          <w:p>
            <w:pPr>
              <w:pStyle w:val="null3"/>
              <w:jc w:val="both"/>
            </w:pPr>
            <w:r>
              <w:rPr>
                <w:rFonts w:ascii="仿宋_GB2312" w:hAnsi="仿宋_GB2312" w:cs="仿宋_GB2312" w:eastAsia="仿宋_GB2312"/>
                <w:sz w:val="20"/>
                <w:color w:val="000000"/>
              </w:rPr>
              <w:t>5.5</w:t>
            </w:r>
            <w:r>
              <w:rPr>
                <w:rFonts w:ascii="仿宋_GB2312" w:hAnsi="仿宋_GB2312" w:cs="仿宋_GB2312" w:eastAsia="仿宋_GB2312"/>
                <w:sz w:val="20"/>
                <w:color w:val="000000"/>
              </w:rPr>
              <w:t>如</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拒绝配合安全合规工作或因其行为导致安全事件，</w:t>
            </w:r>
            <w:r>
              <w:rPr>
                <w:rFonts w:ascii="仿宋_GB2312" w:hAnsi="仿宋_GB2312" w:cs="仿宋_GB2312" w:eastAsia="仿宋_GB2312"/>
                <w:sz w:val="20"/>
                <w:color w:val="000000"/>
              </w:rPr>
              <w:t>采购人</w:t>
            </w:r>
            <w:r>
              <w:rPr>
                <w:rFonts w:ascii="仿宋_GB2312" w:hAnsi="仿宋_GB2312" w:cs="仿宋_GB2312" w:eastAsia="仿宋_GB2312"/>
                <w:sz w:val="20"/>
                <w:color w:val="000000"/>
              </w:rPr>
              <w:t>有权解除合同，</w:t>
            </w:r>
            <w:r>
              <w:rPr>
                <w:rFonts w:ascii="仿宋_GB2312" w:hAnsi="仿宋_GB2312" w:cs="仿宋_GB2312" w:eastAsia="仿宋_GB2312"/>
                <w:sz w:val="20"/>
                <w:color w:val="000000"/>
              </w:rPr>
              <w:t>一切损失由</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承担，并追究法律责任</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三、实施要求</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工期</w:t>
            </w:r>
            <w:r>
              <w:rPr>
                <w:rFonts w:ascii="仿宋_GB2312" w:hAnsi="仿宋_GB2312" w:cs="仿宋_GB2312" w:eastAsia="仿宋_GB2312"/>
                <w:sz w:val="20"/>
                <w:color w:val="000000"/>
              </w:rPr>
              <w:t>：项目应在合同签订后</w:t>
            </w:r>
            <w:r>
              <w:rPr>
                <w:rFonts w:ascii="仿宋_GB2312" w:hAnsi="仿宋_GB2312" w:cs="仿宋_GB2312" w:eastAsia="仿宋_GB2312"/>
                <w:sz w:val="20"/>
                <w:color w:val="000000"/>
              </w:rPr>
              <w:t>3个月内完成系统的部署与调试，确保系统上线运行。</w:t>
            </w:r>
          </w:p>
          <w:p>
            <w:pPr>
              <w:pStyle w:val="null3"/>
              <w:jc w:val="both"/>
            </w:pPr>
            <w:r>
              <w:rPr>
                <w:rFonts w:ascii="仿宋_GB2312" w:hAnsi="仿宋_GB2312" w:cs="仿宋_GB2312" w:eastAsia="仿宋_GB2312"/>
                <w:sz w:val="20"/>
                <w:color w:val="000000"/>
              </w:rPr>
              <w:t>2.项目人员配置：项目实施团队应包括项目经理、系统架构师、开发工程师、测试工程师、运维工程师等，确保项目的顺利实施。</w:t>
            </w:r>
          </w:p>
          <w:p>
            <w:pPr>
              <w:pStyle w:val="null3"/>
              <w:jc w:val="both"/>
            </w:pPr>
            <w:r>
              <w:rPr>
                <w:rFonts w:ascii="仿宋_GB2312" w:hAnsi="仿宋_GB2312" w:cs="仿宋_GB2312" w:eastAsia="仿宋_GB2312"/>
                <w:sz w:val="20"/>
                <w:color w:val="000000"/>
              </w:rPr>
              <w:t>四、项目交付要求</w:t>
            </w:r>
          </w:p>
          <w:p>
            <w:pPr>
              <w:pStyle w:val="null3"/>
              <w:jc w:val="both"/>
            </w:pPr>
            <w:r>
              <w:rPr>
                <w:rFonts w:ascii="仿宋_GB2312" w:hAnsi="仿宋_GB2312" w:cs="仿宋_GB2312" w:eastAsia="仿宋_GB2312"/>
                <w:sz w:val="20"/>
                <w:color w:val="000000"/>
              </w:rPr>
              <w:t>1.交付内容：系统软件及相关的授权证书，系统部署与调试报告，系统使用手册、操作指南等文档，系统培训材料及培训记录。</w:t>
            </w:r>
          </w:p>
          <w:p>
            <w:pPr>
              <w:pStyle w:val="null3"/>
              <w:jc w:val="both"/>
            </w:pPr>
            <w:r>
              <w:rPr>
                <w:rFonts w:ascii="仿宋_GB2312" w:hAnsi="仿宋_GB2312" w:cs="仿宋_GB2312" w:eastAsia="仿宋_GB2312"/>
                <w:sz w:val="20"/>
                <w:color w:val="000000"/>
              </w:rPr>
              <w:t>2.交付方式：系统应以电子系统形式交付，确保</w:t>
            </w:r>
            <w:r>
              <w:rPr>
                <w:rFonts w:ascii="仿宋_GB2312" w:hAnsi="仿宋_GB2312" w:cs="仿宋_GB2312" w:eastAsia="仿宋_GB2312"/>
                <w:sz w:val="20"/>
                <w:color w:val="000000"/>
              </w:rPr>
              <w:t>采购人</w:t>
            </w:r>
            <w:r>
              <w:rPr>
                <w:rFonts w:ascii="仿宋_GB2312" w:hAnsi="仿宋_GB2312" w:cs="仿宋_GB2312" w:eastAsia="仿宋_GB2312"/>
                <w:sz w:val="20"/>
                <w:color w:val="000000"/>
              </w:rPr>
              <w:t>能够顺利使用系统。</w:t>
            </w:r>
          </w:p>
          <w:p>
            <w:pPr>
              <w:pStyle w:val="null3"/>
              <w:jc w:val="both"/>
            </w:pPr>
            <w:r>
              <w:rPr>
                <w:rFonts w:ascii="仿宋_GB2312" w:hAnsi="仿宋_GB2312" w:cs="仿宋_GB2312" w:eastAsia="仿宋_GB2312"/>
                <w:sz w:val="20"/>
                <w:color w:val="000000"/>
              </w:rPr>
              <w:t>五、项目报价要求</w:t>
            </w:r>
          </w:p>
          <w:p>
            <w:pPr>
              <w:pStyle w:val="null3"/>
              <w:jc w:val="both"/>
            </w:pPr>
            <w:r>
              <w:rPr>
                <w:rFonts w:ascii="仿宋_GB2312" w:hAnsi="仿宋_GB2312" w:cs="仿宋_GB2312" w:eastAsia="仿宋_GB2312"/>
                <w:sz w:val="20"/>
                <w:color w:val="000000"/>
              </w:rPr>
              <w:t>1.报价内容：</w:t>
            </w:r>
          </w:p>
          <w:p>
            <w:pPr>
              <w:pStyle w:val="null3"/>
              <w:ind w:firstLine="200"/>
              <w:jc w:val="both"/>
            </w:pPr>
            <w:r>
              <w:rPr>
                <w:rFonts w:ascii="仿宋_GB2312" w:hAnsi="仿宋_GB2312" w:cs="仿宋_GB2312" w:eastAsia="仿宋_GB2312"/>
                <w:sz w:val="20"/>
                <w:color w:val="000000"/>
              </w:rPr>
              <w:t>项目报价应包括</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系统软件</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2）与第三方对接时第三方所需的接口费（包括不限于本次采购系统与集成平台、系统与电子病历以及系统与数据中心等所有接口费用、系统上线所需第三方软件开发费用）；</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3）售后服务等费用；</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配合采购人完成电子病历系统应用水平分级评价、医院信息互联互通标准化成熟度测评、医院智慧服务评估工作，包括：协助评价/测评/评估标准的解读、数据填报、实证/文审材料准备、现场迎评以及评审后功能整改等技术支持；</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5）提供和协助采购人通过信息安全等级保护测评工作，等保测评涉及的本次采购软件系统的改造、升级费用一并包含在本次报价中。</w:t>
            </w:r>
          </w:p>
          <w:p>
            <w:pPr>
              <w:pStyle w:val="null3"/>
              <w:jc w:val="both"/>
            </w:pPr>
            <w:r>
              <w:rPr>
                <w:rFonts w:ascii="仿宋_GB2312" w:hAnsi="仿宋_GB2312" w:cs="仿宋_GB2312" w:eastAsia="仿宋_GB2312"/>
                <w:sz w:val="20"/>
                <w:color w:val="000000"/>
              </w:rPr>
              <w:t>注：凡本招标文件要求（或允许）及供应商认为需要进行投标报价的各项费用（不论是否要求进入报价），若报价时未报或未在投标文件中予以说明，采购人将认为这些费用供应商已计取，并包含在报价中。</w:t>
            </w:r>
          </w:p>
          <w:p>
            <w:pPr>
              <w:pStyle w:val="null3"/>
              <w:jc w:val="both"/>
            </w:pPr>
            <w:r>
              <w:rPr>
                <w:rFonts w:ascii="仿宋_GB2312" w:hAnsi="仿宋_GB2312" w:cs="仿宋_GB2312" w:eastAsia="仿宋_GB2312"/>
                <w:sz w:val="20"/>
                <w:color w:val="000000"/>
              </w:rPr>
              <w:t>2.报价方式：项目报价应以分项报价的形式提供，确保报价的透明性与合理性。</w:t>
            </w:r>
          </w:p>
          <w:p>
            <w:pPr>
              <w:pStyle w:val="null3"/>
              <w:jc w:val="both"/>
            </w:pPr>
            <w:r>
              <w:rPr>
                <w:rFonts w:ascii="仿宋_GB2312" w:hAnsi="仿宋_GB2312" w:cs="仿宋_GB2312" w:eastAsia="仿宋_GB2312"/>
                <w:sz w:val="20"/>
                <w:color w:val="000000"/>
              </w:rPr>
              <w:t>六</w:t>
            </w:r>
            <w:r>
              <w:rPr>
                <w:rFonts w:ascii="仿宋_GB2312" w:hAnsi="仿宋_GB2312" w:cs="仿宋_GB2312" w:eastAsia="仿宋_GB2312"/>
                <w:sz w:val="20"/>
                <w:color w:val="000000"/>
              </w:rPr>
              <w:t>.培训</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中标供应商</w:t>
            </w:r>
            <w:r>
              <w:rPr>
                <w:rFonts w:ascii="仿宋_GB2312" w:hAnsi="仿宋_GB2312" w:cs="仿宋_GB2312" w:eastAsia="仿宋_GB2312"/>
                <w:sz w:val="20"/>
                <w:color w:val="000000"/>
              </w:rPr>
              <w:t>需提供完整的培训方案，培训的内容、次数和方式由采购人提出，采购人负责提供培训场地、培训电脑和培训人员的召集，</w:t>
            </w:r>
            <w:r>
              <w:rPr>
                <w:rFonts w:ascii="仿宋_GB2312" w:hAnsi="仿宋_GB2312" w:cs="仿宋_GB2312" w:eastAsia="仿宋_GB2312"/>
                <w:sz w:val="20"/>
                <w:color w:val="000000"/>
              </w:rPr>
              <w:t>中标供应商</w:t>
            </w:r>
            <w:r>
              <w:rPr>
                <w:rFonts w:ascii="仿宋_GB2312" w:hAnsi="仿宋_GB2312" w:cs="仿宋_GB2312" w:eastAsia="仿宋_GB2312"/>
                <w:sz w:val="20"/>
                <w:color w:val="000000"/>
              </w:rPr>
              <w:t>负责培训环境的搭建、培训文档的准备、培训的实施等。</w:t>
            </w:r>
          </w:p>
          <w:p>
            <w:pPr>
              <w:pStyle w:val="null3"/>
              <w:jc w:val="both"/>
            </w:pPr>
            <w:r>
              <w:rPr>
                <w:rFonts w:ascii="仿宋_GB2312" w:hAnsi="仿宋_GB2312" w:cs="仿宋_GB2312" w:eastAsia="仿宋_GB2312"/>
                <w:sz w:val="20"/>
                <w:color w:val="000000"/>
              </w:rPr>
              <w:t>2.培训内容</w:t>
            </w:r>
            <w:r>
              <w:rPr>
                <w:rFonts w:ascii="仿宋_GB2312" w:hAnsi="仿宋_GB2312" w:cs="仿宋_GB2312" w:eastAsia="仿宋_GB2312"/>
                <w:sz w:val="20"/>
                <w:color w:val="000000"/>
              </w:rPr>
              <w:t>（</w:t>
            </w:r>
            <w:r>
              <w:rPr>
                <w:rFonts w:ascii="仿宋_GB2312" w:hAnsi="仿宋_GB2312" w:cs="仿宋_GB2312" w:eastAsia="仿宋_GB2312"/>
                <w:sz w:val="20"/>
                <w:color w:val="000000"/>
              </w:rPr>
              <w:t>包括但不限于</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1）系统软件的用户使用培训，应用软件操作培训；</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2）系统管理培训、采购人技术人员维护培训；</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3）应用软件操作疑难问题解答。</w:t>
            </w:r>
          </w:p>
          <w:p>
            <w:pPr>
              <w:pStyle w:val="null3"/>
              <w:jc w:val="both"/>
            </w:pPr>
            <w:r>
              <w:rPr>
                <w:rFonts w:ascii="仿宋_GB2312" w:hAnsi="仿宋_GB2312" w:cs="仿宋_GB2312" w:eastAsia="仿宋_GB2312"/>
                <w:sz w:val="20"/>
                <w:color w:val="000000"/>
              </w:rPr>
              <w:t>七</w:t>
            </w:r>
            <w:r>
              <w:rPr>
                <w:rFonts w:ascii="仿宋_GB2312" w:hAnsi="仿宋_GB2312" w:cs="仿宋_GB2312" w:eastAsia="仿宋_GB2312"/>
                <w:sz w:val="20"/>
                <w:color w:val="000000"/>
              </w:rPr>
              <w:t>、售后</w:t>
            </w:r>
          </w:p>
          <w:p>
            <w:pPr>
              <w:pStyle w:val="null3"/>
              <w:jc w:val="both"/>
            </w:pPr>
            <w:r>
              <w:rPr>
                <w:rFonts w:ascii="仿宋_GB2312" w:hAnsi="仿宋_GB2312" w:cs="仿宋_GB2312" w:eastAsia="仿宋_GB2312"/>
                <w:sz w:val="20"/>
                <w:color w:val="000000"/>
              </w:rPr>
              <w:t>1.提供不少于三年的系统</w:t>
            </w:r>
            <w:r>
              <w:rPr>
                <w:rFonts w:ascii="仿宋_GB2312" w:hAnsi="仿宋_GB2312" w:cs="仿宋_GB2312" w:eastAsia="仿宋_GB2312"/>
                <w:sz w:val="20"/>
                <w:color w:val="000000"/>
              </w:rPr>
              <w:t>免费</w:t>
            </w:r>
            <w:r>
              <w:rPr>
                <w:rFonts w:ascii="仿宋_GB2312" w:hAnsi="仿宋_GB2312" w:cs="仿宋_GB2312" w:eastAsia="仿宋_GB2312"/>
                <w:sz w:val="20"/>
                <w:color w:val="000000"/>
              </w:rPr>
              <w:t>维护服务，确保系统的稳定运行</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提供不少于半年的驻场服务，帮助</w:t>
            </w:r>
            <w:r>
              <w:rPr>
                <w:rFonts w:ascii="仿宋_GB2312" w:hAnsi="仿宋_GB2312" w:cs="仿宋_GB2312" w:eastAsia="仿宋_GB2312"/>
                <w:sz w:val="20"/>
                <w:color w:val="000000"/>
              </w:rPr>
              <w:t>采购人</w:t>
            </w:r>
            <w:r>
              <w:rPr>
                <w:rFonts w:ascii="仿宋_GB2312" w:hAnsi="仿宋_GB2312" w:cs="仿宋_GB2312" w:eastAsia="仿宋_GB2312"/>
                <w:sz w:val="20"/>
                <w:color w:val="000000"/>
              </w:rPr>
              <w:t>进行系统的部署与调试</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提供系统的定期升级与优化服务，确保系统功能的持续完善</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.在免费服务期内，</w:t>
            </w:r>
            <w:r>
              <w:rPr>
                <w:rFonts w:ascii="仿宋_GB2312" w:hAnsi="仿宋_GB2312" w:cs="仿宋_GB2312" w:eastAsia="仿宋_GB2312"/>
                <w:sz w:val="20"/>
                <w:color w:val="000000"/>
              </w:rPr>
              <w:t>中标供应商</w:t>
            </w:r>
            <w:r>
              <w:rPr>
                <w:rFonts w:ascii="仿宋_GB2312" w:hAnsi="仿宋_GB2312" w:cs="仿宋_GB2312" w:eastAsia="仿宋_GB2312"/>
                <w:sz w:val="20"/>
                <w:color w:val="000000"/>
              </w:rPr>
              <w:t>应负责对其提供的软件维护、升级和设备维护等专业技术服务，进行现场维修、损坏件更换，不收取额外费用，响应时间必须满足系统正常运行的要求。</w:t>
            </w:r>
            <w:r>
              <w:rPr>
                <w:rFonts w:ascii="仿宋_GB2312" w:hAnsi="仿宋_GB2312" w:cs="仿宋_GB2312" w:eastAsia="仿宋_GB2312"/>
                <w:sz w:val="20"/>
                <w:color w:val="000000"/>
              </w:rPr>
              <w:t>涉及国家政策性相关内容产生的维护、服务等工作需免费配合采购人完成；</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中标供应商</w:t>
            </w:r>
            <w:r>
              <w:rPr>
                <w:rFonts w:ascii="仿宋_GB2312" w:hAnsi="仿宋_GB2312" w:cs="仿宋_GB2312" w:eastAsia="仿宋_GB2312"/>
                <w:sz w:val="20"/>
                <w:color w:val="000000"/>
              </w:rPr>
              <w:t>根据招标文件提供售后服务方案，各</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针对</w:t>
            </w:r>
            <w:r>
              <w:rPr>
                <w:rFonts w:ascii="仿宋_GB2312" w:hAnsi="仿宋_GB2312" w:cs="仿宋_GB2312" w:eastAsia="仿宋_GB2312"/>
                <w:sz w:val="20"/>
                <w:color w:val="000000"/>
              </w:rPr>
              <w:t>免费维保期</w:t>
            </w:r>
            <w:r>
              <w:rPr>
                <w:rFonts w:ascii="仿宋_GB2312" w:hAnsi="仿宋_GB2312" w:cs="仿宋_GB2312" w:eastAsia="仿宋_GB2312"/>
                <w:sz w:val="20"/>
                <w:color w:val="000000"/>
              </w:rPr>
              <w:t>满后的年服务费率进行报价承诺。</w:t>
            </w:r>
          </w:p>
          <w:p>
            <w:pPr>
              <w:pStyle w:val="null3"/>
              <w:jc w:val="both"/>
            </w:pPr>
            <w:r>
              <w:rPr>
                <w:rFonts w:ascii="仿宋_GB2312" w:hAnsi="仿宋_GB2312" w:cs="仿宋_GB2312" w:eastAsia="仿宋_GB2312"/>
                <w:sz w:val="20"/>
                <w:color w:val="000000"/>
              </w:rPr>
              <w:t>八</w:t>
            </w:r>
            <w:r>
              <w:rPr>
                <w:rFonts w:ascii="仿宋_GB2312" w:hAnsi="仿宋_GB2312" w:cs="仿宋_GB2312" w:eastAsia="仿宋_GB2312"/>
                <w:sz w:val="20"/>
                <w:color w:val="000000"/>
              </w:rPr>
              <w:t>、技术规范</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所投产品须满足但不局限于以下规范要求：</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满足及遵循《全国医院信息化建设标准与规范（试行）》（</w:t>
            </w:r>
            <w:r>
              <w:rPr>
                <w:rFonts w:ascii="仿宋_GB2312" w:hAnsi="仿宋_GB2312" w:cs="仿宋_GB2312" w:eastAsia="仿宋_GB2312"/>
                <w:sz w:val="20"/>
                <w:color w:val="000000"/>
              </w:rPr>
              <w:t>2018年版）相关要求。</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满足及遵循《电子病历系统功能应用水平分级评价方法及标准》（最新版）</w:t>
            </w:r>
            <w:r>
              <w:rPr>
                <w:rFonts w:ascii="仿宋_GB2312" w:hAnsi="仿宋_GB2312" w:cs="仿宋_GB2312" w:eastAsia="仿宋_GB2312"/>
                <w:sz w:val="20"/>
                <w:color w:val="000000"/>
              </w:rPr>
              <w:t>6级标准相关要求。</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满足及遵循《国家医疗健康信息医院信息互联互通标准化成熟度测评方案》（</w:t>
            </w:r>
            <w:r>
              <w:rPr>
                <w:rFonts w:ascii="仿宋_GB2312" w:hAnsi="仿宋_GB2312" w:cs="仿宋_GB2312" w:eastAsia="仿宋_GB2312"/>
                <w:sz w:val="20"/>
                <w:color w:val="000000"/>
              </w:rPr>
              <w:t>2020年版）五级乙等相关要求。</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满足及遵循《医院智慧服务分级评估标准体系（试行）》（</w:t>
            </w:r>
            <w:r>
              <w:rPr>
                <w:rFonts w:ascii="仿宋_GB2312" w:hAnsi="仿宋_GB2312" w:cs="仿宋_GB2312" w:eastAsia="仿宋_GB2312"/>
                <w:sz w:val="20"/>
                <w:color w:val="000000"/>
              </w:rPr>
              <w:t>2019年版）四级相关要求。</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满足及遵循《医院智慧管理分级评估标准体系（试行）》四级相关要求。</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满足及遵循《国务院办公厅关于推动公立医院高质量发展的意见》。</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满足及遵循《国家三级公立医院绩效考核操作手册》（</w:t>
            </w:r>
            <w:r>
              <w:rPr>
                <w:rFonts w:ascii="仿宋_GB2312" w:hAnsi="仿宋_GB2312" w:cs="仿宋_GB2312" w:eastAsia="仿宋_GB2312"/>
                <w:sz w:val="20"/>
                <w:color w:val="000000"/>
              </w:rPr>
              <w:t>2020版）相关条款。</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满足及遵循国家卫健委关于进一步改善医疗服务行动计划相关要求。</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w:t>
            </w:r>
            <w:r>
              <w:rPr>
                <w:rFonts w:ascii="仿宋_GB2312" w:hAnsi="仿宋_GB2312" w:cs="仿宋_GB2312" w:eastAsia="仿宋_GB2312"/>
                <w:sz w:val="20"/>
                <w:color w:val="000000"/>
              </w:rPr>
              <w:t>满足及遵循《三级医院评审标准实施细则》和《三级妇幼保健院评审标准实施细则》要求。</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10</w:t>
            </w:r>
            <w:r>
              <w:rPr>
                <w:rFonts w:ascii="仿宋_GB2312" w:hAnsi="仿宋_GB2312" w:cs="仿宋_GB2312" w:eastAsia="仿宋_GB2312"/>
                <w:sz w:val="20"/>
                <w:color w:val="000000"/>
              </w:rPr>
              <w:t>）</w:t>
            </w:r>
            <w:r>
              <w:rPr>
                <w:rFonts w:ascii="仿宋_GB2312" w:hAnsi="仿宋_GB2312" w:cs="仿宋_GB2312" w:eastAsia="仿宋_GB2312"/>
                <w:sz w:val="20"/>
                <w:color w:val="000000"/>
              </w:rPr>
              <w:t>满足及遵循《关于加快药学服务高质量发展的意见》国卫医发〔</w:t>
            </w:r>
            <w:r>
              <w:rPr>
                <w:rFonts w:ascii="仿宋_GB2312" w:hAnsi="仿宋_GB2312" w:cs="仿宋_GB2312" w:eastAsia="仿宋_GB2312"/>
                <w:sz w:val="20"/>
                <w:color w:val="000000"/>
              </w:rPr>
              <w:t>2018〕45号相关要求。</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须保证采购人在使用该货物或其任何一部分时，不受第三方侵权指控，同时不得向第三方泄露采购人提供的任何技术文件和相关信息等。</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所投产品必须为最新版本，且必须不低于已通过电子病历</w:t>
            </w:r>
            <w:r>
              <w:rPr>
                <w:rFonts w:ascii="仿宋_GB2312" w:hAnsi="仿宋_GB2312" w:cs="仿宋_GB2312" w:eastAsia="仿宋_GB2312"/>
                <w:sz w:val="20"/>
                <w:color w:val="000000"/>
              </w:rPr>
              <w:t>6级案例应用功能，并且承诺在项目实施过程中无条件满足符合中、省的技术类标准和业务规范变化的需求修改，非增加子系统或功能类的个性化需求，</w:t>
            </w:r>
            <w:r>
              <w:rPr>
                <w:rFonts w:ascii="仿宋_GB2312" w:hAnsi="仿宋_GB2312" w:cs="仿宋_GB2312" w:eastAsia="仿宋_GB2312"/>
                <w:sz w:val="20"/>
                <w:color w:val="000000"/>
              </w:rPr>
              <w:t>中标供应商</w:t>
            </w:r>
            <w:r>
              <w:rPr>
                <w:rFonts w:ascii="仿宋_GB2312" w:hAnsi="仿宋_GB2312" w:cs="仿宋_GB2312" w:eastAsia="仿宋_GB2312"/>
                <w:sz w:val="20"/>
                <w:color w:val="000000"/>
              </w:rPr>
              <w:t>须一并满足。</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所投产品必须包含原厂商授权的知识库并在上线前提供原厂商的授权许可使用证明文件。</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所投产品必须满足电子病历应用水平分级评价</w:t>
            </w:r>
            <w:r>
              <w:rPr>
                <w:rFonts w:ascii="仿宋_GB2312" w:hAnsi="仿宋_GB2312" w:cs="仿宋_GB2312" w:eastAsia="仿宋_GB2312"/>
                <w:sz w:val="20"/>
                <w:color w:val="000000"/>
              </w:rPr>
              <w:t>6级要求</w:t>
            </w:r>
            <w:r>
              <w:rPr>
                <w:rFonts w:ascii="仿宋_GB2312" w:hAnsi="仿宋_GB2312" w:cs="仿宋_GB2312" w:eastAsia="仿宋_GB2312"/>
                <w:sz w:val="20"/>
                <w:color w:val="000000"/>
              </w:rPr>
              <w:t>以及医院互联互通成熟度测评五级乙等的要求</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九</w:t>
            </w:r>
            <w:r>
              <w:rPr>
                <w:rFonts w:ascii="仿宋_GB2312" w:hAnsi="仿宋_GB2312" w:cs="仿宋_GB2312" w:eastAsia="仿宋_GB2312"/>
                <w:sz w:val="20"/>
                <w:color w:val="000000"/>
              </w:rPr>
              <w:t>、其他要求</w:t>
            </w:r>
          </w:p>
          <w:p>
            <w:pPr>
              <w:pStyle w:val="null3"/>
              <w:jc w:val="both"/>
            </w:pPr>
            <w:r>
              <w:rPr>
                <w:rFonts w:ascii="仿宋_GB2312" w:hAnsi="仿宋_GB2312" w:cs="仿宋_GB2312" w:eastAsia="仿宋_GB2312"/>
                <w:sz w:val="20"/>
                <w:color w:val="000000"/>
              </w:rPr>
              <w:t>1.实施范围：本项目采购内容，需包含西北妇女儿童医院所有院区中所有涉及的业务科室，并且不限制终端使用数量。</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.实施方案：</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针对本项目情况制定科学、合理可行的实施方案，包括但不限于实施方案的科学性、合理性、规范性和可操作性，包括项目所需开发、安装调试、测试、试运行、调优等内容，以及组织机构、工作时间进度表、工作程序和步骤、管理和协调方法、关键步骤的思路和要点等。</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.实施情况</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中标供应商</w:t>
            </w:r>
            <w:r>
              <w:rPr>
                <w:rFonts w:ascii="仿宋_GB2312" w:hAnsi="仿宋_GB2312" w:cs="仿宋_GB2312" w:eastAsia="仿宋_GB2312"/>
                <w:sz w:val="20"/>
                <w:color w:val="000000"/>
              </w:rPr>
              <w:t>需配合采购人完成电子病历系统应用水平分级评价、医院信息互联互通标准化成熟度测评、医院智慧服务评估工作，包括：协助评价</w:t>
            </w:r>
            <w:r>
              <w:rPr>
                <w:rFonts w:ascii="仿宋_GB2312" w:hAnsi="仿宋_GB2312" w:cs="仿宋_GB2312" w:eastAsia="仿宋_GB2312"/>
                <w:sz w:val="20"/>
                <w:color w:val="000000"/>
              </w:rPr>
              <w:t>/测评/评估标准的解读、数据填报、实证/文审材料准备、现场迎评以及评审后功能整改等技术支持。</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中标供应商</w:t>
            </w:r>
            <w:r>
              <w:rPr>
                <w:rFonts w:ascii="仿宋_GB2312" w:hAnsi="仿宋_GB2312" w:cs="仿宋_GB2312" w:eastAsia="仿宋_GB2312"/>
                <w:sz w:val="20"/>
                <w:color w:val="000000"/>
              </w:rPr>
              <w:t>需提供和协助采购人通过信息安全等级保护测评工作。</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中标供应商</w:t>
            </w:r>
            <w:r>
              <w:rPr>
                <w:rFonts w:ascii="仿宋_GB2312" w:hAnsi="仿宋_GB2312" w:cs="仿宋_GB2312" w:eastAsia="仿宋_GB2312"/>
                <w:sz w:val="20"/>
                <w:color w:val="000000"/>
              </w:rPr>
              <w:t>必须为后续的新增功能接口的开发提供统一、规范、友好的接口开发机制。</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4）一经确定的项目组成员在实施过程中如因</w:t>
            </w:r>
            <w:r>
              <w:rPr>
                <w:rFonts w:ascii="仿宋_GB2312" w:hAnsi="仿宋_GB2312" w:cs="仿宋_GB2312" w:eastAsia="仿宋_GB2312"/>
                <w:sz w:val="20"/>
                <w:color w:val="000000"/>
              </w:rPr>
              <w:t>中标供应商</w:t>
            </w:r>
            <w:r>
              <w:rPr>
                <w:rFonts w:ascii="仿宋_GB2312" w:hAnsi="仿宋_GB2312" w:cs="仿宋_GB2312" w:eastAsia="仿宋_GB2312"/>
                <w:sz w:val="20"/>
                <w:color w:val="000000"/>
              </w:rPr>
              <w:t>单方面需更换，须提供书面说明，经采购人同意后方可进行调换，项目实施过程中，</w:t>
            </w:r>
            <w:r>
              <w:rPr>
                <w:rFonts w:ascii="仿宋_GB2312" w:hAnsi="仿宋_GB2312" w:cs="仿宋_GB2312" w:eastAsia="仿宋_GB2312"/>
                <w:sz w:val="20"/>
                <w:color w:val="000000"/>
              </w:rPr>
              <w:t>中标供应商</w:t>
            </w:r>
            <w:r>
              <w:rPr>
                <w:rFonts w:ascii="仿宋_GB2312" w:hAnsi="仿宋_GB2312" w:cs="仿宋_GB2312" w:eastAsia="仿宋_GB2312"/>
                <w:sz w:val="20"/>
                <w:color w:val="000000"/>
              </w:rPr>
              <w:t>按照项目所处阶段按需委派相应数量的专业工程师参与项目实施，采购人保留要求和建议的权利。</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对实施团队的管理应充分尊重采购人对实施团队的评价和考核。如果不满足采购人的要求，采购人有权提出更换实施经理在内的人员。</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项目应在合同签订后3个月内完成系统的部署与调试，确保系统上线运行。</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完成合同及招标文件规定的全部内容,采购人确认系统上线试运行初步验收合格后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采购人确认系统完全正式上线运行正式验收合格后（付款前，供应商提供符合税法规定的等额增值税发票）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完成合同及招标文件规定的全部内容，并经采购人确认项目建设满足采购人管理需要，由中标人提出正式上线验收申请，采购人组织相关人员（必要时组成院外专家组）进行项目验收，出具验收报告。正式验收完成后，须继续配合完成相关评级内容。 2.系统上线后，中标人向采购人用户提供系统使用培训，提供技术人员培训，以保证采购人工程师能够掌握软件表结构、数据业务流等技术信息。 3.验收资料。在项目验收时，中标人需提供但不限于项目实施方案、需求说明书、使用人员签字的培训记录、系统操作说明、系统维护说明、验收申请、数据业务流、数据字典及表结构说明、用户手册、数据库用户名及密码等资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维保期从正式上线验收时间开始计算，提供不低于3年免费维保，并提供不少于半年的驻场服务。各供应商自报最长免费维保期，免费维保期满后的年服务费率不超过成交金额的10%，具体维保期和费率响应格式详见附件，未按要求响应按无效文件处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4、本项目存在现场演示部分，请各供应商携带演示设备，在开标截止时间前在西安市高新四路1号高科广场A座5楼0503第五会议室等待演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资格响应表.docx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投标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供应商应授权合法的人员参加投标全过程，其中法定代表人直接参加投标的，须提供法定代表人身份证，并与营业执照上信息一致。法定代表人授权代表参加投标的，须提供法定代表人授权书及授权代表身份证。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项目应在合同签订后3个月内完成系统的部署与调试，确保系统上线运行。</w:t>
            </w:r>
          </w:p>
        </w:tc>
        <w:tc>
          <w:tcPr>
            <w:tcW w:type="dxa" w:w="1661"/>
          </w:tcPr>
          <w:p>
            <w:pPr>
              <w:pStyle w:val="null3"/>
            </w:pPr>
            <w:r>
              <w:rPr>
                <w:rFonts w:ascii="仿宋_GB2312" w:hAnsi="仿宋_GB2312" w:cs="仿宋_GB2312" w:eastAsia="仿宋_GB2312"/>
              </w:rPr>
              <w:t>开标一览表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维保期限</w:t>
            </w:r>
          </w:p>
        </w:tc>
        <w:tc>
          <w:tcPr>
            <w:tcW w:type="dxa" w:w="3322"/>
          </w:tcPr>
          <w:p>
            <w:pPr>
              <w:pStyle w:val="null3"/>
            </w:pPr>
            <w:r>
              <w:rPr>
                <w:rFonts w:ascii="仿宋_GB2312" w:hAnsi="仿宋_GB2312" w:cs="仿宋_GB2312" w:eastAsia="仿宋_GB2312"/>
              </w:rPr>
              <w:t>项目维保期从正式上线验收时间开始计算，提供不低于3年免费维保，并提供不少于半年的驻场服务。</w:t>
            </w:r>
          </w:p>
        </w:tc>
        <w:tc>
          <w:tcPr>
            <w:tcW w:type="dxa" w:w="1661"/>
          </w:tcPr>
          <w:p>
            <w:pPr>
              <w:pStyle w:val="null3"/>
            </w:pPr>
            <w:r>
              <w:rPr>
                <w:rFonts w:ascii="仿宋_GB2312" w:hAnsi="仿宋_GB2312" w:cs="仿宋_GB2312" w:eastAsia="仿宋_GB2312"/>
              </w:rPr>
              <w:t>开标一览表 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完成合同及招标文件规定的全部内容,采购人确认系统上线试运行初步验收合格后，达到付款条件起 30 日内，支付合同总金额的40.00%；采购人确认系统完全正式上线运行正式验收合格后，达到付款条件起30 日内，支付合同总金额的60.00%。付款前，供应商提供符合税法规定的等额增值税发票。</w:t>
            </w:r>
          </w:p>
        </w:tc>
        <w:tc>
          <w:tcPr>
            <w:tcW w:type="dxa" w:w="1661"/>
          </w:tcPr>
          <w:p>
            <w:pPr>
              <w:pStyle w:val="null3"/>
            </w:pPr>
            <w:r>
              <w:rPr>
                <w:rFonts w:ascii="仿宋_GB2312" w:hAnsi="仿宋_GB2312" w:cs="仿宋_GB2312" w:eastAsia="仿宋_GB2312"/>
              </w:rPr>
              <w:t>开标一览表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“★”参数条款</w:t>
            </w:r>
          </w:p>
        </w:tc>
        <w:tc>
          <w:tcPr>
            <w:tcW w:type="dxa" w:w="3322"/>
          </w:tcPr>
          <w:p>
            <w:pPr>
              <w:pStyle w:val="null3"/>
            </w:pPr>
            <w:r>
              <w:rPr>
                <w:rFonts w:ascii="仿宋_GB2312" w:hAnsi="仿宋_GB2312" w:cs="仿宋_GB2312" w:eastAsia="仿宋_GB2312"/>
              </w:rPr>
              <w:t>参数需求带“★”的参数需求为实质性要求，供应商响应并满足参数需求，必须提供佐证材料，佐证材料包括但不限于资质证书或其他证明材料或承诺书等。</w:t>
            </w:r>
          </w:p>
        </w:tc>
        <w:tc>
          <w:tcPr>
            <w:tcW w:type="dxa" w:w="1661"/>
          </w:tcPr>
          <w:p>
            <w:pPr>
              <w:pStyle w:val="null3"/>
            </w:pPr>
            <w:r>
              <w:rPr>
                <w:rFonts w:ascii="仿宋_GB2312" w:hAnsi="仿宋_GB2312" w:cs="仿宋_GB2312" w:eastAsia="仿宋_GB2312"/>
              </w:rPr>
              <w:t>商务及技术偏离表.docx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开标一览表 商务及技术偏离表.docx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围标串标行为</w:t>
            </w:r>
          </w:p>
        </w:tc>
        <w:tc>
          <w:tcPr>
            <w:tcW w:type="dxa" w:w="3322"/>
          </w:tcPr>
          <w:p>
            <w:pPr>
              <w:pStyle w:val="null3"/>
            </w:pPr>
            <w:r>
              <w:rPr>
                <w:rFonts w:ascii="仿宋_GB2312" w:hAnsi="仿宋_GB2312" w:cs="仿宋_GB2312" w:eastAsia="仿宋_GB2312"/>
              </w:rPr>
              <w:t>供应商不得有以下情形： （一）不同供应商的投标文件由同一单位或者个人编制； （二）不同供应商委托同一单位或者个人办理投标事宜； （三）不同供应商的投标文件载明的项目管理成员或者联系人员为同一人； （四）不同供应商的投标文件异常一致或者投标报价呈规律性差异； （五）不同供应商的投标文件相互混装。 (六）不同投标人的投标保证金从同一单位或者个人的账户转出。</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项目需求、重点、难点分析</w:t>
            </w:r>
          </w:p>
        </w:tc>
        <w:tc>
          <w:tcPr>
            <w:tcW w:type="dxa" w:w="2492"/>
          </w:tcPr>
          <w:p>
            <w:pPr>
              <w:pStyle w:val="null3"/>
            </w:pPr>
            <w:r>
              <w:rPr>
                <w:rFonts w:ascii="仿宋_GB2312" w:hAnsi="仿宋_GB2312" w:cs="仿宋_GB2312" w:eastAsia="仿宋_GB2312"/>
              </w:rPr>
              <w:t>供应商能够充分理解本项目需求，对项目重点难点进行分析并提供技术建议。 ①分析详尽全面，具体描述合理得当得5分；②分析比较全面，具体描述比较合理得4分；③分析不充分，具体描述有欠妥当得3分； ④未提供相关内容的不得分。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充分了解项目实际情况，对项目实施具有清晰、明确的认知，针对本项目提供完整的实施方案，包括项目所需开发、安装调试、测试、试运行、调优等内容。 ①整体实施方案详实、贴合实际、实用性强得5分； ②整体实施方案内容相对全面或者内容条理不清晰的得4分；③整体实施方案内容有框架无实质性内容的或只对部分内容进行详细描述有缺项的得3分； ④未提供相关内容的不得分。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总体设计方案</w:t>
            </w:r>
          </w:p>
        </w:tc>
        <w:tc>
          <w:tcPr>
            <w:tcW w:type="dxa" w:w="2492"/>
          </w:tcPr>
          <w:p>
            <w:pPr>
              <w:pStyle w:val="null3"/>
            </w:pPr>
            <w:r>
              <w:rPr>
                <w:rFonts w:ascii="仿宋_GB2312" w:hAnsi="仿宋_GB2312" w:cs="仿宋_GB2312" w:eastAsia="仿宋_GB2312"/>
              </w:rPr>
              <w:t>供应商提供完整、详细的系统业务流程理解，①内容合理、思路清晰得5分；②内容较完善、基本合理可行得3分；③方案内容简单笼统，合理性一般得1分；④未提供相关内容不得分。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系统功能设计方案</w:t>
            </w:r>
          </w:p>
        </w:tc>
        <w:tc>
          <w:tcPr>
            <w:tcW w:type="dxa" w:w="2492"/>
          </w:tcPr>
          <w:p>
            <w:pPr>
              <w:pStyle w:val="null3"/>
            </w:pPr>
            <w:r>
              <w:rPr>
                <w:rFonts w:ascii="仿宋_GB2312" w:hAnsi="仿宋_GB2312" w:cs="仿宋_GB2312" w:eastAsia="仿宋_GB2312"/>
              </w:rPr>
              <w:t>系统共3个模块：①处方前置审核②处方点评③合理用药系统，提供完整、详细的系统功能设计或功能模块界面截图，每有一项功能模块可以实现招标文件第三章招标项目技术、服务、商务及其他要求中技术参数与性能指标的功能要求，得5分，满分15分，部分实现或者不能实现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进度计划和保证措施</w:t>
            </w:r>
          </w:p>
        </w:tc>
        <w:tc>
          <w:tcPr>
            <w:tcW w:type="dxa" w:w="2492"/>
          </w:tcPr>
          <w:p>
            <w:pPr>
              <w:pStyle w:val="null3"/>
            </w:pPr>
            <w:r>
              <w:rPr>
                <w:rFonts w:ascii="仿宋_GB2312" w:hAnsi="仿宋_GB2312" w:cs="仿宋_GB2312" w:eastAsia="仿宋_GB2312"/>
              </w:rPr>
              <w:t>供应商针对本项目招标内容有明确项目编制的进度计划，各阶段成果要求，合理的成果交付时限且服务进度保证措施得当。①进度计划、保证措施等内容详细全面，合理可行得5分；②进度计划、保证措施等内容较为合理，可行性一般得3分；③进度计划、保证措施描述简单，可行性差得1分；④未提供相关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拟投入本项目的项目经理及拟投入人员。项目团队应至少包括项目经理、系统架构师、开发工程师、测试工程师、运维工程师等。 ①人员配备全面，经验丰富，具体岗位职责合理得当得5 分； ②人员比较全面，经验较为丰富，具体岗位职责比较合理得3分；③人员欠缺，经验不足，具体岗位职责有欠妥当得1分；④未提供相关内容的不得分。 注： 1、有效人员评审依据：3年以上同类项目实施经验以及2024年6月至今任意六个月社会保障资金缴纳证明，资料有缺项的视为无效人员，不得分。 2、3年以上同类项目实施经验以能体现项目人员的合同、中标通知书、相关资质证书取得年限等证明材料为准。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根据供应商提供在服务期内对本项目合理系统在运行工作时候的应急预案（包括但不限于重要时期、重要节点、重点业务等全方位技术服务保障、人员保障、设备保障等应急措施等）。 ①应急预案科学合理，完善可行得5 分； ②应急预案基本合理，具有一定的可行性得3分；③应急预案描述简单，可行性差得1分； ④未提供相关内容的不得分。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包括培训内容、培训时间、培训目的等，保证使用单位能熟练操作维护和正常使用，并进行简单故障排查处理。①培训服务方案内容全面、安排合理得5分；②培训方案基本合理，针对性一般得3分；③培训方案简略，针对性差得1分；④未提供本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提出完整的项目售后服务方案，包括售后服务承诺、维护响应计划、售后服务内容、故障响应时间、响应方式时间等内容，并且提供专职售后服务工程师。 ①售后服务方案内容全面、安排合理得10分；②售后服务方案基本合理，针对性一般得5分；③售后服务方案简略，针对性差得1分；④未提供本项内容不得分。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供应商对软件系统①处方前置审核、②处方点评、③合理用药系统三部分进行现场演示，演示需结合本项目需求对技术方案进行讲解或演示，演示形式：软件真实程序现场演示，不接受PPT以及远程演示，演示时间不超过15分钟。 每有一项演示内容满足招标文件要求得2分，满分6分。 若某项演示中出现缺陷或不能满足招标文件要求扣1分，扣完为止。 （演示为现场演示，请各供应商携带演示设备，在开标截止时间前在西安市高新四路1号高科广场A座5楼0503第五会议室等待演示。）</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提供2022年1月1日至今类似项目业绩（以合同复印件或扫描件加盖公章为准），每个有效业绩得1分，满分4分。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满足招标文件要求且投标价格最低的投标报价为评标基准价，其价格分为满分。其他投标供应商的价格分统一按照下列公式计算：投标报价得分=（评标基准价/投标报价）×30 ，符合招标文件规定的小微企业、监狱企业优惠条件的供应商，价格给予10%的扣除，用扣除后的价格参与评审。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详见附件：报价表及分项报价表.docx</w:t>
      </w:r>
    </w:p>
    <w:p>
      <w:pPr>
        <w:pStyle w:val="null3"/>
        <w:ind w:firstLine="960"/>
      </w:pPr>
      <w:r>
        <w:rPr>
          <w:rFonts w:ascii="仿宋_GB2312" w:hAnsi="仿宋_GB2312" w:cs="仿宋_GB2312" w:eastAsia="仿宋_GB2312"/>
        </w:rPr>
        <w:t>详见附件：服务方案、人员表及供应商认为有必要提供的其他内容.docx</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