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0F1639">
      <w:pPr>
        <w:adjustRightInd w:val="0"/>
        <w:spacing w:line="416" w:lineRule="atLeast"/>
        <w:textAlignment w:val="baseline"/>
        <w:rPr>
          <w:rFonts w:hint="eastAsia" w:ascii="宋体" w:hAnsi="宋体" w:eastAsia="宋体" w:cs="宋体"/>
          <w:b/>
          <w:bCs/>
          <w:sz w:val="32"/>
          <w:szCs w:val="32"/>
        </w:rPr>
      </w:pPr>
      <w:bookmarkStart w:id="0" w:name="_Toc29294"/>
      <w:bookmarkStart w:id="1" w:name="_Toc356836243"/>
      <w:bookmarkStart w:id="2" w:name="_Toc28316"/>
      <w:r>
        <w:rPr>
          <w:rFonts w:hint="eastAsia" w:ascii="宋体" w:hAnsi="宋体" w:eastAsia="宋体" w:cs="宋体"/>
          <w:b/>
          <w:bCs/>
          <w:sz w:val="32"/>
          <w:szCs w:val="32"/>
        </w:rPr>
        <w:t>附件</w:t>
      </w:r>
      <w:bookmarkEnd w:id="0"/>
      <w:bookmarkEnd w:id="1"/>
      <w:r>
        <w:rPr>
          <w:rFonts w:hint="eastAsia" w:ascii="宋体" w:hAnsi="宋体" w:eastAsia="宋体" w:cs="宋体"/>
          <w:b/>
          <w:bCs/>
          <w:sz w:val="32"/>
          <w:szCs w:val="32"/>
        </w:rPr>
        <w:t xml:space="preserve"> </w:t>
      </w:r>
      <w:bookmarkEnd w:id="2"/>
      <w:r>
        <w:rPr>
          <w:rFonts w:hint="eastAsia" w:ascii="宋体" w:hAnsi="宋体" w:eastAsia="宋体" w:cs="宋体"/>
          <w:b/>
          <w:bCs/>
          <w:sz w:val="32"/>
          <w:szCs w:val="32"/>
        </w:rPr>
        <w:t>技术方案，履约能力，售后及培训</w:t>
      </w:r>
    </w:p>
    <w:p w14:paraId="02CC2171">
      <w:pPr>
        <w:spacing w:line="400" w:lineRule="exact"/>
        <w:ind w:firstLine="480" w:firstLineChars="200"/>
        <w:jc w:val="left"/>
        <w:rPr>
          <w:rFonts w:hint="eastAsia" w:ascii="宋体" w:hAnsi="宋体" w:eastAsia="宋体" w:cs="宋体"/>
          <w:sz w:val="24"/>
        </w:rPr>
      </w:pPr>
      <w:r>
        <w:rPr>
          <w:rFonts w:hint="eastAsia" w:ascii="宋体" w:hAnsi="宋体" w:eastAsia="宋体" w:cs="宋体"/>
          <w:sz w:val="24"/>
        </w:rPr>
        <w:t>根据招标文件“评标办法”和“采购内容及要求”编辑，包括但不限于以下内容：</w:t>
      </w:r>
    </w:p>
    <w:p w14:paraId="0D4DB032">
      <w:pPr>
        <w:spacing w:line="720" w:lineRule="auto"/>
        <w:jc w:val="left"/>
        <w:rPr>
          <w:rFonts w:hint="eastAsia" w:ascii="宋体" w:hAnsi="宋体" w:eastAsia="宋体" w:cs="宋体"/>
          <w:b/>
          <w:bCs/>
          <w:sz w:val="24"/>
        </w:rPr>
      </w:pPr>
      <w:r>
        <w:rPr>
          <w:rFonts w:hint="eastAsia" w:ascii="宋体" w:hAnsi="宋体" w:eastAsia="宋体" w:cs="宋体"/>
          <w:b/>
          <w:bCs/>
          <w:sz w:val="24"/>
        </w:rPr>
        <w:t>一、投标产品的响应的规范性：</w:t>
      </w:r>
    </w:p>
    <w:p w14:paraId="159DDE3E">
      <w:pPr>
        <w:spacing w:line="720" w:lineRule="auto"/>
        <w:jc w:val="left"/>
        <w:rPr>
          <w:rFonts w:hint="eastAsia" w:ascii="宋体" w:hAnsi="宋体" w:eastAsia="宋体" w:cs="宋体"/>
          <w:b/>
          <w:bCs/>
          <w:sz w:val="24"/>
        </w:rPr>
      </w:pPr>
      <w:r>
        <w:rPr>
          <w:rFonts w:hint="eastAsia" w:ascii="宋体" w:hAnsi="宋体" w:eastAsia="宋体" w:cs="宋体"/>
          <w:b/>
          <w:bCs/>
          <w:sz w:val="24"/>
        </w:rPr>
        <w:t>二、实施方案：</w:t>
      </w:r>
    </w:p>
    <w:p w14:paraId="0CF19423">
      <w:pPr>
        <w:spacing w:line="720" w:lineRule="auto"/>
        <w:jc w:val="left"/>
        <w:rPr>
          <w:rFonts w:hint="eastAsia" w:ascii="宋体" w:hAnsi="宋体" w:eastAsia="宋体" w:cs="宋体"/>
          <w:b/>
          <w:bCs/>
          <w:sz w:val="24"/>
        </w:rPr>
      </w:pPr>
      <w:r>
        <w:rPr>
          <w:rFonts w:hint="eastAsia" w:ascii="宋体" w:hAnsi="宋体" w:eastAsia="宋体" w:cs="宋体"/>
          <w:b/>
          <w:bCs/>
          <w:sz w:val="24"/>
        </w:rPr>
        <w:t>三、</w:t>
      </w:r>
      <w:r>
        <w:rPr>
          <w:rFonts w:hint="eastAsia" w:ascii="宋体" w:hAnsi="宋体" w:eastAsia="宋体" w:cs="宋体"/>
          <w:b/>
          <w:bCs/>
          <w:sz w:val="24"/>
          <w:lang w:val="en-US" w:eastAsia="zh-CN"/>
        </w:rPr>
        <w:t>质量保证</w:t>
      </w:r>
      <w:r>
        <w:rPr>
          <w:rFonts w:hint="eastAsia" w:ascii="宋体" w:hAnsi="宋体" w:eastAsia="宋体" w:cs="宋体"/>
          <w:b/>
          <w:bCs/>
          <w:sz w:val="24"/>
        </w:rPr>
        <w:t>：</w:t>
      </w:r>
    </w:p>
    <w:p w14:paraId="78E08106">
      <w:pPr>
        <w:spacing w:line="720" w:lineRule="auto"/>
        <w:jc w:val="left"/>
        <w:rPr>
          <w:rFonts w:hint="eastAsia" w:ascii="宋体" w:hAnsi="宋体" w:eastAsia="宋体" w:cs="宋体"/>
          <w:b/>
          <w:bCs/>
          <w:sz w:val="24"/>
        </w:rPr>
      </w:pPr>
      <w:r>
        <w:rPr>
          <w:rFonts w:hint="eastAsia" w:ascii="宋体" w:hAnsi="宋体" w:eastAsia="宋体" w:cs="宋体"/>
          <w:b/>
          <w:bCs/>
          <w:sz w:val="24"/>
        </w:rPr>
        <w:t>四、售后服务方案：</w:t>
      </w:r>
    </w:p>
    <w:p w14:paraId="2520DAA7">
      <w:pPr>
        <w:spacing w:line="720" w:lineRule="auto"/>
        <w:jc w:val="left"/>
        <w:rPr>
          <w:rFonts w:hint="eastAsia" w:ascii="宋体" w:hAnsi="宋体" w:eastAsia="宋体" w:cs="宋体"/>
          <w:b/>
          <w:bCs/>
          <w:sz w:val="24"/>
        </w:rPr>
      </w:pPr>
      <w:r>
        <w:rPr>
          <w:rFonts w:hint="eastAsia" w:ascii="宋体" w:hAnsi="宋体" w:eastAsia="宋体" w:cs="宋体"/>
          <w:b/>
          <w:bCs/>
          <w:sz w:val="24"/>
        </w:rPr>
        <w:t>五、培训方案：</w:t>
      </w:r>
    </w:p>
    <w:p w14:paraId="094D8FAE">
      <w:pPr>
        <w:spacing w:line="720" w:lineRule="auto"/>
        <w:jc w:val="left"/>
        <w:rPr>
          <w:rFonts w:hint="eastAsia" w:ascii="宋体" w:hAnsi="宋体" w:eastAsia="宋体" w:cs="宋体"/>
          <w:b/>
          <w:bCs/>
          <w:sz w:val="24"/>
        </w:rPr>
      </w:pPr>
      <w:r>
        <w:rPr>
          <w:rFonts w:hint="eastAsia" w:ascii="宋体" w:hAnsi="宋体" w:eastAsia="宋体" w:cs="宋体"/>
          <w:b/>
          <w:bCs/>
          <w:sz w:val="24"/>
        </w:rPr>
        <w:t>六、合理化建议：</w:t>
      </w:r>
    </w:p>
    <w:p w14:paraId="5D4051C0">
      <w:pPr>
        <w:pStyle w:val="3"/>
        <w:rPr>
          <w:rFonts w:hint="eastAsia" w:ascii="宋体" w:hAnsi="宋体" w:eastAsia="宋体" w:cs="宋体"/>
          <w:sz w:val="28"/>
          <w:szCs w:val="28"/>
        </w:rPr>
      </w:pPr>
      <w:r>
        <w:rPr>
          <w:rFonts w:hint="eastAsia" w:ascii="宋体" w:hAnsi="宋体" w:eastAsia="宋体" w:cs="宋体"/>
          <w:sz w:val="28"/>
          <w:szCs w:val="28"/>
        </w:rPr>
        <w:t>……</w:t>
      </w:r>
    </w:p>
    <w:p w14:paraId="16F1A141">
      <w:pPr>
        <w:rPr>
          <w:rFonts w:hint="eastAsia" w:ascii="宋体" w:hAnsi="宋体" w:eastAsia="宋体" w:cs="宋体"/>
          <w:b/>
          <w:bCs/>
          <w:sz w:val="28"/>
          <w:szCs w:val="28"/>
          <w:u w:val="thick"/>
        </w:rPr>
      </w:pPr>
      <w:r>
        <w:rPr>
          <w:rFonts w:hint="eastAsia" w:ascii="宋体" w:hAnsi="宋体" w:eastAsia="宋体" w:cs="宋体"/>
          <w:b/>
          <w:bCs/>
          <w:sz w:val="28"/>
          <w:szCs w:val="28"/>
          <w:u w:val="thick"/>
        </w:rPr>
        <w:t>备注：评分办法中各项内容均应在投标文件目录中明确体现。</w:t>
      </w:r>
    </w:p>
    <w:p w14:paraId="0A80C09D">
      <w:pPr>
        <w:rPr>
          <w:rFonts w:hint="eastAsia" w:ascii="宋体" w:hAnsi="宋体" w:eastAsia="宋体" w:cs="宋体"/>
          <w:b/>
          <w:bCs/>
          <w:sz w:val="28"/>
          <w:szCs w:val="28"/>
          <w:u w:val="thick"/>
        </w:rPr>
      </w:pPr>
      <w:r>
        <w:rPr>
          <w:rFonts w:hint="eastAsia" w:ascii="宋体" w:hAnsi="宋体" w:eastAsia="宋体" w:cs="宋体"/>
          <w:b/>
          <w:bCs/>
          <w:sz w:val="28"/>
          <w:szCs w:val="28"/>
          <w:u w:val="thick"/>
        </w:rPr>
        <w:br w:type="page"/>
      </w:r>
    </w:p>
    <w:p w14:paraId="31D8540A">
      <w:pPr>
        <w:rPr>
          <w:rFonts w:hint="eastAsia" w:ascii="宋体" w:hAnsi="宋体" w:eastAsia="宋体" w:cs="宋体"/>
          <w:sz w:val="32"/>
          <w:szCs w:val="32"/>
        </w:rPr>
      </w:pPr>
      <w:bookmarkStart w:id="3" w:name="_Toc21087"/>
      <w:r>
        <w:rPr>
          <w:rFonts w:hint="eastAsia" w:ascii="宋体" w:hAnsi="宋体" w:eastAsia="宋体" w:cs="宋体"/>
          <w:b/>
          <w:bCs/>
          <w:kern w:val="0"/>
          <w:sz w:val="32"/>
          <w:szCs w:val="32"/>
        </w:rPr>
        <w:t>附件 供应商认为需要提供的其他资料</w:t>
      </w:r>
      <w:bookmarkEnd w:id="3"/>
    </w:p>
    <w:p w14:paraId="29423C24">
      <w:pPr>
        <w:pStyle w:val="3"/>
        <w:rPr>
          <w:rFonts w:hint="eastAsia" w:ascii="宋体" w:hAnsi="宋体" w:eastAsia="宋体" w:cs="宋体"/>
        </w:rPr>
      </w:pPr>
    </w:p>
    <w:p w14:paraId="007E6717">
      <w:pPr>
        <w:rPr>
          <w:b/>
          <w:sz w:val="36"/>
        </w:rPr>
      </w:pPr>
      <w:r>
        <w:rPr>
          <w:b/>
          <w:sz w:val="36"/>
        </w:rPr>
        <w:br w:type="page"/>
      </w:r>
    </w:p>
    <w:p w14:paraId="127C4952">
      <w:pPr>
        <w:spacing w:line="360" w:lineRule="auto"/>
        <w:rPr>
          <w:sz w:val="24"/>
          <w:szCs w:val="32"/>
        </w:rPr>
      </w:pPr>
      <w:r>
        <w:rPr>
          <w:rFonts w:hint="eastAsia"/>
          <w:sz w:val="24"/>
          <w:szCs w:val="32"/>
        </w:rPr>
        <w:t>本项目采购的如有产品属于节能产品政府采购品目清单中应强制采购的产品范围，</w:t>
      </w:r>
      <w:r>
        <w:rPr>
          <w:rFonts w:hint="eastAsia"/>
          <w:b/>
          <w:bCs/>
          <w:sz w:val="24"/>
          <w:szCs w:val="32"/>
        </w:rPr>
        <w:t>供应商应当提供国家确定的认证机构出具的、处于有效期之内的节能产品认证证书</w:t>
      </w:r>
      <w:r>
        <w:rPr>
          <w:rFonts w:hint="eastAsia"/>
          <w:sz w:val="24"/>
          <w:szCs w:val="32"/>
        </w:rPr>
        <w:t>，否则作</w:t>
      </w:r>
      <w:r>
        <w:rPr>
          <w:rFonts w:hint="eastAsia"/>
          <w:b/>
          <w:bCs/>
          <w:sz w:val="24"/>
          <w:szCs w:val="32"/>
        </w:rPr>
        <w:t>无效投标</w:t>
      </w:r>
      <w:r>
        <w:rPr>
          <w:rFonts w:hint="eastAsia"/>
          <w:sz w:val="24"/>
          <w:szCs w:val="32"/>
        </w:rPr>
        <w:t>处理。</w:t>
      </w:r>
      <w:bookmarkStart w:id="4" w:name="_GoBack"/>
      <w:bookmarkEnd w:id="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F3574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Body Text First Indent"/>
    <w:basedOn w:val="2"/>
    <w:qFormat/>
    <w:uiPriority w:val="0"/>
    <w:pPr>
      <w:adjustRightInd w:val="0"/>
      <w:ind w:firstLine="420"/>
      <w:jc w:val="left"/>
      <w:textAlignment w:val="baseline"/>
    </w:pPr>
    <w:rPr>
      <w:kern w:val="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2025-05-19T07:37:42Z</dcterms:created>
  <dc:creator>Administrator</dc:creator>
  <cp:lastModifiedBy>夏日微凉</cp:lastModifiedBy>
  <dcterms:modified xsi:type="dcterms:W3CDTF">2025-05-19T07:43:06Z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eyJoZGlkIjoiNjc0ZjhjMTdhMzRiZWE0ZWJlYzdmZjM1NmIxYzE0OTMiLCJ1c2VySWQiOiIyNTE3NDAxMDAifQ==</vt:lpwstr>
  </property>
  <property fmtid="{D5CDD505-2E9C-101B-9397-08002B2CF9AE}" pid="4" name="ICV">
    <vt:lpwstr>CBC72E50EF574538AA127D6BA3320D96_12</vt:lpwstr>
  </property>
</Properties>
</file>