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B7339">
      <w:pPr>
        <w:pStyle w:val="8"/>
        <w:spacing w:line="360" w:lineRule="auto"/>
        <w:jc w:val="center"/>
        <w:rPr>
          <w:rFonts w:hint="eastAsia" w:ascii="仿宋" w:hAnsi="仿宋" w:eastAsia="仿宋" w:cs="仿宋"/>
          <w:kern w:val="0"/>
          <w:sz w:val="44"/>
          <w:szCs w:val="44"/>
          <w:highlight w:val="none"/>
          <w:lang w:val="en-US" w:eastAsia="zh-CN"/>
        </w:rPr>
      </w:pPr>
      <w:r>
        <w:rPr>
          <w:rFonts w:hint="eastAsia" w:ascii="仿宋" w:hAnsi="仿宋" w:eastAsia="仿宋" w:cs="仿宋"/>
          <w:kern w:val="0"/>
          <w:sz w:val="44"/>
          <w:szCs w:val="44"/>
          <w:highlight w:val="none"/>
          <w:lang w:val="en-US" w:eastAsia="zh-CN"/>
        </w:rPr>
        <w:t>医院司乘服务合同</w:t>
      </w:r>
    </w:p>
    <w:p w14:paraId="270555D6">
      <w:pPr>
        <w:pStyle w:val="8"/>
        <w:spacing w:line="360" w:lineRule="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甲</w:t>
      </w:r>
      <w:r>
        <w:rPr>
          <w:rFonts w:hint="eastAsia" w:ascii="仿宋" w:hAnsi="仿宋" w:eastAsia="仿宋" w:cs="仿宋"/>
          <w:kern w:val="0"/>
          <w:sz w:val="24"/>
          <w:szCs w:val="24"/>
          <w:highlight w:val="none"/>
          <w:lang w:val="en-US" w:eastAsia="zh-CN"/>
        </w:rPr>
        <w:t xml:space="preserve">  </w:t>
      </w:r>
      <w:r>
        <w:rPr>
          <w:rFonts w:hint="eastAsia" w:ascii="仿宋" w:hAnsi="仿宋" w:eastAsia="仿宋" w:cs="仿宋"/>
          <w:kern w:val="0"/>
          <w:sz w:val="24"/>
          <w:szCs w:val="24"/>
          <w:highlight w:val="none"/>
        </w:rPr>
        <w:t>方：</w:t>
      </w:r>
      <w:r>
        <w:rPr>
          <w:rFonts w:hint="eastAsia" w:ascii="仿宋" w:hAnsi="仿宋" w:eastAsia="仿宋" w:cs="仿宋"/>
          <w:kern w:val="0"/>
          <w:sz w:val="24"/>
          <w:szCs w:val="24"/>
          <w:highlight w:val="none"/>
          <w:lang w:val="en-US" w:eastAsia="zh-CN"/>
        </w:rPr>
        <w:t>陕西中医药大学附属医院</w:t>
      </w:r>
      <w:r>
        <w:rPr>
          <w:rFonts w:hint="eastAsia" w:ascii="仿宋" w:hAnsi="仿宋" w:eastAsia="仿宋" w:cs="仿宋"/>
          <w:kern w:val="0"/>
          <w:sz w:val="24"/>
          <w:szCs w:val="24"/>
          <w:highlight w:val="none"/>
        </w:rPr>
        <w:t>  </w:t>
      </w:r>
    </w:p>
    <w:p w14:paraId="7B514E3E">
      <w:pPr>
        <w:pStyle w:val="8"/>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乙</w:t>
      </w:r>
      <w:r>
        <w:rPr>
          <w:rFonts w:hint="eastAsia" w:ascii="仿宋" w:hAnsi="仿宋" w:eastAsia="仿宋" w:cs="仿宋"/>
          <w:kern w:val="0"/>
          <w:sz w:val="24"/>
          <w:szCs w:val="24"/>
          <w:highlight w:val="none"/>
          <w:lang w:val="en-US" w:eastAsia="zh-CN"/>
        </w:rPr>
        <w:t xml:space="preserve">  </w:t>
      </w:r>
      <w:r>
        <w:rPr>
          <w:rFonts w:hint="eastAsia" w:ascii="仿宋" w:hAnsi="仿宋" w:eastAsia="仿宋" w:cs="仿宋"/>
          <w:kern w:val="0"/>
          <w:sz w:val="24"/>
          <w:szCs w:val="24"/>
          <w:highlight w:val="none"/>
        </w:rPr>
        <w:t xml:space="preserve">方：   </w:t>
      </w:r>
    </w:p>
    <w:p w14:paraId="7BFFEC34">
      <w:pPr>
        <w:pStyle w:val="8"/>
        <w:spacing w:line="360" w:lineRule="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 xml:space="preserve">  </w:t>
      </w:r>
    </w:p>
    <w:p w14:paraId="4DAD46DB">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根据</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rPr>
        <w:t>中华人民共和国民法典》及相关法律、法规的规定，甲乙双方本着公平诚信、平等互利的原则，经双方友好协商，就乙方为甲方提供</w:t>
      </w:r>
      <w:r>
        <w:rPr>
          <w:rFonts w:hint="eastAsia" w:ascii="仿宋" w:hAnsi="仿宋" w:eastAsia="仿宋" w:cs="仿宋"/>
          <w:kern w:val="0"/>
          <w:sz w:val="24"/>
          <w:szCs w:val="24"/>
          <w:highlight w:val="none"/>
          <w:lang w:val="en-US" w:eastAsia="zh-CN"/>
        </w:rPr>
        <w:t xml:space="preserve">   </w:t>
      </w:r>
      <w:r>
        <w:rPr>
          <w:rFonts w:hint="eastAsia" w:ascii="仿宋" w:hAnsi="仿宋" w:eastAsia="仿宋" w:cs="仿宋"/>
          <w:kern w:val="0"/>
          <w:sz w:val="24"/>
          <w:szCs w:val="24"/>
          <w:highlight w:val="none"/>
        </w:rPr>
        <w:t>年期</w:t>
      </w:r>
      <w:r>
        <w:rPr>
          <w:rFonts w:hint="eastAsia" w:ascii="仿宋" w:hAnsi="仿宋" w:eastAsia="仿宋" w:cs="仿宋"/>
          <w:kern w:val="0"/>
          <w:sz w:val="24"/>
          <w:szCs w:val="24"/>
          <w:highlight w:val="none"/>
          <w:lang w:val="en-US" w:eastAsia="zh-CN"/>
        </w:rPr>
        <w:t>电梯司乘</w:t>
      </w:r>
      <w:r>
        <w:rPr>
          <w:rFonts w:hint="eastAsia" w:ascii="仿宋" w:hAnsi="仿宋" w:eastAsia="仿宋" w:cs="仿宋"/>
          <w:kern w:val="0"/>
          <w:sz w:val="24"/>
          <w:szCs w:val="24"/>
          <w:highlight w:val="none"/>
        </w:rPr>
        <w:t>服务等相关事宜，签订本合同，以便共同遵守。</w:t>
      </w:r>
    </w:p>
    <w:p w14:paraId="022709E9">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一、合同内容:</w:t>
      </w:r>
    </w:p>
    <w:p w14:paraId="7011336B">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在医院指定区域，为医院提供电梯司乘（司梯服务）的日常运行管理、清洁保养服务等。（详见合同第五部分内容及服务标准）</w:t>
      </w:r>
    </w:p>
    <w:p w14:paraId="770BC2ED">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二、合同价款：</w:t>
      </w:r>
    </w:p>
    <w:p w14:paraId="76BC6388">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1、合同总价款为人民币</w:t>
      </w:r>
      <w:r>
        <w:rPr>
          <w:rFonts w:hint="eastAsia" w:ascii="仿宋" w:hAnsi="仿宋" w:eastAsia="仿宋" w:cs="仿宋"/>
          <w:kern w:val="0"/>
          <w:sz w:val="24"/>
          <w:szCs w:val="24"/>
          <w:highlight w:val="none"/>
          <w:u w:val="single"/>
        </w:rPr>
        <w:t>:</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元/年 </w:t>
      </w:r>
      <w:r>
        <w:rPr>
          <w:rFonts w:hint="eastAsia" w:ascii="仿宋" w:hAnsi="仿宋" w:eastAsia="仿宋" w:cs="仿宋"/>
          <w:kern w:val="0"/>
          <w:sz w:val="24"/>
          <w:szCs w:val="24"/>
          <w:highlight w:val="none"/>
        </w:rPr>
        <w:t>（大写</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p>
    <w:p w14:paraId="1D68D22C">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2、合同总价包括：人工费、节假日加班费、办公经费、</w:t>
      </w:r>
      <w:r>
        <w:rPr>
          <w:rFonts w:hint="eastAsia" w:ascii="仿宋" w:hAnsi="仿宋" w:eastAsia="仿宋" w:cs="仿宋"/>
          <w:kern w:val="0"/>
          <w:sz w:val="24"/>
          <w:szCs w:val="24"/>
          <w:highlight w:val="none"/>
          <w:lang w:val="en-US" w:eastAsia="zh-CN"/>
        </w:rPr>
        <w:t>服装</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司梯</w:t>
      </w:r>
      <w:r>
        <w:rPr>
          <w:rFonts w:hint="eastAsia" w:ascii="仿宋" w:hAnsi="仿宋" w:eastAsia="仿宋" w:cs="仿宋"/>
          <w:kern w:val="0"/>
          <w:sz w:val="24"/>
          <w:szCs w:val="24"/>
          <w:highlight w:val="none"/>
        </w:rPr>
        <w:t>员人身意外保险费、体检费、利润、管理费用和税金等费用</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乙方在提供司乘服务时不再向甲方收取任何费用</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本合同价款为</w:t>
      </w:r>
      <w:r>
        <w:rPr>
          <w:rFonts w:hint="eastAsia" w:ascii="仿宋" w:hAnsi="仿宋" w:eastAsia="仿宋" w:cs="仿宋"/>
          <w:kern w:val="0"/>
          <w:sz w:val="24"/>
          <w:szCs w:val="24"/>
          <w:highlight w:val="none"/>
        </w:rPr>
        <w:t>整个项目达到正常服务条件下所包含的一切费用。</w:t>
      </w:r>
    </w:p>
    <w:p w14:paraId="7FEC6E5C">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3、合同总价一次包死，不受市场价变化的影响。</w:t>
      </w:r>
      <w:r>
        <w:rPr>
          <w:rFonts w:hint="eastAsia" w:ascii="仿宋" w:hAnsi="仿宋" w:eastAsia="仿宋" w:cs="仿宋"/>
          <w:kern w:val="0"/>
          <w:sz w:val="24"/>
          <w:szCs w:val="24"/>
          <w:highlight w:val="none"/>
          <w:lang w:val="en-US" w:eastAsia="zh-CN"/>
        </w:rPr>
        <w:t>如甲方根据项目需要增减服务人员，则据实结算。</w:t>
      </w:r>
    </w:p>
    <w:p w14:paraId="3AA1BF24">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kern w:val="0"/>
          <w:sz w:val="24"/>
          <w:szCs w:val="24"/>
          <w:highlight w:val="none"/>
          <w:lang w:val="en-US" w:eastAsia="zh-CN"/>
        </w:rPr>
        <w:t>4、甲方按季度向乙方进行结算，</w:t>
      </w:r>
      <w:r>
        <w:rPr>
          <w:rFonts w:hint="eastAsia" w:ascii="仿宋" w:hAnsi="仿宋" w:eastAsia="仿宋" w:cs="仿宋"/>
          <w:kern w:val="0"/>
          <w:sz w:val="24"/>
          <w:szCs w:val="24"/>
          <w:highlight w:val="none"/>
        </w:rPr>
        <w:t>乙方</w:t>
      </w:r>
      <w:r>
        <w:rPr>
          <w:rFonts w:hint="eastAsia" w:ascii="仿宋" w:hAnsi="仿宋" w:eastAsia="仿宋" w:cs="仿宋"/>
          <w:kern w:val="0"/>
          <w:sz w:val="24"/>
          <w:szCs w:val="24"/>
          <w:highlight w:val="none"/>
          <w:lang w:val="en-US" w:eastAsia="zh-CN"/>
        </w:rPr>
        <w:t>需</w:t>
      </w:r>
      <w:r>
        <w:rPr>
          <w:rFonts w:hint="eastAsia" w:ascii="仿宋" w:hAnsi="仿宋" w:eastAsia="仿宋" w:cs="仿宋"/>
          <w:kern w:val="0"/>
          <w:sz w:val="24"/>
          <w:szCs w:val="24"/>
          <w:highlight w:val="none"/>
        </w:rPr>
        <w:t>提供有效的增值税普通发票办理结算。</w:t>
      </w:r>
      <w:r>
        <w:rPr>
          <w:rFonts w:hint="eastAsia" w:ascii="仿宋" w:hAnsi="仿宋" w:eastAsia="仿宋" w:cs="仿宋"/>
          <w:kern w:val="0"/>
          <w:sz w:val="24"/>
          <w:szCs w:val="24"/>
          <w:highlight w:val="none"/>
          <w:lang w:val="en-US" w:eastAsia="zh-CN"/>
        </w:rPr>
        <w:t>甲方对乙方提供服务考评合格</w:t>
      </w:r>
      <w:r>
        <w:rPr>
          <w:rFonts w:hint="eastAsia" w:ascii="仿宋" w:hAnsi="仿宋" w:eastAsia="仿宋" w:cs="仿宋"/>
          <w:color w:val="000000"/>
          <w:kern w:val="0"/>
          <w:sz w:val="24"/>
          <w:szCs w:val="24"/>
          <w:highlight w:val="none"/>
        </w:rPr>
        <w:t>向乙方全额支付</w:t>
      </w:r>
      <w:r>
        <w:rPr>
          <w:rFonts w:hint="eastAsia" w:ascii="仿宋" w:hAnsi="仿宋" w:eastAsia="仿宋" w:cs="仿宋"/>
          <w:color w:val="000000"/>
          <w:kern w:val="0"/>
          <w:sz w:val="24"/>
          <w:szCs w:val="24"/>
          <w:highlight w:val="none"/>
          <w:lang w:val="en-US" w:eastAsia="zh-CN"/>
        </w:rPr>
        <w:t>司梯</w:t>
      </w:r>
      <w:r>
        <w:rPr>
          <w:rFonts w:hint="eastAsia" w:ascii="仿宋" w:hAnsi="仿宋" w:eastAsia="仿宋" w:cs="仿宋"/>
          <w:color w:val="000000"/>
          <w:kern w:val="0"/>
          <w:sz w:val="24"/>
          <w:szCs w:val="24"/>
          <w:highlight w:val="none"/>
        </w:rPr>
        <w:t>服务费</w:t>
      </w:r>
      <w:r>
        <w:rPr>
          <w:rFonts w:hint="eastAsia" w:ascii="仿宋" w:hAnsi="仿宋" w:eastAsia="仿宋" w:cs="仿宋"/>
          <w:color w:val="000000"/>
          <w:kern w:val="0"/>
          <w:sz w:val="24"/>
          <w:szCs w:val="24"/>
          <w:highlight w:val="none"/>
          <w:lang w:val="en-US" w:eastAsia="zh-CN"/>
        </w:rPr>
        <w:t>用</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lang w:val="en-US" w:eastAsia="zh-CN"/>
        </w:rPr>
        <w:t>考评不合格时甲方结合考评结果扣除相关费用后向乙方支付费用</w:t>
      </w:r>
      <w:r>
        <w:rPr>
          <w:rFonts w:hint="eastAsia" w:ascii="仿宋" w:hAnsi="仿宋" w:eastAsia="仿宋" w:cs="仿宋"/>
          <w:color w:val="000000"/>
          <w:kern w:val="0"/>
          <w:sz w:val="24"/>
          <w:szCs w:val="24"/>
          <w:highlight w:val="none"/>
        </w:rPr>
        <w:t>。</w:t>
      </w:r>
    </w:p>
    <w:p w14:paraId="7206A9D8">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四、服务期限:</w:t>
      </w:r>
    </w:p>
    <w:p w14:paraId="0B42EA4B">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服务期限：3年，即 年 月 日- 年</w:t>
      </w:r>
      <w:r>
        <w:rPr>
          <w:rFonts w:hint="eastAsia" w:ascii="仿宋" w:hAnsi="仿宋" w:eastAsia="仿宋" w:cs="仿宋"/>
          <w:color w:val="000000"/>
          <w:kern w:val="0"/>
          <w:sz w:val="24"/>
          <w:szCs w:val="24"/>
          <w:highlight w:val="none"/>
          <w:lang w:val="en-US" w:eastAsia="zh-CN"/>
        </w:rPr>
        <w:t xml:space="preserve"> </w:t>
      </w:r>
      <w:r>
        <w:rPr>
          <w:rFonts w:hint="eastAsia" w:ascii="仿宋" w:hAnsi="仿宋" w:eastAsia="仿宋" w:cs="仿宋"/>
          <w:color w:val="000000"/>
          <w:kern w:val="0"/>
          <w:sz w:val="24"/>
          <w:szCs w:val="24"/>
          <w:highlight w:val="none"/>
        </w:rPr>
        <w:t>月 日实行年度考核，年度考核基于</w:t>
      </w:r>
      <w:r>
        <w:rPr>
          <w:rFonts w:hint="eastAsia" w:ascii="仿宋" w:hAnsi="仿宋" w:eastAsia="仿宋" w:cs="仿宋"/>
          <w:color w:val="000000"/>
          <w:kern w:val="0"/>
          <w:sz w:val="24"/>
          <w:szCs w:val="24"/>
          <w:highlight w:val="none"/>
          <w:lang w:val="en-US" w:eastAsia="zh-CN"/>
        </w:rPr>
        <w:t>年度整体服务</w:t>
      </w:r>
      <w:r>
        <w:rPr>
          <w:rFonts w:hint="eastAsia" w:ascii="仿宋" w:hAnsi="仿宋" w:eastAsia="仿宋" w:cs="仿宋"/>
          <w:color w:val="000000"/>
          <w:kern w:val="0"/>
          <w:sz w:val="24"/>
          <w:szCs w:val="24"/>
          <w:highlight w:val="none"/>
        </w:rPr>
        <w:t>进行综合评分</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lang w:val="en-US" w:eastAsia="zh-CN"/>
        </w:rPr>
        <w:t>如</w:t>
      </w:r>
      <w:r>
        <w:rPr>
          <w:rFonts w:hint="eastAsia" w:ascii="仿宋" w:hAnsi="仿宋" w:eastAsia="仿宋" w:cs="仿宋"/>
          <w:color w:val="000000"/>
          <w:kern w:val="0"/>
          <w:sz w:val="24"/>
          <w:szCs w:val="24"/>
          <w:highlight w:val="none"/>
        </w:rPr>
        <w:t>年度考核</w:t>
      </w:r>
      <w:r>
        <w:rPr>
          <w:rFonts w:hint="eastAsia" w:ascii="仿宋" w:hAnsi="仿宋" w:eastAsia="仿宋" w:cs="仿宋"/>
          <w:color w:val="000000"/>
          <w:kern w:val="0"/>
          <w:sz w:val="24"/>
          <w:szCs w:val="24"/>
          <w:highlight w:val="none"/>
          <w:lang w:val="en-US" w:eastAsia="zh-CN"/>
        </w:rPr>
        <w:t>不</w:t>
      </w:r>
      <w:r>
        <w:rPr>
          <w:rFonts w:hint="eastAsia" w:ascii="仿宋" w:hAnsi="仿宋" w:eastAsia="仿宋" w:cs="仿宋"/>
          <w:color w:val="000000"/>
          <w:kern w:val="0"/>
          <w:sz w:val="24"/>
          <w:szCs w:val="24"/>
          <w:highlight w:val="none"/>
        </w:rPr>
        <w:t>合格</w:t>
      </w:r>
      <w:r>
        <w:rPr>
          <w:rFonts w:hint="eastAsia" w:ascii="仿宋" w:hAnsi="仿宋" w:eastAsia="仿宋" w:cs="仿宋"/>
          <w:color w:val="000000"/>
          <w:kern w:val="0"/>
          <w:sz w:val="24"/>
          <w:szCs w:val="24"/>
          <w:highlight w:val="none"/>
          <w:lang w:val="en-US" w:eastAsia="zh-CN"/>
        </w:rPr>
        <w:t>则甲方有权终止合同</w:t>
      </w:r>
      <w:r>
        <w:rPr>
          <w:rFonts w:hint="eastAsia" w:ascii="仿宋" w:hAnsi="仿宋" w:eastAsia="仿宋" w:cs="仿宋"/>
          <w:color w:val="000000"/>
          <w:kern w:val="0"/>
          <w:sz w:val="24"/>
          <w:szCs w:val="24"/>
          <w:highlight w:val="none"/>
        </w:rPr>
        <w:t xml:space="preserve">。 </w:t>
      </w:r>
    </w:p>
    <w:p w14:paraId="466BD765">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w:t>
      </w:r>
      <w:r>
        <w:rPr>
          <w:rFonts w:hint="eastAsia" w:ascii="仿宋" w:hAnsi="仿宋" w:eastAsia="仿宋" w:cs="仿宋"/>
          <w:b/>
          <w:sz w:val="24"/>
          <w:szCs w:val="24"/>
          <w:highlight w:val="none"/>
          <w:lang w:val="en-US" w:eastAsia="zh-CN"/>
        </w:rPr>
        <w:t>人员配置</w:t>
      </w:r>
      <w:r>
        <w:rPr>
          <w:rFonts w:hint="eastAsia" w:ascii="仿宋" w:hAnsi="仿宋" w:eastAsia="仿宋" w:cs="仿宋"/>
          <w:b/>
          <w:sz w:val="24"/>
          <w:szCs w:val="24"/>
          <w:highlight w:val="none"/>
        </w:rPr>
        <w:t>:</w:t>
      </w:r>
    </w:p>
    <w:p w14:paraId="6B457E2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sz w:val="24"/>
          <w:szCs w:val="24"/>
          <w:lang w:val="en-US" w:eastAsia="zh-CN"/>
        </w:rPr>
        <w:t>白班司乘人员年龄要求为女性45岁以下形象良好，夜班要求为男性责任心强，本项目主管要求具备医院项目管理经验从事电梯司乘物业服务等项目5年以上。</w:t>
      </w:r>
      <w:r>
        <w:rPr>
          <w:rFonts w:hint="eastAsia" w:ascii="仿宋" w:hAnsi="仿宋" w:eastAsia="仿宋" w:cs="仿宋"/>
          <w:color w:val="auto"/>
          <w:kern w:val="0"/>
          <w:sz w:val="24"/>
          <w:szCs w:val="24"/>
          <w:highlight w:val="none"/>
          <w:lang w:val="en-US" w:eastAsia="zh-CN"/>
        </w:rPr>
        <w:t>以下岗位人员安排情况</w:t>
      </w:r>
    </w:p>
    <w:tbl>
      <w:tblPr>
        <w:tblStyle w:val="10"/>
        <w:tblpPr w:leftFromText="180" w:rightFromText="180" w:vertAnchor="text" w:horzAnchor="page" w:tblpX="2350" w:tblpY="489"/>
        <w:tblOverlap w:val="never"/>
        <w:tblW w:w="463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45"/>
        <w:gridCol w:w="4114"/>
        <w:gridCol w:w="2645"/>
      </w:tblGrid>
      <w:tr w14:paraId="20387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09466950">
            <w:pPr>
              <w:pStyle w:val="9"/>
              <w:spacing w:before="82" w:line="221" w:lineRule="auto"/>
              <w:jc w:val="center"/>
              <w:rPr>
                <w:rFonts w:hint="eastAsia" w:ascii="仿宋" w:hAnsi="仿宋" w:eastAsia="仿宋" w:cs="仿宋"/>
                <w:b/>
                <w:bCs/>
                <w:spacing w:val="-5"/>
                <w:sz w:val="24"/>
                <w:szCs w:val="24"/>
                <w:lang w:val="en-US" w:eastAsia="zh-CN"/>
              </w:rPr>
            </w:pPr>
            <w:r>
              <w:rPr>
                <w:rFonts w:hint="eastAsia" w:ascii="仿宋" w:hAnsi="仿宋" w:eastAsia="仿宋" w:cs="仿宋"/>
                <w:b/>
                <w:bCs/>
                <w:spacing w:val="-5"/>
                <w:sz w:val="24"/>
                <w:szCs w:val="24"/>
                <w:lang w:val="en-US" w:eastAsia="zh-CN"/>
              </w:rPr>
              <w:t>序号</w:t>
            </w:r>
          </w:p>
        </w:tc>
        <w:tc>
          <w:tcPr>
            <w:tcW w:w="2669" w:type="pct"/>
            <w:vAlign w:val="center"/>
          </w:tcPr>
          <w:p w14:paraId="49DA9E4B">
            <w:pPr>
              <w:pStyle w:val="9"/>
              <w:spacing w:before="82" w:line="221"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岗位</w:t>
            </w:r>
          </w:p>
        </w:tc>
        <w:tc>
          <w:tcPr>
            <w:tcW w:w="1716" w:type="pct"/>
            <w:vAlign w:val="center"/>
          </w:tcPr>
          <w:p w14:paraId="3BC87501">
            <w:pPr>
              <w:pStyle w:val="9"/>
              <w:spacing w:before="82" w:line="221" w:lineRule="auto"/>
              <w:jc w:val="center"/>
              <w:rPr>
                <w:rFonts w:hint="eastAsia" w:ascii="仿宋" w:hAnsi="仿宋" w:eastAsia="仿宋" w:cs="仿宋"/>
                <w:b/>
                <w:bCs/>
                <w:sz w:val="24"/>
                <w:szCs w:val="24"/>
                <w:lang w:eastAsia="zh-CN"/>
              </w:rPr>
            </w:pPr>
            <w:r>
              <w:rPr>
                <w:rFonts w:hint="eastAsia" w:ascii="仿宋" w:hAnsi="仿宋" w:eastAsia="仿宋" w:cs="仿宋"/>
                <w:b/>
                <w:bCs/>
                <w:spacing w:val="-5"/>
                <w:sz w:val="24"/>
                <w:szCs w:val="24"/>
                <w:lang w:val="en-US" w:eastAsia="zh-CN"/>
              </w:rPr>
              <w:t>人数</w:t>
            </w:r>
          </w:p>
        </w:tc>
      </w:tr>
      <w:tr w14:paraId="1183A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60F8C95D">
            <w:pPr>
              <w:pStyle w:val="9"/>
              <w:spacing w:before="79" w:line="219" w:lineRule="auto"/>
              <w:jc w:val="center"/>
              <w:rPr>
                <w:rFonts w:hint="eastAsia" w:ascii="仿宋" w:hAnsi="仿宋" w:eastAsia="仿宋" w:cs="仿宋"/>
                <w:b/>
                <w:bCs/>
                <w:spacing w:val="-5"/>
                <w:sz w:val="24"/>
                <w:szCs w:val="24"/>
                <w:lang w:val="en-US" w:eastAsia="zh-CN"/>
              </w:rPr>
            </w:pPr>
            <w:r>
              <w:rPr>
                <w:rFonts w:hint="eastAsia" w:ascii="仿宋" w:hAnsi="仿宋" w:eastAsia="仿宋" w:cs="仿宋"/>
                <w:b/>
                <w:bCs/>
                <w:spacing w:val="-5"/>
                <w:sz w:val="24"/>
                <w:szCs w:val="24"/>
                <w:lang w:val="en-US" w:eastAsia="zh-CN"/>
              </w:rPr>
              <w:t>1</w:t>
            </w:r>
          </w:p>
        </w:tc>
        <w:tc>
          <w:tcPr>
            <w:tcW w:w="2669" w:type="pct"/>
            <w:vAlign w:val="center"/>
          </w:tcPr>
          <w:p w14:paraId="05862B63">
            <w:pPr>
              <w:pStyle w:val="9"/>
              <w:spacing w:before="79" w:line="219" w:lineRule="auto"/>
              <w:jc w:val="center"/>
              <w:rPr>
                <w:rFonts w:hint="eastAsia" w:ascii="仿宋" w:hAnsi="仿宋" w:eastAsia="仿宋" w:cs="仿宋"/>
                <w:sz w:val="24"/>
                <w:szCs w:val="24"/>
                <w:lang w:eastAsia="zh-CN"/>
              </w:rPr>
            </w:pPr>
          </w:p>
        </w:tc>
        <w:tc>
          <w:tcPr>
            <w:tcW w:w="1716" w:type="pct"/>
            <w:vAlign w:val="center"/>
          </w:tcPr>
          <w:p w14:paraId="7B6A148D">
            <w:pPr>
              <w:pStyle w:val="9"/>
              <w:spacing w:before="137" w:line="184" w:lineRule="auto"/>
              <w:jc w:val="center"/>
              <w:rPr>
                <w:rFonts w:hint="eastAsia" w:ascii="仿宋" w:hAnsi="仿宋" w:eastAsia="仿宋" w:cs="仿宋"/>
                <w:sz w:val="24"/>
                <w:szCs w:val="24"/>
                <w:lang w:eastAsia="zh-CN"/>
              </w:rPr>
            </w:pPr>
          </w:p>
        </w:tc>
      </w:tr>
      <w:tr w14:paraId="18BA5B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10F81CBC">
            <w:pPr>
              <w:pStyle w:val="9"/>
              <w:spacing w:before="83" w:line="221"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w:t>
            </w:r>
          </w:p>
        </w:tc>
        <w:tc>
          <w:tcPr>
            <w:tcW w:w="2669" w:type="pct"/>
            <w:vAlign w:val="center"/>
          </w:tcPr>
          <w:p w14:paraId="1920C3CC">
            <w:pPr>
              <w:pStyle w:val="9"/>
              <w:spacing w:before="83" w:line="221" w:lineRule="auto"/>
              <w:jc w:val="center"/>
              <w:rPr>
                <w:rFonts w:hint="eastAsia" w:ascii="仿宋" w:hAnsi="仿宋" w:eastAsia="仿宋" w:cs="仿宋"/>
                <w:b/>
                <w:bCs/>
                <w:sz w:val="24"/>
                <w:szCs w:val="24"/>
                <w:lang w:val="en-US" w:eastAsia="zh-CN"/>
              </w:rPr>
            </w:pPr>
          </w:p>
        </w:tc>
        <w:tc>
          <w:tcPr>
            <w:tcW w:w="1716" w:type="pct"/>
            <w:vAlign w:val="center"/>
          </w:tcPr>
          <w:p w14:paraId="1ACFD49C">
            <w:pPr>
              <w:pStyle w:val="9"/>
              <w:spacing w:before="143" w:line="180" w:lineRule="auto"/>
              <w:jc w:val="center"/>
              <w:rPr>
                <w:rFonts w:hint="eastAsia" w:ascii="仿宋" w:hAnsi="仿宋" w:eastAsia="仿宋" w:cs="仿宋"/>
                <w:sz w:val="24"/>
                <w:szCs w:val="24"/>
                <w:lang w:val="en-US" w:eastAsia="zh-CN"/>
              </w:rPr>
            </w:pPr>
          </w:p>
        </w:tc>
      </w:tr>
      <w:tr w14:paraId="69579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0436A5F1">
            <w:pPr>
              <w:pStyle w:val="9"/>
              <w:spacing w:before="83" w:line="221"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w:t>
            </w:r>
          </w:p>
        </w:tc>
        <w:tc>
          <w:tcPr>
            <w:tcW w:w="2669" w:type="pct"/>
            <w:vAlign w:val="center"/>
          </w:tcPr>
          <w:p w14:paraId="22A057D7">
            <w:pPr>
              <w:pStyle w:val="9"/>
              <w:spacing w:before="83" w:line="221" w:lineRule="auto"/>
              <w:jc w:val="center"/>
              <w:rPr>
                <w:rFonts w:hint="eastAsia" w:ascii="仿宋" w:hAnsi="仿宋" w:eastAsia="仿宋" w:cs="仿宋"/>
                <w:b/>
                <w:bCs/>
                <w:sz w:val="24"/>
                <w:szCs w:val="24"/>
                <w:lang w:val="en-US" w:eastAsia="zh-CN"/>
              </w:rPr>
            </w:pPr>
          </w:p>
        </w:tc>
        <w:tc>
          <w:tcPr>
            <w:tcW w:w="1716" w:type="pct"/>
            <w:vAlign w:val="center"/>
          </w:tcPr>
          <w:p w14:paraId="04275E8D">
            <w:pPr>
              <w:pStyle w:val="9"/>
              <w:spacing w:before="143" w:line="180" w:lineRule="auto"/>
              <w:jc w:val="center"/>
              <w:rPr>
                <w:rFonts w:hint="eastAsia" w:ascii="仿宋" w:hAnsi="仿宋" w:eastAsia="仿宋" w:cs="仿宋"/>
                <w:sz w:val="24"/>
                <w:szCs w:val="24"/>
                <w:lang w:val="en-US" w:eastAsia="zh-CN"/>
              </w:rPr>
            </w:pPr>
          </w:p>
        </w:tc>
      </w:tr>
      <w:tr w14:paraId="54BC2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6BF6CC5C">
            <w:pPr>
              <w:pStyle w:val="9"/>
              <w:spacing w:before="83" w:line="221"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4</w:t>
            </w:r>
          </w:p>
        </w:tc>
        <w:tc>
          <w:tcPr>
            <w:tcW w:w="2669" w:type="pct"/>
            <w:vAlign w:val="center"/>
          </w:tcPr>
          <w:p w14:paraId="7531C353">
            <w:pPr>
              <w:pStyle w:val="9"/>
              <w:spacing w:before="83" w:line="221" w:lineRule="auto"/>
              <w:jc w:val="center"/>
              <w:rPr>
                <w:rFonts w:hint="eastAsia" w:ascii="仿宋" w:hAnsi="仿宋" w:eastAsia="仿宋" w:cs="仿宋"/>
                <w:b/>
                <w:bCs/>
                <w:sz w:val="24"/>
                <w:szCs w:val="24"/>
                <w:lang w:val="en-US" w:eastAsia="zh-CN"/>
              </w:rPr>
            </w:pPr>
          </w:p>
        </w:tc>
        <w:tc>
          <w:tcPr>
            <w:tcW w:w="1716" w:type="pct"/>
            <w:vAlign w:val="center"/>
          </w:tcPr>
          <w:p w14:paraId="46B931D9">
            <w:pPr>
              <w:pStyle w:val="9"/>
              <w:spacing w:before="143" w:line="180" w:lineRule="auto"/>
              <w:jc w:val="center"/>
              <w:rPr>
                <w:rFonts w:hint="eastAsia" w:ascii="仿宋" w:hAnsi="仿宋" w:eastAsia="仿宋" w:cs="仿宋"/>
                <w:sz w:val="24"/>
                <w:szCs w:val="24"/>
                <w:lang w:val="en-US" w:eastAsia="zh-CN"/>
              </w:rPr>
            </w:pPr>
          </w:p>
        </w:tc>
      </w:tr>
      <w:tr w14:paraId="42FFA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2A43AF15">
            <w:pPr>
              <w:pStyle w:val="9"/>
              <w:spacing w:before="83" w:line="221"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5</w:t>
            </w:r>
          </w:p>
        </w:tc>
        <w:tc>
          <w:tcPr>
            <w:tcW w:w="2669" w:type="pct"/>
            <w:vAlign w:val="center"/>
          </w:tcPr>
          <w:p w14:paraId="35C65987">
            <w:pPr>
              <w:pStyle w:val="9"/>
              <w:spacing w:before="83" w:line="221" w:lineRule="auto"/>
              <w:jc w:val="center"/>
              <w:rPr>
                <w:rFonts w:hint="eastAsia" w:ascii="仿宋" w:hAnsi="仿宋" w:eastAsia="仿宋" w:cs="仿宋"/>
                <w:b/>
                <w:bCs/>
                <w:sz w:val="24"/>
                <w:szCs w:val="24"/>
                <w:lang w:val="en-US" w:eastAsia="zh-CN"/>
              </w:rPr>
            </w:pPr>
          </w:p>
        </w:tc>
        <w:tc>
          <w:tcPr>
            <w:tcW w:w="1716" w:type="pct"/>
            <w:vAlign w:val="center"/>
          </w:tcPr>
          <w:p w14:paraId="7548804F">
            <w:pPr>
              <w:pStyle w:val="9"/>
              <w:spacing w:before="141" w:line="184" w:lineRule="auto"/>
              <w:jc w:val="center"/>
              <w:rPr>
                <w:rFonts w:hint="eastAsia" w:ascii="仿宋" w:hAnsi="仿宋" w:eastAsia="仿宋" w:cs="仿宋"/>
                <w:sz w:val="24"/>
                <w:szCs w:val="24"/>
                <w:lang w:val="en-US" w:eastAsia="zh-CN"/>
              </w:rPr>
            </w:pPr>
          </w:p>
        </w:tc>
      </w:tr>
      <w:tr w14:paraId="61C74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613" w:type="pct"/>
            <w:vAlign w:val="center"/>
          </w:tcPr>
          <w:p w14:paraId="3906244D">
            <w:pPr>
              <w:pStyle w:val="9"/>
              <w:spacing w:before="85" w:line="221" w:lineRule="auto"/>
              <w:jc w:val="center"/>
              <w:rPr>
                <w:rFonts w:hint="eastAsia" w:ascii="仿宋" w:hAnsi="仿宋" w:eastAsia="仿宋" w:cs="仿宋"/>
                <w:b/>
                <w:bCs/>
                <w:spacing w:val="-6"/>
                <w:sz w:val="24"/>
                <w:szCs w:val="24"/>
              </w:rPr>
            </w:pPr>
          </w:p>
        </w:tc>
        <w:tc>
          <w:tcPr>
            <w:tcW w:w="2669" w:type="pct"/>
            <w:vAlign w:val="center"/>
          </w:tcPr>
          <w:p w14:paraId="7FD23B6B">
            <w:pPr>
              <w:pStyle w:val="9"/>
              <w:spacing w:before="85" w:line="221" w:lineRule="auto"/>
              <w:jc w:val="center"/>
              <w:rPr>
                <w:rFonts w:hint="eastAsia" w:ascii="仿宋" w:hAnsi="仿宋" w:eastAsia="仿宋" w:cs="仿宋"/>
                <w:sz w:val="24"/>
                <w:szCs w:val="24"/>
              </w:rPr>
            </w:pPr>
            <w:r>
              <w:rPr>
                <w:rFonts w:hint="eastAsia" w:ascii="仿宋" w:hAnsi="仿宋" w:eastAsia="仿宋" w:cs="仿宋"/>
                <w:b/>
                <w:bCs/>
                <w:spacing w:val="-6"/>
                <w:sz w:val="24"/>
                <w:szCs w:val="24"/>
              </w:rPr>
              <w:t>总计</w:t>
            </w:r>
          </w:p>
        </w:tc>
        <w:tc>
          <w:tcPr>
            <w:tcW w:w="1716" w:type="pct"/>
            <w:vAlign w:val="center"/>
          </w:tcPr>
          <w:p w14:paraId="6F0A3B8C">
            <w:pPr>
              <w:pStyle w:val="9"/>
              <w:spacing w:before="141" w:line="184" w:lineRule="auto"/>
              <w:jc w:val="center"/>
              <w:rPr>
                <w:rFonts w:hint="eastAsia" w:ascii="仿宋" w:hAnsi="仿宋" w:eastAsia="仿宋" w:cs="仿宋"/>
                <w:sz w:val="24"/>
                <w:szCs w:val="24"/>
                <w:lang w:val="en-US" w:eastAsia="zh-CN"/>
              </w:rPr>
            </w:pPr>
          </w:p>
        </w:tc>
      </w:tr>
    </w:tbl>
    <w:p w14:paraId="3F70D18A">
      <w:pPr>
        <w:autoSpaceDE w:val="0"/>
        <w:autoSpaceDN w:val="0"/>
        <w:adjustRightInd w:val="0"/>
        <w:snapToGrid w:val="0"/>
        <w:spacing w:line="360" w:lineRule="auto"/>
        <w:jc w:val="left"/>
        <w:rPr>
          <w:rFonts w:hint="eastAsia" w:ascii="仿宋" w:hAnsi="仿宋" w:eastAsia="仿宋" w:cs="仿宋"/>
          <w:color w:val="auto"/>
          <w:kern w:val="0"/>
          <w:sz w:val="24"/>
          <w:szCs w:val="24"/>
          <w:highlight w:val="none"/>
          <w:lang w:val="en-US" w:eastAsia="zh-CN"/>
        </w:rPr>
      </w:pPr>
    </w:p>
    <w:p w14:paraId="4CC2382D">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六</w:t>
      </w:r>
      <w:r>
        <w:rPr>
          <w:rFonts w:hint="eastAsia" w:ascii="仿宋" w:hAnsi="仿宋" w:eastAsia="仿宋" w:cs="仿宋"/>
          <w:b/>
          <w:sz w:val="24"/>
          <w:szCs w:val="24"/>
          <w:highlight w:val="none"/>
        </w:rPr>
        <w:t>、</w:t>
      </w:r>
      <w:r>
        <w:rPr>
          <w:rFonts w:hint="eastAsia" w:ascii="仿宋" w:hAnsi="仿宋" w:eastAsia="仿宋" w:cs="仿宋"/>
          <w:b/>
          <w:color w:val="000000" w:themeColor="text1"/>
          <w:sz w:val="24"/>
          <w:szCs w:val="24"/>
          <w:highlight w:val="none"/>
          <w14:textFill>
            <w14:solidFill>
              <w14:schemeClr w14:val="tx1"/>
            </w14:solidFill>
          </w14:textFill>
        </w:rPr>
        <w:t>甲</w:t>
      </w:r>
      <w:r>
        <w:rPr>
          <w:rFonts w:hint="eastAsia" w:ascii="仿宋" w:hAnsi="仿宋" w:eastAsia="仿宋" w:cs="仿宋"/>
          <w:b/>
          <w:color w:val="000000" w:themeColor="text1"/>
          <w:sz w:val="24"/>
          <w:szCs w:val="24"/>
          <w:highlight w:val="none"/>
          <w:lang w:eastAsia="zh-CN"/>
          <w14:textFill>
            <w14:solidFill>
              <w14:schemeClr w14:val="tx1"/>
            </w14:solidFill>
          </w14:textFill>
        </w:rPr>
        <w:t>、</w:t>
      </w:r>
      <w:r>
        <w:rPr>
          <w:rFonts w:hint="eastAsia" w:ascii="仿宋" w:hAnsi="仿宋" w:eastAsia="仿宋" w:cs="仿宋"/>
          <w:b/>
          <w:color w:val="000000" w:themeColor="text1"/>
          <w:sz w:val="24"/>
          <w:szCs w:val="24"/>
          <w:highlight w:val="none"/>
          <w14:textFill>
            <w14:solidFill>
              <w14:schemeClr w14:val="tx1"/>
            </w14:solidFill>
          </w14:textFill>
        </w:rPr>
        <w:t>乙双方的权利和义务</w:t>
      </w:r>
    </w:p>
    <w:p w14:paraId="2AC13D10">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color w:val="000000" w:themeColor="text1"/>
          <w:sz w:val="24"/>
          <w:szCs w:val="24"/>
          <w:highlight w:val="none"/>
          <w14:textFill>
            <w14:solidFill>
              <w14:schemeClr w14:val="tx1"/>
            </w14:solidFill>
          </w14:textFill>
        </w:rPr>
        <w:t>(一)甲方权利</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及</w:t>
      </w:r>
      <w:r>
        <w:rPr>
          <w:rFonts w:hint="eastAsia" w:ascii="仿宋" w:hAnsi="仿宋" w:eastAsia="仿宋" w:cs="仿宋"/>
          <w:b w:val="0"/>
          <w:bCs/>
          <w:color w:val="000000" w:themeColor="text1"/>
          <w:sz w:val="24"/>
          <w:szCs w:val="24"/>
          <w:highlight w:val="none"/>
          <w14:textFill>
            <w14:solidFill>
              <w14:schemeClr w14:val="tx1"/>
            </w14:solidFill>
          </w14:textFill>
        </w:rPr>
        <w:t>义务</w:t>
      </w:r>
    </w:p>
    <w:p w14:paraId="3257543F">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1、甲方指派专人和部门:由医院</w:t>
      </w:r>
      <w:r>
        <w:rPr>
          <w:rFonts w:hint="eastAsia" w:ascii="仿宋" w:hAnsi="仿宋" w:eastAsia="仿宋" w:cs="仿宋"/>
          <w:color w:val="000000" w:themeColor="text1"/>
          <w:sz w:val="24"/>
          <w:szCs w:val="24"/>
          <w:highlight w:val="none"/>
          <w:lang w:val="en-US" w:eastAsia="zh-CN"/>
          <w14:textFill>
            <w14:solidFill>
              <w14:schemeClr w14:val="tx1"/>
            </w14:solidFill>
          </w14:textFill>
        </w:rPr>
        <w:t>后勤保障部</w:t>
      </w:r>
      <w:r>
        <w:rPr>
          <w:rFonts w:hint="eastAsia" w:ascii="仿宋" w:hAnsi="仿宋" w:eastAsia="仿宋" w:cs="仿宋"/>
          <w:color w:val="000000" w:themeColor="text1"/>
          <w:sz w:val="24"/>
          <w:szCs w:val="24"/>
          <w:highlight w:val="none"/>
          <w14:textFill>
            <w14:solidFill>
              <w14:schemeClr w14:val="tx1"/>
            </w14:solidFill>
          </w14:textFill>
        </w:rPr>
        <w:t>负责对乙方</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服务监督指导。</w:t>
      </w:r>
    </w:p>
    <w:p w14:paraId="695D328F">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2、甲方</w:t>
      </w:r>
      <w:r>
        <w:rPr>
          <w:rFonts w:hint="eastAsia" w:ascii="仿宋" w:hAnsi="仿宋" w:eastAsia="仿宋" w:cs="仿宋"/>
          <w:color w:val="000000" w:themeColor="text1"/>
          <w:sz w:val="24"/>
          <w:szCs w:val="24"/>
          <w:highlight w:val="none"/>
          <w:lang w:val="en-US" w:eastAsia="zh-CN"/>
          <w14:textFill>
            <w14:solidFill>
              <w14:schemeClr w14:val="tx1"/>
            </w14:solidFill>
          </w14:textFill>
        </w:rPr>
        <w:t>有权对</w:t>
      </w:r>
      <w:r>
        <w:rPr>
          <w:rFonts w:hint="eastAsia" w:ascii="仿宋" w:hAnsi="仿宋" w:eastAsia="仿宋" w:cs="仿宋"/>
          <w:color w:val="000000" w:themeColor="text1"/>
          <w:sz w:val="24"/>
          <w:szCs w:val="24"/>
          <w:highlight w:val="none"/>
          <w14:textFill>
            <w14:solidFill>
              <w14:schemeClr w14:val="tx1"/>
            </w14:solidFill>
          </w14:textFill>
        </w:rPr>
        <w:t>乙方拟定的</w:t>
      </w:r>
      <w:r>
        <w:rPr>
          <w:rFonts w:hint="eastAsia" w:ascii="仿宋" w:hAnsi="仿宋" w:eastAsia="仿宋" w:cs="仿宋"/>
          <w:color w:val="000000" w:themeColor="text1"/>
          <w:sz w:val="24"/>
          <w:szCs w:val="24"/>
          <w:highlight w:val="none"/>
          <w:lang w:val="en-US" w:eastAsia="zh-CN"/>
          <w14:textFill>
            <w14:solidFill>
              <w14:schemeClr w14:val="tx1"/>
            </w14:solidFill>
          </w14:textFill>
        </w:rPr>
        <w:t>司乘</w:t>
      </w:r>
      <w:r>
        <w:rPr>
          <w:rFonts w:hint="eastAsia" w:ascii="仿宋" w:hAnsi="仿宋" w:eastAsia="仿宋" w:cs="仿宋"/>
          <w:color w:val="000000" w:themeColor="text1"/>
          <w:sz w:val="24"/>
          <w:szCs w:val="24"/>
          <w:highlight w:val="none"/>
          <w14:textFill>
            <w14:solidFill>
              <w14:schemeClr w14:val="tx1"/>
            </w14:solidFill>
          </w14:textFill>
        </w:rPr>
        <w:t>管理制度和</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管理服务年度计划</w:t>
      </w:r>
      <w:r>
        <w:rPr>
          <w:rFonts w:hint="eastAsia" w:ascii="仿宋" w:hAnsi="仿宋" w:eastAsia="仿宋" w:cs="仿宋"/>
          <w:color w:val="000000" w:themeColor="text1"/>
          <w:sz w:val="24"/>
          <w:szCs w:val="24"/>
          <w:highlight w:val="none"/>
          <w:lang w:val="en-US" w:eastAsia="zh-CN"/>
          <w14:textFill>
            <w14:solidFill>
              <w14:schemeClr w14:val="tx1"/>
            </w14:solidFill>
          </w14:textFill>
        </w:rPr>
        <w:t>进行指导</w:t>
      </w:r>
      <w:r>
        <w:rPr>
          <w:rFonts w:hint="eastAsia" w:ascii="仿宋" w:hAnsi="仿宋" w:eastAsia="仿宋" w:cs="仿宋"/>
          <w:color w:val="000000" w:themeColor="text1"/>
          <w:sz w:val="24"/>
          <w:szCs w:val="24"/>
          <w:highlight w:val="none"/>
          <w14:textFill>
            <w14:solidFill>
              <w14:schemeClr w14:val="tx1"/>
            </w14:solidFill>
          </w14:textFill>
        </w:rPr>
        <w:t>。</w:t>
      </w:r>
    </w:p>
    <w:p w14:paraId="3B949A28">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3、甲方</w:t>
      </w:r>
      <w:r>
        <w:rPr>
          <w:rFonts w:hint="eastAsia" w:ascii="仿宋" w:hAnsi="仿宋" w:eastAsia="仿宋" w:cs="仿宋"/>
          <w:color w:val="000000" w:themeColor="text1"/>
          <w:kern w:val="0"/>
          <w:sz w:val="24"/>
          <w:szCs w:val="24"/>
          <w:highlight w:val="none"/>
          <w14:textFill>
            <w14:solidFill>
              <w14:schemeClr w14:val="tx1"/>
            </w14:solidFill>
          </w14:textFill>
        </w:rPr>
        <w:t>对乙方提供的</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kern w:val="0"/>
          <w:sz w:val="24"/>
          <w:szCs w:val="24"/>
          <w:highlight w:val="none"/>
          <w14:textFill>
            <w14:solidFill>
              <w14:schemeClr w14:val="tx1"/>
            </w14:solidFill>
          </w14:textFill>
        </w:rPr>
        <w:t>服务享有监督、检查权、</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处罚权</w:t>
      </w:r>
      <w:r>
        <w:rPr>
          <w:rFonts w:hint="eastAsia" w:ascii="仿宋" w:hAnsi="仿宋" w:eastAsia="仿宋" w:cs="仿宋"/>
          <w:color w:val="000000" w:themeColor="text1"/>
          <w:kern w:val="0"/>
          <w:sz w:val="24"/>
          <w:szCs w:val="24"/>
          <w:highlight w:val="none"/>
          <w14:textFill>
            <w14:solidFill>
              <w14:schemeClr w14:val="tx1"/>
            </w14:solidFill>
          </w14:textFill>
        </w:rPr>
        <w:t>有提出意见和建议的权利。对乙方在</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kern w:val="0"/>
          <w:sz w:val="24"/>
          <w:szCs w:val="24"/>
          <w:highlight w:val="none"/>
          <w14:textFill>
            <w14:solidFill>
              <w14:schemeClr w14:val="tx1"/>
            </w14:solidFill>
          </w14:textFill>
        </w:rPr>
        <w:t>服务中有不合格的</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地方</w:t>
      </w:r>
      <w:r>
        <w:rPr>
          <w:rFonts w:hint="eastAsia" w:ascii="仿宋" w:hAnsi="仿宋" w:eastAsia="仿宋" w:cs="仿宋"/>
          <w:color w:val="000000" w:themeColor="text1"/>
          <w:kern w:val="0"/>
          <w:sz w:val="24"/>
          <w:szCs w:val="24"/>
          <w:highlight w:val="none"/>
          <w14:textFill>
            <w14:solidFill>
              <w14:schemeClr w14:val="tx1"/>
            </w14:solidFill>
          </w14:textFill>
        </w:rPr>
        <w:t>，甲方有权提出异议和</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要求乙方</w:t>
      </w:r>
      <w:r>
        <w:rPr>
          <w:rFonts w:hint="eastAsia" w:ascii="仿宋" w:hAnsi="仿宋" w:eastAsia="仿宋" w:cs="仿宋"/>
          <w:color w:val="000000" w:themeColor="text1"/>
          <w:kern w:val="0"/>
          <w:sz w:val="24"/>
          <w:szCs w:val="24"/>
          <w:highlight w:val="none"/>
          <w14:textFill>
            <w14:solidFill>
              <w14:schemeClr w14:val="tx1"/>
            </w14:solidFill>
          </w14:textFill>
        </w:rPr>
        <w:t>整改。</w:t>
      </w:r>
    </w:p>
    <w:p w14:paraId="4E8DC1CB">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、甲方有权对乙方不称职的人员提出撤换的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要求</w:t>
      </w:r>
      <w:r>
        <w:rPr>
          <w:rFonts w:hint="eastAsia" w:ascii="仿宋" w:hAnsi="仿宋" w:eastAsia="仿宋" w:cs="仿宋"/>
          <w:color w:val="000000" w:themeColor="text1"/>
          <w:sz w:val="24"/>
          <w:szCs w:val="24"/>
          <w:highlight w:val="none"/>
          <w14:textFill>
            <w14:solidFill>
              <w14:schemeClr w14:val="tx1"/>
            </w14:solidFill>
          </w14:textFill>
        </w:rPr>
        <w:t>，确保</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管理水平达到本合同所述的标准。</w:t>
      </w:r>
    </w:p>
    <w:p w14:paraId="4B76DC2D">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5、</w:t>
      </w:r>
      <w:r>
        <w:rPr>
          <w:rFonts w:hint="eastAsia" w:ascii="仿宋" w:hAnsi="仿宋" w:eastAsia="仿宋" w:cs="仿宋"/>
          <w:color w:val="000000" w:themeColor="text1"/>
          <w:kern w:val="0"/>
          <w:sz w:val="24"/>
          <w:szCs w:val="24"/>
          <w:highlight w:val="none"/>
          <w14:textFill>
            <w14:solidFill>
              <w14:schemeClr w14:val="tx1"/>
            </w14:solidFill>
          </w14:textFill>
        </w:rPr>
        <w:t>甲方向乙方提供</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司梯人</w:t>
      </w:r>
      <w:r>
        <w:rPr>
          <w:rFonts w:hint="eastAsia" w:ascii="仿宋" w:hAnsi="仿宋" w:eastAsia="仿宋" w:cs="仿宋"/>
          <w:color w:val="000000" w:themeColor="text1"/>
          <w:kern w:val="0"/>
          <w:sz w:val="24"/>
          <w:szCs w:val="24"/>
          <w:highlight w:val="none"/>
          <w14:textFill>
            <w14:solidFill>
              <w14:schemeClr w14:val="tx1"/>
            </w14:solidFill>
          </w14:textFill>
        </w:rPr>
        <w:t>员更衣、就餐及</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文件</w:t>
      </w:r>
      <w:r>
        <w:rPr>
          <w:rFonts w:hint="eastAsia" w:ascii="仿宋" w:hAnsi="仿宋" w:eastAsia="仿宋" w:cs="仿宋"/>
          <w:color w:val="000000" w:themeColor="text1"/>
          <w:kern w:val="0"/>
          <w:sz w:val="24"/>
          <w:szCs w:val="24"/>
          <w:highlight w:val="none"/>
          <w14:textFill>
            <w14:solidFill>
              <w14:schemeClr w14:val="tx1"/>
            </w14:solidFill>
          </w14:textFill>
        </w:rPr>
        <w:t>存放场所，提供必要的办公用房。</w:t>
      </w:r>
    </w:p>
    <w:p w14:paraId="69B6E424">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6</w:t>
      </w: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除合同明确规定外，不干涉乙方内部管理工作。</w:t>
      </w:r>
    </w:p>
    <w:p w14:paraId="39DBF13C">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针对</w:t>
      </w:r>
      <w:r>
        <w:rPr>
          <w:rFonts w:hint="eastAsia" w:ascii="仿宋" w:hAnsi="仿宋" w:eastAsia="仿宋" w:cs="仿宋"/>
          <w:color w:val="000000" w:themeColor="text1"/>
          <w:sz w:val="24"/>
          <w:szCs w:val="24"/>
          <w:highlight w:val="none"/>
          <w14:textFill>
            <w14:solidFill>
              <w14:schemeClr w14:val="tx1"/>
            </w14:solidFill>
          </w14:textFill>
        </w:rPr>
        <w:t>乙方</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服务的违规处罚，甲方</w:t>
      </w:r>
      <w:r>
        <w:rPr>
          <w:rFonts w:hint="eastAsia" w:ascii="仿宋" w:hAnsi="仿宋" w:eastAsia="仿宋" w:cs="仿宋"/>
          <w:color w:val="000000" w:themeColor="text1"/>
          <w:sz w:val="24"/>
          <w:szCs w:val="24"/>
          <w:highlight w:val="none"/>
          <w:lang w:val="en-US" w:eastAsia="zh-CN"/>
          <w14:textFill>
            <w14:solidFill>
              <w14:schemeClr w14:val="tx1"/>
            </w14:solidFill>
          </w14:textFill>
        </w:rPr>
        <w:t>有权</w:t>
      </w:r>
      <w:r>
        <w:rPr>
          <w:rFonts w:hint="eastAsia" w:ascii="仿宋" w:hAnsi="仿宋" w:eastAsia="仿宋" w:cs="仿宋"/>
          <w:color w:val="000000" w:themeColor="text1"/>
          <w:sz w:val="24"/>
          <w:szCs w:val="24"/>
          <w:highlight w:val="none"/>
          <w14:textFill>
            <w14:solidFill>
              <w14:schemeClr w14:val="tx1"/>
            </w14:solidFill>
          </w14:textFill>
        </w:rPr>
        <w:t>在当月</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服务费用中</w:t>
      </w:r>
      <w:r>
        <w:rPr>
          <w:rFonts w:hint="eastAsia" w:ascii="仿宋" w:hAnsi="仿宋" w:eastAsia="仿宋" w:cs="仿宋"/>
          <w:color w:val="000000" w:themeColor="text1"/>
          <w:sz w:val="24"/>
          <w:szCs w:val="24"/>
          <w:highlight w:val="none"/>
          <w:lang w:val="en-US" w:eastAsia="zh-CN"/>
          <w14:textFill>
            <w14:solidFill>
              <w14:schemeClr w14:val="tx1"/>
            </w14:solidFill>
          </w14:textFill>
        </w:rPr>
        <w:t>直接</w:t>
      </w:r>
      <w:r>
        <w:rPr>
          <w:rFonts w:hint="eastAsia" w:ascii="仿宋" w:hAnsi="仿宋" w:eastAsia="仿宋" w:cs="仿宋"/>
          <w:color w:val="000000" w:themeColor="text1"/>
          <w:sz w:val="24"/>
          <w:szCs w:val="24"/>
          <w:highlight w:val="none"/>
          <w14:textFill>
            <w14:solidFill>
              <w14:schemeClr w14:val="tx1"/>
            </w14:solidFill>
          </w14:textFill>
        </w:rPr>
        <w:t>扣除。</w:t>
      </w:r>
    </w:p>
    <w:p w14:paraId="4B243B04">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r>
        <w:rPr>
          <w:rFonts w:hint="eastAsia" w:ascii="仿宋" w:hAnsi="仿宋" w:eastAsia="仿宋" w:cs="仿宋"/>
          <w:color w:val="000000" w:themeColor="text1"/>
          <w:sz w:val="24"/>
          <w:szCs w:val="24"/>
          <w:highlight w:val="none"/>
          <w14:textFill>
            <w14:solidFill>
              <w14:schemeClr w14:val="tx1"/>
            </w14:solidFill>
          </w14:textFill>
        </w:rPr>
        <w:t>、按合同约定的时间和方式向乙方支付</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服务费。</w:t>
      </w:r>
    </w:p>
    <w:p w14:paraId="321F7A94">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color w:val="000000" w:themeColor="text1"/>
          <w:sz w:val="24"/>
          <w:szCs w:val="24"/>
          <w:highlight w:val="none"/>
          <w14:textFill>
            <w14:solidFill>
              <w14:schemeClr w14:val="tx1"/>
            </w14:solidFill>
          </w14:textFill>
        </w:rPr>
        <w:t>(二) 乙方权利</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及</w:t>
      </w:r>
      <w:r>
        <w:rPr>
          <w:rFonts w:hint="eastAsia" w:ascii="仿宋" w:hAnsi="仿宋" w:eastAsia="仿宋" w:cs="仿宋"/>
          <w:b w:val="0"/>
          <w:bCs/>
          <w:color w:val="000000" w:themeColor="text1"/>
          <w:sz w:val="24"/>
          <w:szCs w:val="24"/>
          <w:highlight w:val="none"/>
          <w14:textFill>
            <w14:solidFill>
              <w14:schemeClr w14:val="tx1"/>
            </w14:solidFill>
          </w14:textFill>
        </w:rPr>
        <w:t>义务</w:t>
      </w:r>
    </w:p>
    <w:p w14:paraId="19265537">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kern w:val="0"/>
          <w:sz w:val="24"/>
          <w:szCs w:val="24"/>
          <w:highlight w:val="none"/>
          <w:lang w:val="en-US" w:eastAsia="zh-CN"/>
        </w:rPr>
        <w:t>负责医院45部电梯的日常运行服务、清洁消毒、巡查、安全应急、电梯不锈钢保养服务等工作，</w:t>
      </w:r>
      <w:r>
        <w:rPr>
          <w:rFonts w:hint="eastAsia" w:ascii="仿宋" w:hAnsi="仿宋" w:eastAsia="仿宋" w:cs="仿宋"/>
          <w:sz w:val="24"/>
          <w:szCs w:val="24"/>
        </w:rPr>
        <w:t>帮助乘客安全、有序地进出电梯，特别是对老人、儿童、残疾人等</w:t>
      </w:r>
      <w:r>
        <w:rPr>
          <w:rFonts w:hint="eastAsia" w:ascii="仿宋" w:hAnsi="仿宋" w:eastAsia="仿宋" w:cs="仿宋"/>
          <w:sz w:val="24"/>
          <w:szCs w:val="24"/>
          <w:lang w:val="en-US" w:eastAsia="zh-CN"/>
        </w:rPr>
        <w:t>特需病人</w:t>
      </w:r>
      <w:r>
        <w:rPr>
          <w:rFonts w:hint="eastAsia" w:ascii="仿宋" w:hAnsi="仿宋" w:eastAsia="仿宋" w:cs="仿宋"/>
          <w:sz w:val="24"/>
          <w:szCs w:val="24"/>
        </w:rPr>
        <w:t>提供必要的协助。及时处理乘客的投诉和建议，确保乘客的乘梯安全，提供医院咨询服务。</w:t>
      </w:r>
    </w:p>
    <w:p w14:paraId="53488D36">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2、配合医院运行需要做好医疗转运工作，日常运行中按照医院要求配合做好手术病人、特需病人、特许医护人员转运，以及医院医废、制剂、器械等医院运行必要的转运任务。</w:t>
      </w:r>
    </w:p>
    <w:p w14:paraId="45EBF228">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3、保持电梯清洁卫生，电梯门、轿厢内壁每天擦拭、消毒，时刻保持其光亮清洁，地面无灰尘，无水迹，电梯指示灯、按钮干净、清晰，根据电梯养护要求定期对电梯轿厢内壁进行专业养护。</w:t>
      </w:r>
    </w:p>
    <w:p w14:paraId="1D4EAD27">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4、做好电梯五方通话的</w:t>
      </w:r>
      <w:r>
        <w:rPr>
          <w:rFonts w:hint="eastAsia" w:ascii="仿宋" w:hAnsi="仿宋" w:eastAsia="仿宋" w:cs="仿宋"/>
          <w:sz w:val="24"/>
          <w:szCs w:val="24"/>
          <w:lang w:val="en-US" w:eastAsia="zh-CN"/>
        </w:rPr>
        <w:t>24h</w:t>
      </w:r>
      <w:r>
        <w:rPr>
          <w:rFonts w:hint="eastAsia" w:ascii="仿宋" w:hAnsi="仿宋" w:eastAsia="仿宋" w:cs="仿宋"/>
          <w:sz w:val="24"/>
          <w:szCs w:val="24"/>
        </w:rPr>
        <w:t>接听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处置</w:t>
      </w:r>
      <w:r>
        <w:rPr>
          <w:rFonts w:hint="eastAsia" w:ascii="仿宋" w:hAnsi="仿宋" w:eastAsia="仿宋" w:cs="仿宋"/>
          <w:sz w:val="24"/>
          <w:szCs w:val="24"/>
        </w:rPr>
        <w:t>工作，及时协同电梯维保人员做好应急事故联系处置。</w:t>
      </w:r>
    </w:p>
    <w:p w14:paraId="0F1566F1">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5、做好夜间值班，配合做好手术病人、特需病人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特需物资</w:t>
      </w:r>
      <w:r>
        <w:rPr>
          <w:rFonts w:hint="eastAsia" w:ascii="仿宋" w:hAnsi="仿宋" w:eastAsia="仿宋" w:cs="仿宋"/>
          <w:sz w:val="24"/>
          <w:szCs w:val="24"/>
        </w:rPr>
        <w:t>的转运，配合维保技术人员做好夜间突发事件处置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南楼、北楼、骨科楼配备夜班值班人员</w:t>
      </w:r>
      <w:r>
        <w:rPr>
          <w:rFonts w:hint="eastAsia" w:ascii="仿宋" w:hAnsi="仿宋" w:eastAsia="仿宋" w:cs="仿宋"/>
          <w:sz w:val="24"/>
          <w:szCs w:val="24"/>
        </w:rPr>
        <w:t>。</w:t>
      </w:r>
    </w:p>
    <w:p w14:paraId="562E188A">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、电梯</w:t>
      </w:r>
      <w:r>
        <w:rPr>
          <w:rFonts w:hint="eastAsia" w:ascii="仿宋" w:hAnsi="仿宋" w:eastAsia="仿宋" w:cs="仿宋"/>
          <w:sz w:val="24"/>
          <w:szCs w:val="24"/>
          <w:lang w:eastAsia="zh-CN"/>
        </w:rPr>
        <w:t>司乘人员</w:t>
      </w:r>
      <w:r>
        <w:rPr>
          <w:rFonts w:hint="eastAsia" w:ascii="仿宋" w:hAnsi="仿宋" w:eastAsia="仿宋" w:cs="仿宋"/>
          <w:sz w:val="24"/>
          <w:szCs w:val="24"/>
        </w:rPr>
        <w:t>公司负责定期进行礼仪培训</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安全培训</w:t>
      </w:r>
      <w:r>
        <w:rPr>
          <w:rFonts w:hint="eastAsia" w:ascii="仿宋" w:hAnsi="仿宋" w:eastAsia="仿宋" w:cs="仿宋"/>
          <w:sz w:val="24"/>
          <w:szCs w:val="24"/>
        </w:rPr>
        <w:t>。</w:t>
      </w:r>
    </w:p>
    <w:p w14:paraId="5D87A21E">
      <w:pPr>
        <w:pStyle w:val="3"/>
        <w:keepNext w:val="0"/>
        <w:keepLines w:val="0"/>
        <w:pageBreakBefore w:val="0"/>
        <w:widowControl w:val="0"/>
        <w:numPr>
          <w:ilvl w:val="0"/>
          <w:numId w:val="0"/>
        </w:numPr>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SA"/>
        </w:rPr>
        <w:t>7、</w:t>
      </w:r>
      <w:r>
        <w:rPr>
          <w:rFonts w:hint="eastAsia" w:ascii="仿宋" w:hAnsi="仿宋" w:eastAsia="仿宋" w:cs="仿宋"/>
          <w:sz w:val="24"/>
          <w:szCs w:val="24"/>
          <w:lang w:val="en-US" w:eastAsia="zh-CN"/>
        </w:rPr>
        <w:t>司乘人员服务范围包含我院南楼、北楼、门诊楼、骨科楼、规培楼，根据医院需要可随时全院机动调整。</w:t>
      </w:r>
    </w:p>
    <w:p w14:paraId="013915FE">
      <w:pPr>
        <w:pStyle w:val="8"/>
        <w:keepNext w:val="0"/>
        <w:keepLines w:val="0"/>
        <w:pageBreakBefore w:val="0"/>
        <w:widowControl w:val="0"/>
        <w:numPr>
          <w:ilvl w:val="0"/>
          <w:numId w:val="0"/>
        </w:numPr>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8、</w:t>
      </w:r>
      <w:r>
        <w:rPr>
          <w:rFonts w:hint="eastAsia" w:ascii="仿宋" w:hAnsi="仿宋" w:eastAsia="仿宋" w:cs="仿宋"/>
          <w:sz w:val="24"/>
          <w:szCs w:val="24"/>
          <w:lang w:val="en-US" w:eastAsia="zh-CN"/>
        </w:rPr>
        <w:t>各公司结合我院本项目配比人员不少于15人。</w:t>
      </w:r>
    </w:p>
    <w:p w14:paraId="5DF47B83">
      <w:pPr>
        <w:pStyle w:val="3"/>
        <w:keepNext w:val="0"/>
        <w:keepLines w:val="0"/>
        <w:pageBreakBefore w:val="0"/>
        <w:widowControl w:val="0"/>
        <w:numPr>
          <w:ilvl w:val="0"/>
          <w:numId w:val="0"/>
        </w:numPr>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9、在电梯司乘服务期间，电梯司乘服务公司应及时提供服务过程中所需的设备（如对讲设备）、宣传板、告知栏以及日常管理中所需物资。</w:t>
      </w:r>
    </w:p>
    <w:p w14:paraId="473792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10、按照</w:t>
      </w:r>
      <w:r>
        <w:rPr>
          <w:rFonts w:hint="eastAsia" w:ascii="仿宋" w:hAnsi="仿宋" w:eastAsia="仿宋" w:cs="仿宋"/>
          <w:sz w:val="24"/>
          <w:szCs w:val="24"/>
        </w:rPr>
        <w:t>医院要求做好各项临时工作。</w:t>
      </w:r>
    </w:p>
    <w:p w14:paraId="7886578A">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11、服务需符合《中华人民共和国安全生产法》的标准。</w:t>
      </w:r>
    </w:p>
    <w:p w14:paraId="10C1F572">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12、高峰时段引导患者家属、访客乘坐指定客梯，避免与医疗运输混用，对行动不便患者主动搀扶，协助操作轮椅或担架。载重控制严禁超载，对推床、轮椅、大型设备优先安排，确保进出通道畅通。</w:t>
      </w:r>
    </w:p>
    <w:p w14:paraId="1FEDB373">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13</w:t>
      </w: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kern w:val="0"/>
          <w:sz w:val="24"/>
          <w:szCs w:val="24"/>
          <w:highlight w:val="none"/>
          <w14:textFill>
            <w14:solidFill>
              <w14:schemeClr w14:val="tx1"/>
            </w14:solidFill>
          </w14:textFill>
        </w:rPr>
        <w:t>严格按照双方约定的内容规范作业</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并</w:t>
      </w:r>
      <w:r>
        <w:rPr>
          <w:rFonts w:hint="eastAsia" w:ascii="仿宋" w:hAnsi="仿宋" w:eastAsia="仿宋" w:cs="仿宋"/>
          <w:color w:val="000000"/>
          <w:sz w:val="24"/>
          <w:szCs w:val="24"/>
          <w:highlight w:val="none"/>
          <w:lang w:val="en-US" w:eastAsia="zh-CN"/>
        </w:rPr>
        <w:t>向医院提供</w:t>
      </w:r>
      <w:r>
        <w:rPr>
          <w:rFonts w:hint="eastAsia" w:ascii="仿宋" w:hAnsi="仿宋" w:eastAsia="仿宋" w:cs="仿宋"/>
          <w:color w:val="000000"/>
          <w:sz w:val="24"/>
          <w:szCs w:val="24"/>
          <w:highlight w:val="none"/>
        </w:rPr>
        <w:t>完整的工作计划</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管理制度、</w:t>
      </w:r>
      <w:r>
        <w:rPr>
          <w:rFonts w:hint="eastAsia" w:ascii="仿宋" w:hAnsi="仿宋" w:eastAsia="仿宋" w:cs="仿宋"/>
          <w:color w:val="000000"/>
          <w:sz w:val="24"/>
          <w:szCs w:val="24"/>
          <w:highlight w:val="none"/>
        </w:rPr>
        <w:t>应急预案。</w:t>
      </w:r>
      <w:r>
        <w:rPr>
          <w:rFonts w:hint="eastAsia" w:ascii="仿宋" w:hAnsi="仿宋" w:eastAsia="仿宋" w:cs="仿宋"/>
          <w:color w:val="000000"/>
          <w:sz w:val="24"/>
          <w:szCs w:val="24"/>
          <w:highlight w:val="none"/>
          <w:lang w:val="en-US" w:eastAsia="zh-CN"/>
        </w:rPr>
        <w:t>结合医院实际如手术、药剂、设备、检验、医废、垃圾等转运需求，规划并落实全院电梯运行使用时段以及运行方案与应急方案。</w:t>
      </w:r>
    </w:p>
    <w:p w14:paraId="70E5763A">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14、</w:t>
      </w:r>
      <w:r>
        <w:rPr>
          <w:rFonts w:hint="eastAsia" w:ascii="仿宋" w:hAnsi="仿宋" w:eastAsia="仿宋" w:cs="仿宋"/>
          <w:color w:val="000000" w:themeColor="text1"/>
          <w:kern w:val="0"/>
          <w:sz w:val="24"/>
          <w:szCs w:val="24"/>
          <w:highlight w:val="none"/>
          <w14:textFill>
            <w14:solidFill>
              <w14:schemeClr w14:val="tx1"/>
            </w14:solidFill>
          </w14:textFill>
        </w:rPr>
        <w:t>项目管理人员具有较强的组织、管理、协调、沟通能力，任职期间未经医院同意不得随意调动</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本项目工作人员如不符合医院管理要求的，医院有权要求服务公司即时更换</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p>
    <w:p w14:paraId="2B70D1C2">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15</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sz w:val="24"/>
          <w:szCs w:val="24"/>
          <w:highlight w:val="none"/>
          <w14:textFill>
            <w14:solidFill>
              <w14:schemeClr w14:val="tx1"/>
            </w14:solidFill>
          </w14:textFill>
        </w:rPr>
        <w:t>应按投标书承诺内容配置</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sz w:val="24"/>
          <w:szCs w:val="24"/>
          <w:highlight w:val="none"/>
          <w14:textFill>
            <w14:solidFill>
              <w14:schemeClr w14:val="tx1"/>
            </w14:solidFill>
          </w14:textFill>
        </w:rPr>
        <w:t>人员、</w:t>
      </w:r>
      <w:r>
        <w:rPr>
          <w:rFonts w:hint="eastAsia" w:ascii="仿宋" w:hAnsi="仿宋" w:eastAsia="仿宋" w:cs="仿宋"/>
          <w:color w:val="000000" w:themeColor="text1"/>
          <w:sz w:val="24"/>
          <w:szCs w:val="24"/>
          <w:highlight w:val="none"/>
          <w:lang w:val="en-US" w:eastAsia="zh-CN"/>
          <w14:textFill>
            <w14:solidFill>
              <w14:schemeClr w14:val="tx1"/>
            </w14:solidFill>
          </w14:textFill>
        </w:rPr>
        <w:t>服装及相关工具（如对讲设备等）</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kern w:val="0"/>
          <w:sz w:val="24"/>
          <w:szCs w:val="24"/>
          <w:highlight w:val="none"/>
          <w14:textFill>
            <w14:solidFill>
              <w14:schemeClr w14:val="tx1"/>
            </w14:solidFill>
          </w14:textFill>
        </w:rPr>
        <w:t>人员上岗前必须全部经过专业培训和考核，统一规范着装</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美观大方符合医院工作环境</w:t>
      </w:r>
      <w:r>
        <w:rPr>
          <w:rFonts w:hint="eastAsia" w:ascii="仿宋" w:hAnsi="仿宋" w:eastAsia="仿宋" w:cs="仿宋"/>
          <w:color w:val="000000" w:themeColor="text1"/>
          <w:kern w:val="0"/>
          <w:sz w:val="24"/>
          <w:szCs w:val="24"/>
          <w:highlight w:val="none"/>
          <w14:textFill>
            <w14:solidFill>
              <w14:schemeClr w14:val="tx1"/>
            </w14:solidFill>
          </w14:textFill>
        </w:rPr>
        <w:t>，佩戴工牌，文明用语，礼貌服务</w:t>
      </w:r>
      <w:r>
        <w:rPr>
          <w:rFonts w:hint="eastAsia" w:ascii="仿宋" w:hAnsi="仿宋" w:eastAsia="仿宋" w:cs="仿宋"/>
          <w:sz w:val="24"/>
          <w:szCs w:val="24"/>
          <w:highlight w:val="none"/>
        </w:rPr>
        <w:t>。</w:t>
      </w:r>
    </w:p>
    <w:p w14:paraId="6B704068">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16</w:t>
      </w: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color w:val="000000"/>
          <w:sz w:val="24"/>
          <w:szCs w:val="24"/>
          <w:highlight w:val="none"/>
          <w:lang w:eastAsia="zh-CN"/>
        </w:rPr>
        <w:t>服务公司</w:t>
      </w:r>
      <w:r>
        <w:rPr>
          <w:rFonts w:hint="eastAsia" w:ascii="仿宋" w:hAnsi="仿宋" w:eastAsia="仿宋" w:cs="仿宋"/>
          <w:color w:val="000000"/>
          <w:sz w:val="24"/>
          <w:szCs w:val="24"/>
          <w:highlight w:val="none"/>
        </w:rPr>
        <w:t>应制定</w:t>
      </w:r>
      <w:r>
        <w:rPr>
          <w:rFonts w:hint="eastAsia" w:ascii="仿宋" w:hAnsi="仿宋" w:eastAsia="仿宋" w:cs="仿宋"/>
          <w:color w:val="000000"/>
          <w:sz w:val="24"/>
          <w:szCs w:val="24"/>
          <w:highlight w:val="none"/>
          <w:lang w:val="en-US" w:eastAsia="zh-CN"/>
        </w:rPr>
        <w:t>相应考勤</w:t>
      </w:r>
      <w:r>
        <w:rPr>
          <w:rFonts w:hint="eastAsia" w:ascii="仿宋" w:hAnsi="仿宋" w:eastAsia="仿宋" w:cs="仿宋"/>
          <w:color w:val="000000"/>
          <w:sz w:val="24"/>
          <w:szCs w:val="24"/>
          <w:highlight w:val="none"/>
        </w:rPr>
        <w:t>制度，并留存抽查。</w:t>
      </w:r>
      <w:r>
        <w:rPr>
          <w:rFonts w:hint="eastAsia" w:ascii="仿宋" w:hAnsi="仿宋" w:eastAsia="仿宋" w:cs="仿宋"/>
          <w:color w:val="auto"/>
          <w:sz w:val="24"/>
          <w:szCs w:val="24"/>
          <w:highlight w:val="none"/>
          <w:lang w:val="en-US" w:eastAsia="zh-CN"/>
        </w:rPr>
        <w:t>服务公司工作人员需执行交接班制度,交接班时应明确任务和上一班遗留问题并填写交接班记录。</w:t>
      </w:r>
    </w:p>
    <w:p w14:paraId="5DB4DAF7">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17</w:t>
      </w: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sz w:val="24"/>
          <w:szCs w:val="24"/>
          <w:highlight w:val="none"/>
          <w:lang w:eastAsia="zh-CN"/>
        </w:rPr>
        <w:t>服务公司</w:t>
      </w:r>
      <w:r>
        <w:rPr>
          <w:rFonts w:hint="eastAsia" w:ascii="仿宋" w:hAnsi="仿宋" w:eastAsia="仿宋" w:cs="仿宋"/>
          <w:sz w:val="24"/>
          <w:szCs w:val="24"/>
          <w:highlight w:val="none"/>
        </w:rPr>
        <w:t>需对其</w:t>
      </w:r>
      <w:r>
        <w:rPr>
          <w:rFonts w:hint="eastAsia" w:ascii="仿宋" w:hAnsi="仿宋" w:eastAsia="仿宋" w:cs="仿宋"/>
          <w:sz w:val="24"/>
          <w:szCs w:val="24"/>
          <w:highlight w:val="none"/>
          <w:lang w:val="en-US" w:eastAsia="zh-CN"/>
        </w:rPr>
        <w:t>工作</w:t>
      </w:r>
      <w:r>
        <w:rPr>
          <w:rFonts w:hint="eastAsia" w:ascii="仿宋" w:hAnsi="仿宋" w:eastAsia="仿宋" w:cs="仿宋"/>
          <w:sz w:val="24"/>
          <w:szCs w:val="24"/>
          <w:highlight w:val="none"/>
        </w:rPr>
        <w:t>人员安全和交通事故</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负责，</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不承担任何责任。</w:t>
      </w:r>
      <w:r>
        <w:rPr>
          <w:rFonts w:hint="eastAsia" w:ascii="仿宋" w:hAnsi="仿宋" w:eastAsia="仿宋" w:cs="仿宋"/>
          <w:sz w:val="24"/>
          <w:szCs w:val="24"/>
          <w:highlight w:val="none"/>
          <w:lang w:val="en-US" w:eastAsia="zh-CN"/>
        </w:rPr>
        <w:t>由服务公司人员</w:t>
      </w:r>
      <w:r>
        <w:rPr>
          <w:rFonts w:hint="eastAsia" w:ascii="仿宋" w:hAnsi="仿宋" w:eastAsia="仿宋" w:cs="仿宋"/>
          <w:sz w:val="24"/>
          <w:szCs w:val="24"/>
          <w:highlight w:val="none"/>
        </w:rPr>
        <w:t>导致甲方或引起第三方人身</w:t>
      </w:r>
      <w:r>
        <w:rPr>
          <w:rFonts w:hint="eastAsia" w:ascii="仿宋" w:hAnsi="仿宋" w:eastAsia="仿宋" w:cs="仿宋"/>
          <w:sz w:val="24"/>
          <w:szCs w:val="24"/>
          <w:highlight w:val="none"/>
          <w:lang w:val="en-US" w:eastAsia="zh-CN"/>
        </w:rPr>
        <w:t>安全</w:t>
      </w:r>
      <w:r>
        <w:rPr>
          <w:rFonts w:hint="eastAsia" w:ascii="仿宋" w:hAnsi="仿宋" w:eastAsia="仿宋" w:cs="仿宋"/>
          <w:sz w:val="24"/>
          <w:szCs w:val="24"/>
          <w:highlight w:val="none"/>
        </w:rPr>
        <w:t>、财产安全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名誉等</w:t>
      </w:r>
      <w:r>
        <w:rPr>
          <w:rFonts w:hint="eastAsia" w:ascii="仿宋" w:hAnsi="仿宋" w:eastAsia="仿宋" w:cs="仿宋"/>
          <w:sz w:val="24"/>
          <w:szCs w:val="24"/>
          <w:highlight w:val="none"/>
        </w:rPr>
        <w:t>受到损失的，均由</w:t>
      </w:r>
      <w:r>
        <w:rPr>
          <w:rFonts w:hint="eastAsia" w:ascii="仿宋" w:hAnsi="仿宋" w:eastAsia="仿宋" w:cs="仿宋"/>
          <w:sz w:val="24"/>
          <w:szCs w:val="24"/>
          <w:highlight w:val="none"/>
          <w:lang w:val="en-US" w:eastAsia="zh-CN"/>
        </w:rPr>
        <w:t>服务公司负责赔偿，甲方不承担任何责任。</w:t>
      </w:r>
    </w:p>
    <w:p w14:paraId="31F3A4BF">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18</w:t>
      </w: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color w:val="000000" w:themeColor="text1"/>
          <w:kern w:val="0"/>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kern w:val="0"/>
          <w:sz w:val="24"/>
          <w:szCs w:val="24"/>
          <w:highlight w:val="none"/>
          <w14:textFill>
            <w14:solidFill>
              <w14:schemeClr w14:val="tx1"/>
            </w14:solidFill>
          </w14:textFill>
        </w:rPr>
        <w:t>不得将甲方委托给</w:t>
      </w:r>
      <w:r>
        <w:rPr>
          <w:rFonts w:hint="eastAsia" w:ascii="仿宋" w:hAnsi="仿宋" w:eastAsia="仿宋" w:cs="仿宋"/>
          <w:color w:val="000000" w:themeColor="text1"/>
          <w:kern w:val="0"/>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kern w:val="0"/>
          <w:sz w:val="24"/>
          <w:szCs w:val="24"/>
          <w:highlight w:val="none"/>
          <w14:textFill>
            <w14:solidFill>
              <w14:schemeClr w14:val="tx1"/>
            </w14:solidFill>
          </w14:textFill>
        </w:rPr>
        <w:t>的</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司梯</w:t>
      </w:r>
      <w:r>
        <w:rPr>
          <w:rFonts w:hint="eastAsia" w:ascii="仿宋" w:hAnsi="仿宋" w:eastAsia="仿宋" w:cs="仿宋"/>
          <w:color w:val="000000" w:themeColor="text1"/>
          <w:kern w:val="0"/>
          <w:sz w:val="24"/>
          <w:szCs w:val="24"/>
          <w:highlight w:val="none"/>
          <w14:textFill>
            <w14:solidFill>
              <w14:schemeClr w14:val="tx1"/>
            </w14:solidFill>
          </w14:textFill>
        </w:rPr>
        <w:t>服务业务进行分包，否则甲方有权解除合同，不支付给</w:t>
      </w:r>
      <w:r>
        <w:rPr>
          <w:rFonts w:hint="eastAsia" w:ascii="仿宋" w:hAnsi="仿宋" w:eastAsia="仿宋" w:cs="仿宋"/>
          <w:color w:val="000000" w:themeColor="text1"/>
          <w:kern w:val="0"/>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kern w:val="0"/>
          <w:sz w:val="24"/>
          <w:szCs w:val="24"/>
          <w:highlight w:val="none"/>
          <w14:textFill>
            <w14:solidFill>
              <w14:schemeClr w14:val="tx1"/>
            </w14:solidFill>
          </w14:textFill>
        </w:rPr>
        <w:t>任何费用，并要求</w:t>
      </w:r>
      <w:r>
        <w:rPr>
          <w:rFonts w:hint="eastAsia" w:ascii="仿宋" w:hAnsi="仿宋" w:eastAsia="仿宋" w:cs="仿宋"/>
          <w:color w:val="000000" w:themeColor="text1"/>
          <w:kern w:val="0"/>
          <w:sz w:val="24"/>
          <w:szCs w:val="24"/>
          <w:highlight w:val="none"/>
          <w:lang w:eastAsia="zh-CN"/>
          <w14:textFill>
            <w14:solidFill>
              <w14:schemeClr w14:val="tx1"/>
            </w14:solidFill>
          </w14:textFill>
        </w:rPr>
        <w:t>服务公司</w:t>
      </w:r>
      <w:r>
        <w:rPr>
          <w:rFonts w:hint="eastAsia" w:ascii="仿宋" w:hAnsi="仿宋" w:eastAsia="仿宋" w:cs="仿宋"/>
          <w:color w:val="000000" w:themeColor="text1"/>
          <w:kern w:val="0"/>
          <w:sz w:val="24"/>
          <w:szCs w:val="24"/>
          <w:highlight w:val="none"/>
          <w14:textFill>
            <w14:solidFill>
              <w14:schemeClr w14:val="tx1"/>
            </w14:solidFill>
          </w14:textFill>
        </w:rPr>
        <w:t>承担合同总额20%的违约金。</w:t>
      </w:r>
    </w:p>
    <w:p w14:paraId="0C49357A">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w:t>
      </w:r>
      <w:r>
        <w:rPr>
          <w:rFonts w:hint="eastAsia" w:ascii="仿宋" w:hAnsi="仿宋" w:eastAsia="仿宋" w:cs="仿宋"/>
          <w:sz w:val="24"/>
          <w:szCs w:val="24"/>
          <w:lang w:val="en-US" w:eastAsia="zh-CN"/>
        </w:rPr>
        <w:t>服务公司需</w:t>
      </w:r>
      <w:r>
        <w:rPr>
          <w:rFonts w:hint="eastAsia" w:ascii="仿宋" w:hAnsi="仿宋" w:eastAsia="仿宋" w:cs="仿宋"/>
          <w:sz w:val="24"/>
          <w:szCs w:val="24"/>
        </w:rPr>
        <w:t>保持电梯清洁卫生，电梯门、轿厢内壁擦拭、消毒，时刻保持其光亮清洁，地面无灰尘，无水迹，电梯指示灯、按钮干净、清晰，根据电梯养护要求定期对电梯轿厢内壁进行专业养护</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轿厢内张贴养护记录与消毒记录</w:t>
      </w:r>
      <w:r>
        <w:rPr>
          <w:rFonts w:hint="eastAsia" w:ascii="仿宋" w:hAnsi="仿宋" w:eastAsia="仿宋" w:cs="仿宋"/>
          <w:sz w:val="24"/>
          <w:szCs w:val="24"/>
        </w:rPr>
        <w:t>。</w:t>
      </w:r>
    </w:p>
    <w:p w14:paraId="40D9FB2B">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rPr>
        <w:t>、</w:t>
      </w:r>
      <w:r>
        <w:rPr>
          <w:rFonts w:hint="eastAsia" w:ascii="仿宋" w:hAnsi="仿宋" w:eastAsia="仿宋" w:cs="仿宋"/>
          <w:sz w:val="24"/>
          <w:szCs w:val="24"/>
          <w:lang w:val="en-US" w:eastAsia="zh-CN"/>
        </w:rPr>
        <w:t>服务公司需</w:t>
      </w:r>
      <w:r>
        <w:rPr>
          <w:rFonts w:hint="eastAsia" w:ascii="仿宋" w:hAnsi="仿宋" w:eastAsia="仿宋" w:cs="仿宋"/>
          <w:sz w:val="24"/>
          <w:szCs w:val="24"/>
        </w:rPr>
        <w:t>做好电梯五方通话的接听工作，及时协同电梯维保人员做好应急事故联系处置</w:t>
      </w:r>
      <w:r>
        <w:rPr>
          <w:rFonts w:hint="eastAsia" w:ascii="仿宋" w:hAnsi="仿宋" w:eastAsia="仿宋" w:cs="仿宋"/>
          <w:sz w:val="24"/>
          <w:szCs w:val="24"/>
          <w:lang w:eastAsia="zh-CN"/>
        </w:rPr>
        <w:t>，</w:t>
      </w:r>
      <w:r>
        <w:rPr>
          <w:rFonts w:hint="eastAsia" w:ascii="仿宋" w:hAnsi="仿宋" w:eastAsia="仿宋" w:cs="仿宋"/>
          <w:color w:val="auto"/>
          <w:sz w:val="24"/>
          <w:szCs w:val="24"/>
          <w:highlight w:val="none"/>
          <w:lang w:val="en-US" w:eastAsia="zh-CN"/>
        </w:rPr>
        <w:t>需与电梯维保公司积极配合，确保医院电梯稳定运行，</w:t>
      </w:r>
      <w:r>
        <w:rPr>
          <w:rFonts w:hint="eastAsia" w:ascii="仿宋" w:hAnsi="仿宋" w:eastAsia="仿宋" w:cs="仿宋"/>
          <w:color w:val="000000"/>
          <w:kern w:val="0"/>
          <w:sz w:val="24"/>
          <w:szCs w:val="24"/>
          <w:highlight w:val="none"/>
          <w:lang w:val="en-US" w:eastAsia="zh-CN"/>
        </w:rPr>
        <w:t>保障日常电梯运行安全及应急处理。</w:t>
      </w:r>
    </w:p>
    <w:p w14:paraId="65F6348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sz w:val="24"/>
          <w:szCs w:val="24"/>
          <w:lang w:val="en-US" w:eastAsia="zh-CN"/>
        </w:rPr>
        <w:t>服务公司需</w:t>
      </w:r>
      <w:r>
        <w:rPr>
          <w:rFonts w:hint="eastAsia" w:ascii="仿宋" w:hAnsi="仿宋" w:eastAsia="仿宋" w:cs="仿宋"/>
          <w:color w:val="auto"/>
          <w:sz w:val="24"/>
          <w:szCs w:val="24"/>
          <w:highlight w:val="none"/>
          <w:lang w:val="en-US" w:eastAsia="zh-CN"/>
        </w:rPr>
        <w:t>在电梯出现故障时，能够做好应急处置工作，及时上报电梯维保公司负责人、医院后勤保障或相关职能部门，配合电梯维保人员做好应急救援：设置警示标识围栏、及时疏散乘客、安抚被困乘客，做好疏导等工作。</w:t>
      </w:r>
    </w:p>
    <w:p w14:paraId="3F2DE41B">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rPr>
        <w:t>、</w:t>
      </w:r>
      <w:r>
        <w:rPr>
          <w:rFonts w:hint="eastAsia" w:ascii="仿宋" w:hAnsi="仿宋" w:eastAsia="仿宋" w:cs="仿宋"/>
          <w:sz w:val="24"/>
          <w:szCs w:val="24"/>
          <w:lang w:val="en-US" w:eastAsia="zh-CN"/>
        </w:rPr>
        <w:t>服务公司需</w:t>
      </w:r>
      <w:r>
        <w:rPr>
          <w:rFonts w:hint="eastAsia" w:ascii="仿宋" w:hAnsi="仿宋" w:eastAsia="仿宋" w:cs="仿宋"/>
          <w:sz w:val="24"/>
          <w:szCs w:val="24"/>
        </w:rPr>
        <w:t>做好夜间值班，配合做好手术病人、特需病人</w:t>
      </w:r>
      <w:r>
        <w:rPr>
          <w:rFonts w:hint="eastAsia" w:ascii="仿宋" w:hAnsi="仿宋" w:eastAsia="仿宋" w:cs="仿宋"/>
          <w:sz w:val="24"/>
          <w:szCs w:val="24"/>
          <w:lang w:val="en-US" w:eastAsia="zh-CN"/>
        </w:rPr>
        <w:t>已经应急物资的转运</w:t>
      </w:r>
      <w:r>
        <w:rPr>
          <w:rFonts w:hint="eastAsia" w:ascii="仿宋" w:hAnsi="仿宋" w:eastAsia="仿宋" w:cs="仿宋"/>
          <w:sz w:val="24"/>
          <w:szCs w:val="24"/>
        </w:rPr>
        <w:t>，配合维保技术人员做好夜间突发事件处置。</w:t>
      </w:r>
    </w:p>
    <w:p w14:paraId="2E296D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r>
        <w:rPr>
          <w:rFonts w:hint="eastAsia" w:ascii="仿宋" w:hAnsi="仿宋" w:eastAsia="仿宋" w:cs="仿宋"/>
          <w:sz w:val="24"/>
          <w:szCs w:val="24"/>
          <w:lang w:val="en-US" w:eastAsia="zh-CN"/>
        </w:rPr>
        <w:t>服务公司需</w:t>
      </w:r>
      <w:r>
        <w:rPr>
          <w:rFonts w:hint="eastAsia" w:ascii="仿宋" w:hAnsi="仿宋" w:eastAsia="仿宋" w:cs="仿宋"/>
          <w:color w:val="auto"/>
          <w:sz w:val="24"/>
          <w:szCs w:val="24"/>
          <w:highlight w:val="none"/>
          <w:lang w:val="en-US" w:eastAsia="zh-CN"/>
        </w:rPr>
        <w:t>按照特种设备运行管理要求以及礼仪服务要求做好电梯运行管理人员的岗位培训工作，全体人员每月进行培训，严禁未经培训的人员上岗。针对服务内容服务公司组织定期相关考核，提高业务能力及服务水平。</w:t>
      </w:r>
    </w:p>
    <w:p w14:paraId="0F8D39E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24、遇重大节日，重大活动，服务公司应服从甲方统一安排和要求，及时做好工作调整，保证工作任务完成。</w:t>
      </w:r>
    </w:p>
    <w:p w14:paraId="19E41EE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kern w:val="0"/>
          <w:sz w:val="24"/>
          <w:szCs w:val="24"/>
          <w:highlight w:val="none"/>
          <w:lang w:val="en-US" w:eastAsia="zh-CN"/>
        </w:rPr>
        <w:t>25、服务公司需承诺其工作人员劳动关系合法合规，若因服务公司用工问题导致甲方损失的，服务公司承担全部责任。</w:t>
      </w:r>
    </w:p>
    <w:p w14:paraId="5A0D0BF7">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26、</w:t>
      </w:r>
      <w:r>
        <w:rPr>
          <w:rFonts w:hint="eastAsia" w:ascii="仿宋" w:hAnsi="仿宋" w:eastAsia="仿宋" w:cs="仿宋"/>
          <w:sz w:val="24"/>
          <w:szCs w:val="24"/>
        </w:rPr>
        <w:t>在电梯发生故障或紧急情况时，迅速采取应急措施辅助维保工作人员进行救援，确保乘客的安全。在电梯恢复正常运行后，进行必要的测试和检查，确保电梯的安全运行。</w:t>
      </w:r>
    </w:p>
    <w:p w14:paraId="6B17EAAE">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八、服务质量考评</w:t>
      </w:r>
    </w:p>
    <w:p w14:paraId="141AD363">
      <w:pPr>
        <w:pStyle w:val="3"/>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医院每月对</w:t>
      </w:r>
      <w:r>
        <w:rPr>
          <w:rFonts w:hint="eastAsia" w:ascii="仿宋" w:hAnsi="仿宋" w:eastAsia="仿宋" w:cs="仿宋"/>
          <w:sz w:val="24"/>
          <w:szCs w:val="24"/>
          <w:lang w:val="en-US" w:eastAsia="zh-CN"/>
        </w:rPr>
        <w:t>司乘服务</w:t>
      </w:r>
      <w:r>
        <w:rPr>
          <w:rFonts w:hint="eastAsia" w:ascii="仿宋" w:hAnsi="仿宋" w:eastAsia="仿宋" w:cs="仿宋"/>
          <w:sz w:val="24"/>
          <w:szCs w:val="24"/>
        </w:rPr>
        <w:t>公司进行考评，总得分9</w:t>
      </w:r>
      <w:r>
        <w:rPr>
          <w:rFonts w:hint="eastAsia" w:ascii="仿宋" w:hAnsi="仿宋" w:eastAsia="仿宋" w:cs="仿宋"/>
          <w:sz w:val="24"/>
          <w:szCs w:val="24"/>
          <w:lang w:val="en-US" w:eastAsia="zh-CN"/>
        </w:rPr>
        <w:t>0</w:t>
      </w:r>
      <w:r>
        <w:rPr>
          <w:rFonts w:hint="eastAsia" w:ascii="仿宋" w:hAnsi="仿宋" w:eastAsia="仿宋" w:cs="仿宋"/>
          <w:sz w:val="24"/>
          <w:szCs w:val="24"/>
        </w:rPr>
        <w:t>以上为合格，9</w:t>
      </w:r>
      <w:r>
        <w:rPr>
          <w:rFonts w:hint="eastAsia" w:ascii="仿宋" w:hAnsi="仿宋" w:eastAsia="仿宋" w:cs="仿宋"/>
          <w:sz w:val="24"/>
          <w:szCs w:val="24"/>
          <w:lang w:val="en-US" w:eastAsia="zh-CN"/>
        </w:rPr>
        <w:t>0</w:t>
      </w:r>
      <w:r>
        <w:rPr>
          <w:rFonts w:hint="eastAsia" w:ascii="仿宋" w:hAnsi="仿宋" w:eastAsia="仿宋" w:cs="仿宋"/>
          <w:sz w:val="24"/>
          <w:szCs w:val="24"/>
        </w:rPr>
        <w:t>-8</w:t>
      </w:r>
      <w:r>
        <w:rPr>
          <w:rFonts w:hint="eastAsia" w:ascii="仿宋" w:hAnsi="仿宋" w:eastAsia="仿宋" w:cs="仿宋"/>
          <w:sz w:val="24"/>
          <w:szCs w:val="24"/>
          <w:lang w:val="en-US" w:eastAsia="zh-CN"/>
        </w:rPr>
        <w:t>0</w:t>
      </w:r>
      <w:r>
        <w:rPr>
          <w:rFonts w:hint="eastAsia" w:ascii="仿宋" w:hAnsi="仿宋" w:eastAsia="仿宋" w:cs="仿宋"/>
          <w:sz w:val="24"/>
          <w:szCs w:val="24"/>
        </w:rPr>
        <w:t>分进行处罚：500元/分；低于8</w:t>
      </w:r>
      <w:r>
        <w:rPr>
          <w:rFonts w:hint="eastAsia" w:ascii="仿宋" w:hAnsi="仿宋" w:eastAsia="仿宋" w:cs="仿宋"/>
          <w:sz w:val="24"/>
          <w:szCs w:val="24"/>
          <w:lang w:val="en-US" w:eastAsia="zh-CN"/>
        </w:rPr>
        <w:t>0</w:t>
      </w:r>
      <w:r>
        <w:rPr>
          <w:rFonts w:hint="eastAsia" w:ascii="仿宋" w:hAnsi="仿宋" w:eastAsia="仿宋" w:cs="仿宋"/>
          <w:sz w:val="24"/>
          <w:szCs w:val="24"/>
        </w:rPr>
        <w:t>分考核不合格，甲方有权解除合同或不再续签下一年合同（具体参照“电梯</w:t>
      </w:r>
      <w:r>
        <w:rPr>
          <w:rFonts w:hint="eastAsia" w:ascii="仿宋" w:hAnsi="仿宋" w:eastAsia="仿宋" w:cs="仿宋"/>
          <w:sz w:val="24"/>
          <w:szCs w:val="24"/>
          <w:lang w:val="en-US" w:eastAsia="zh-CN"/>
        </w:rPr>
        <w:t>司乘人员</w:t>
      </w:r>
      <w:r>
        <w:rPr>
          <w:rFonts w:hint="eastAsia" w:ascii="仿宋" w:hAnsi="仿宋" w:eastAsia="仿宋" w:cs="仿宋"/>
          <w:sz w:val="24"/>
          <w:szCs w:val="24"/>
        </w:rPr>
        <w:t>服务考评表”）。</w:t>
      </w:r>
    </w:p>
    <w:p w14:paraId="0E320FE6">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甲方</w:t>
      </w:r>
      <w:r>
        <w:rPr>
          <w:rFonts w:hint="eastAsia" w:ascii="仿宋" w:hAnsi="仿宋" w:eastAsia="仿宋" w:cs="仿宋"/>
          <w:color w:val="000000"/>
          <w:sz w:val="24"/>
          <w:szCs w:val="24"/>
          <w:highlight w:val="none"/>
        </w:rPr>
        <w:t>日常</w:t>
      </w:r>
      <w:r>
        <w:rPr>
          <w:rFonts w:hint="eastAsia" w:ascii="仿宋" w:hAnsi="仿宋" w:eastAsia="仿宋" w:cs="仿宋"/>
          <w:color w:val="000000"/>
          <w:sz w:val="24"/>
          <w:szCs w:val="24"/>
          <w:highlight w:val="none"/>
          <w:lang w:val="en-US" w:eastAsia="zh-CN"/>
        </w:rPr>
        <w:t>检查中</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乙方未按照服务内容及要求履约，甲方</w:t>
      </w:r>
      <w:r>
        <w:rPr>
          <w:rFonts w:hint="eastAsia" w:ascii="仿宋" w:hAnsi="仿宋" w:eastAsia="仿宋" w:cs="仿宋"/>
          <w:color w:val="000000"/>
          <w:sz w:val="24"/>
          <w:szCs w:val="24"/>
          <w:highlight w:val="none"/>
        </w:rPr>
        <w:t>将采取口头或书面告知当事人及乙方管理员</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结合乙方违约情况要求乙方支付500元以上违约金，</w:t>
      </w:r>
      <w:r>
        <w:rPr>
          <w:rFonts w:hint="eastAsia" w:ascii="仿宋" w:hAnsi="仿宋" w:eastAsia="仿宋" w:cs="仿宋"/>
          <w:color w:val="000000"/>
          <w:sz w:val="24"/>
          <w:szCs w:val="24"/>
          <w:highlight w:val="none"/>
        </w:rPr>
        <w:t>乙方</w:t>
      </w:r>
      <w:r>
        <w:rPr>
          <w:rFonts w:hint="eastAsia" w:ascii="仿宋" w:hAnsi="仿宋" w:eastAsia="仿宋" w:cs="仿宋"/>
          <w:color w:val="000000"/>
          <w:sz w:val="24"/>
          <w:szCs w:val="24"/>
          <w:highlight w:val="none"/>
          <w:lang w:val="en-US" w:eastAsia="zh-CN"/>
        </w:rPr>
        <w:t>限期1天之内进行</w:t>
      </w:r>
      <w:r>
        <w:rPr>
          <w:rFonts w:hint="eastAsia" w:ascii="仿宋" w:hAnsi="仿宋" w:eastAsia="仿宋" w:cs="仿宋"/>
          <w:color w:val="000000"/>
          <w:sz w:val="24"/>
          <w:szCs w:val="24"/>
          <w:highlight w:val="none"/>
        </w:rPr>
        <w:t>整改</w:t>
      </w:r>
      <w:r>
        <w:rPr>
          <w:rFonts w:hint="eastAsia" w:ascii="仿宋" w:hAnsi="仿宋" w:eastAsia="仿宋" w:cs="仿宋"/>
          <w:color w:val="000000"/>
          <w:sz w:val="24"/>
          <w:szCs w:val="24"/>
          <w:highlight w:val="none"/>
          <w:lang w:eastAsia="zh-CN"/>
        </w:rPr>
        <w:t>。</w:t>
      </w:r>
    </w:p>
    <w:p w14:paraId="35120827">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九</w:t>
      </w:r>
      <w:r>
        <w:rPr>
          <w:rFonts w:hint="eastAsia" w:ascii="仿宋" w:hAnsi="仿宋" w:eastAsia="仿宋" w:cs="仿宋"/>
          <w:b/>
          <w:bCs/>
          <w:color w:val="000000" w:themeColor="text1"/>
          <w:kern w:val="0"/>
          <w:sz w:val="24"/>
          <w:szCs w:val="24"/>
          <w:highlight w:val="none"/>
          <w14:textFill>
            <w14:solidFill>
              <w14:schemeClr w14:val="tx1"/>
            </w14:solidFill>
          </w14:textFill>
        </w:rPr>
        <w:t>、合同变更与终止:</w:t>
      </w:r>
    </w:p>
    <w:p w14:paraId="2D3B2915">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1、合同的变更须经双方协商一致并形成书面协议，经双方签字盖章后生效。</w:t>
      </w:r>
    </w:p>
    <w:p w14:paraId="00B67EF1">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2、合同履行过程中，如遇不可抗力的因素，经双方协商后可提前终止。</w:t>
      </w:r>
    </w:p>
    <w:p w14:paraId="2DDC2B8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、为了使医院</w:t>
      </w:r>
      <w:r>
        <w:rPr>
          <w:rFonts w:hint="eastAsia" w:ascii="仿宋" w:hAnsi="仿宋" w:eastAsia="仿宋" w:cs="仿宋"/>
          <w:sz w:val="24"/>
          <w:szCs w:val="24"/>
          <w:highlight w:val="none"/>
          <w:lang w:val="en-US" w:eastAsia="zh-CN"/>
        </w:rPr>
        <w:t>司梯</w:t>
      </w:r>
      <w:r>
        <w:rPr>
          <w:rFonts w:hint="eastAsia" w:ascii="仿宋" w:hAnsi="仿宋" w:eastAsia="仿宋" w:cs="仿宋"/>
          <w:sz w:val="24"/>
          <w:szCs w:val="24"/>
          <w:highlight w:val="none"/>
        </w:rPr>
        <w:t>工作正常、稳定进行，在本合同到期的前3个月，甲方按程序进行下一年度的招标准备工作，如在招标过程中乙方中标，继续签订</w:t>
      </w:r>
      <w:r>
        <w:rPr>
          <w:rFonts w:hint="eastAsia" w:ascii="仿宋" w:hAnsi="仿宋" w:eastAsia="仿宋" w:cs="仿宋"/>
          <w:sz w:val="24"/>
          <w:szCs w:val="24"/>
          <w:highlight w:val="none"/>
          <w:lang w:val="en-US" w:eastAsia="zh-CN"/>
        </w:rPr>
        <w:t>司梯</w:t>
      </w:r>
      <w:r>
        <w:rPr>
          <w:rFonts w:hint="eastAsia" w:ascii="仿宋" w:hAnsi="仿宋" w:eastAsia="仿宋" w:cs="仿宋"/>
          <w:sz w:val="24"/>
          <w:szCs w:val="24"/>
          <w:highlight w:val="none"/>
        </w:rPr>
        <w:t>服务合同，提供</w:t>
      </w:r>
      <w:r>
        <w:rPr>
          <w:rFonts w:hint="eastAsia" w:ascii="仿宋" w:hAnsi="仿宋" w:eastAsia="仿宋" w:cs="仿宋"/>
          <w:sz w:val="24"/>
          <w:szCs w:val="24"/>
          <w:highlight w:val="none"/>
          <w:lang w:val="en-US" w:eastAsia="zh-CN"/>
        </w:rPr>
        <w:t>司梯</w:t>
      </w:r>
      <w:r>
        <w:rPr>
          <w:rFonts w:hint="eastAsia" w:ascii="仿宋" w:hAnsi="仿宋" w:eastAsia="仿宋" w:cs="仿宋"/>
          <w:sz w:val="24"/>
          <w:szCs w:val="24"/>
          <w:highlight w:val="none"/>
        </w:rPr>
        <w:t>服务，如未中标，提前做好</w:t>
      </w:r>
      <w:r>
        <w:rPr>
          <w:rFonts w:hint="eastAsia" w:ascii="仿宋" w:hAnsi="仿宋" w:eastAsia="仿宋" w:cs="仿宋"/>
          <w:sz w:val="24"/>
          <w:szCs w:val="24"/>
          <w:highlight w:val="none"/>
          <w:lang w:val="en-US" w:eastAsia="zh-CN"/>
        </w:rPr>
        <w:t>司梯工作</w:t>
      </w:r>
      <w:r>
        <w:rPr>
          <w:rFonts w:hint="eastAsia" w:ascii="仿宋" w:hAnsi="仿宋" w:eastAsia="仿宋" w:cs="仿宋"/>
          <w:sz w:val="24"/>
          <w:szCs w:val="24"/>
          <w:highlight w:val="none"/>
        </w:rPr>
        <w:t>的移交</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并配合将相关资料转移甲方。</w:t>
      </w:r>
    </w:p>
    <w:p w14:paraId="4BA7F242">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14:textFill>
            <w14:solidFill>
              <w14:schemeClr w14:val="tx1"/>
            </w14:solidFill>
          </w14:textFill>
        </w:rPr>
        <w:t>十、违约责任:</w:t>
      </w:r>
    </w:p>
    <w:p w14:paraId="4829AA81">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1、乙方未能按照合同第八条第2点约定完成整改的，乙方应按合同总价款的10%向甲方支付违约金，违约金不足以弥补甲方损失的，乙方需足额支付。</w:t>
      </w:r>
    </w:p>
    <w:p w14:paraId="6D0D2B19">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t>2、</w:t>
      </w:r>
      <w:r>
        <w:rPr>
          <w:rFonts w:hint="eastAsia" w:ascii="仿宋" w:hAnsi="仿宋" w:eastAsia="仿宋" w:cs="仿宋"/>
          <w:sz w:val="24"/>
          <w:szCs w:val="24"/>
          <w:highlight w:val="none"/>
          <w:lang w:val="en-US" w:eastAsia="zh-CN"/>
        </w:rPr>
        <w:t>乙方人员</w:t>
      </w:r>
      <w:r>
        <w:rPr>
          <w:rFonts w:hint="eastAsia" w:ascii="仿宋" w:hAnsi="仿宋" w:eastAsia="仿宋" w:cs="仿宋"/>
          <w:sz w:val="24"/>
          <w:szCs w:val="24"/>
          <w:highlight w:val="none"/>
        </w:rPr>
        <w:t>导致甲方或引起第三方人身</w:t>
      </w:r>
      <w:r>
        <w:rPr>
          <w:rFonts w:hint="eastAsia" w:ascii="仿宋" w:hAnsi="仿宋" w:eastAsia="仿宋" w:cs="仿宋"/>
          <w:sz w:val="24"/>
          <w:szCs w:val="24"/>
          <w:highlight w:val="none"/>
          <w:lang w:val="en-US" w:eastAsia="zh-CN"/>
        </w:rPr>
        <w:t>安全</w:t>
      </w:r>
      <w:r>
        <w:rPr>
          <w:rFonts w:hint="eastAsia" w:ascii="仿宋" w:hAnsi="仿宋" w:eastAsia="仿宋" w:cs="仿宋"/>
          <w:sz w:val="24"/>
          <w:szCs w:val="24"/>
          <w:highlight w:val="none"/>
        </w:rPr>
        <w:t>、财产安全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名誉等</w:t>
      </w:r>
      <w:r>
        <w:rPr>
          <w:rFonts w:hint="eastAsia" w:ascii="仿宋" w:hAnsi="仿宋" w:eastAsia="仿宋" w:cs="仿宋"/>
          <w:sz w:val="24"/>
          <w:szCs w:val="24"/>
          <w:highlight w:val="none"/>
        </w:rPr>
        <w:t>受到损失的，均由</w:t>
      </w:r>
      <w:r>
        <w:rPr>
          <w:rFonts w:hint="eastAsia" w:ascii="仿宋" w:hAnsi="仿宋" w:eastAsia="仿宋" w:cs="仿宋"/>
          <w:sz w:val="24"/>
          <w:szCs w:val="24"/>
          <w:highlight w:val="none"/>
          <w:lang w:val="en-US" w:eastAsia="zh-CN"/>
        </w:rPr>
        <w:t>乙方负责赔偿，甲方不承担任何责任，</w:t>
      </w:r>
      <w:r>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t>同时甲方有权选择解除合同。</w:t>
      </w:r>
    </w:p>
    <w:p w14:paraId="24FD251D">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t>3、乙方未按合同约定配备人员的，乙方应向甲方支付违约金5000元，并在限期2日内整改，如未整改到位视为乙方严重违约，</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乙方还应按合同总价款的10%向甲方支付违约金</w:t>
      </w:r>
      <w:r>
        <w:rPr>
          <w:rFonts w:hint="eastAsia" w:ascii="仿宋" w:hAnsi="仿宋" w:eastAsia="仿宋" w:cs="仿宋"/>
          <w:color w:val="000000" w:themeColor="text1"/>
          <w:kern w:val="0"/>
          <w:sz w:val="24"/>
          <w:szCs w:val="24"/>
          <w:highlight w:val="none"/>
          <w:u w:val="none"/>
          <w:lang w:val="en-US" w:eastAsia="zh-CN" w:bidi="ar-SA"/>
          <w14:textFill>
            <w14:solidFill>
              <w14:schemeClr w14:val="tx1"/>
            </w14:solidFill>
          </w14:textFill>
        </w:rPr>
        <w:t>。</w:t>
      </w:r>
    </w:p>
    <w:p w14:paraId="1073BCD1">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14:textFill>
            <w14:solidFill>
              <w14:schemeClr w14:val="tx1"/>
            </w14:solidFill>
          </w14:textFill>
        </w:rPr>
        <w:t>十一、争议解决:</w:t>
      </w:r>
    </w:p>
    <w:p w14:paraId="3A66CF3A">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1、执行本合同中产生纠纷，由甲乙双方协商解决；协商不成，向甲方所在地人民法院提起诉讼。</w:t>
      </w:r>
    </w:p>
    <w:p w14:paraId="48F68747">
      <w:pPr>
        <w:pStyle w:val="8"/>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14:textFill>
            <w14:solidFill>
              <w14:schemeClr w14:val="tx1"/>
            </w14:solidFill>
          </w14:textFill>
        </w:rPr>
        <w:t>十二、合同生效及其它:</w:t>
      </w:r>
    </w:p>
    <w:p w14:paraId="7FBC1A67">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1、本合同自签订之日起生效。合同未尽事宜、由甲乙双方在签订合同时具体明确，或作为合同补充条款，与原合同具有同等法律效力。</w:t>
      </w:r>
    </w:p>
    <w:p w14:paraId="1696EDE1">
      <w:pPr>
        <w:pStyle w:val="8"/>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2、本合同一式</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六</w:t>
      </w:r>
      <w:r>
        <w:rPr>
          <w:rFonts w:hint="eastAsia" w:ascii="仿宋" w:hAnsi="仿宋" w:eastAsia="仿宋" w:cs="仿宋"/>
          <w:color w:val="000000" w:themeColor="text1"/>
          <w:kern w:val="0"/>
          <w:sz w:val="24"/>
          <w:szCs w:val="24"/>
          <w:highlight w:val="none"/>
          <w14:textFill>
            <w14:solidFill>
              <w14:schemeClr w14:val="tx1"/>
            </w14:solidFill>
          </w14:textFill>
        </w:rPr>
        <w:t>份，甲方执</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叁</w:t>
      </w:r>
      <w:r>
        <w:rPr>
          <w:rFonts w:hint="eastAsia" w:ascii="仿宋" w:hAnsi="仿宋" w:eastAsia="仿宋" w:cs="仿宋"/>
          <w:color w:val="000000" w:themeColor="text1"/>
          <w:kern w:val="0"/>
          <w:sz w:val="24"/>
          <w:szCs w:val="24"/>
          <w:highlight w:val="none"/>
          <w14:textFill>
            <w14:solidFill>
              <w14:schemeClr w14:val="tx1"/>
            </w14:solidFill>
          </w14:textFill>
        </w:rPr>
        <w:t>份、乙方执</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叁</w:t>
      </w:r>
      <w:r>
        <w:rPr>
          <w:rFonts w:hint="eastAsia" w:ascii="仿宋" w:hAnsi="仿宋" w:eastAsia="仿宋" w:cs="仿宋"/>
          <w:color w:val="000000" w:themeColor="text1"/>
          <w:kern w:val="0"/>
          <w:sz w:val="24"/>
          <w:szCs w:val="24"/>
          <w:highlight w:val="none"/>
          <w14:textFill>
            <w14:solidFill>
              <w14:schemeClr w14:val="tx1"/>
            </w14:solidFill>
          </w14:textFill>
        </w:rPr>
        <w:t>份。</w:t>
      </w:r>
    </w:p>
    <w:p w14:paraId="5D0EE004">
      <w:pPr>
        <w:pStyle w:val="8"/>
        <w:spacing w:line="360" w:lineRule="auto"/>
        <w:ind w:firstLine="465"/>
        <w:rPr>
          <w:rFonts w:hint="eastAsia" w:ascii="仿宋" w:hAnsi="仿宋" w:eastAsia="仿宋" w:cs="仿宋"/>
          <w:color w:val="000000" w:themeColor="text1"/>
          <w:kern w:val="0"/>
          <w:sz w:val="24"/>
          <w:szCs w:val="24"/>
          <w:highlight w:val="none"/>
          <w14:textFill>
            <w14:solidFill>
              <w14:schemeClr w14:val="tx1"/>
            </w14:solidFill>
          </w14:textFill>
        </w:rPr>
      </w:pPr>
    </w:p>
    <w:tbl>
      <w:tblPr>
        <w:tblStyle w:val="6"/>
        <w:tblW w:w="9206" w:type="dxa"/>
        <w:tblInd w:w="-4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12"/>
        <w:gridCol w:w="2100"/>
        <w:gridCol w:w="2082"/>
        <w:gridCol w:w="2212"/>
      </w:tblGrid>
      <w:tr w14:paraId="30274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12" w:type="dxa"/>
            <w:vAlign w:val="center"/>
          </w:tcPr>
          <w:p w14:paraId="1E688650">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甲方（盖章）：</w:t>
            </w:r>
          </w:p>
        </w:tc>
        <w:tc>
          <w:tcPr>
            <w:tcW w:w="2100" w:type="dxa"/>
            <w:vAlign w:val="center"/>
          </w:tcPr>
          <w:p w14:paraId="483F5AAB">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c>
          <w:tcPr>
            <w:tcW w:w="2082" w:type="dxa"/>
            <w:vAlign w:val="center"/>
          </w:tcPr>
          <w:p w14:paraId="599D0B94">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rPr>
            </w:pPr>
            <w:r>
              <w:rPr>
                <w:rFonts w:hint="eastAsia" w:ascii="仿宋" w:hAnsi="仿宋" w:eastAsia="仿宋" w:cs="仿宋"/>
                <w:sz w:val="24"/>
                <w:szCs w:val="24"/>
                <w:highlight w:val="none"/>
                <w:vertAlign w:val="baseline"/>
                <w:lang w:val="en-US" w:eastAsia="zh-CN"/>
              </w:rPr>
              <w:t>乙方（盖章）：</w:t>
            </w:r>
          </w:p>
        </w:tc>
        <w:tc>
          <w:tcPr>
            <w:tcW w:w="2212" w:type="dxa"/>
            <w:vAlign w:val="center"/>
          </w:tcPr>
          <w:p w14:paraId="718E7FA8">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r>
      <w:tr w14:paraId="629F7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12" w:type="dxa"/>
            <w:vAlign w:val="center"/>
          </w:tcPr>
          <w:p w14:paraId="25720BB1">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地      址：</w:t>
            </w:r>
          </w:p>
        </w:tc>
        <w:tc>
          <w:tcPr>
            <w:tcW w:w="2100" w:type="dxa"/>
            <w:vAlign w:val="center"/>
          </w:tcPr>
          <w:p w14:paraId="5018993F">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c>
          <w:tcPr>
            <w:tcW w:w="2082" w:type="dxa"/>
            <w:vAlign w:val="center"/>
          </w:tcPr>
          <w:p w14:paraId="52245425">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rPr>
            </w:pPr>
            <w:r>
              <w:rPr>
                <w:rFonts w:hint="eastAsia" w:ascii="仿宋" w:hAnsi="仿宋" w:eastAsia="仿宋" w:cs="仿宋"/>
                <w:sz w:val="24"/>
                <w:szCs w:val="24"/>
                <w:highlight w:val="none"/>
                <w:vertAlign w:val="baseline"/>
                <w:lang w:val="en-US" w:eastAsia="zh-CN"/>
              </w:rPr>
              <w:t>地      址：</w:t>
            </w:r>
          </w:p>
        </w:tc>
        <w:tc>
          <w:tcPr>
            <w:tcW w:w="2212" w:type="dxa"/>
            <w:vAlign w:val="center"/>
          </w:tcPr>
          <w:p w14:paraId="57D3A03A">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r>
      <w:tr w14:paraId="302A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trPr>
        <w:tc>
          <w:tcPr>
            <w:tcW w:w="2812" w:type="dxa"/>
            <w:vAlign w:val="center"/>
          </w:tcPr>
          <w:p w14:paraId="3E7E3894">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法定代表人：</w:t>
            </w:r>
          </w:p>
          <w:p w14:paraId="560EA94D">
            <w:pPr>
              <w:autoSpaceDE w:val="0"/>
              <w:autoSpaceDN w:val="0"/>
              <w:adjustRightInd w:val="0"/>
              <w:spacing w:before="156" w:beforeLines="50" w:after="156" w:afterLines="50" w:line="44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highlight w:val="none"/>
                <w:vertAlign w:val="baseline"/>
                <w:lang w:val="en-US" w:eastAsia="zh-CN"/>
              </w:rPr>
              <w:t>（或授权委托人）</w:t>
            </w:r>
          </w:p>
        </w:tc>
        <w:tc>
          <w:tcPr>
            <w:tcW w:w="2100" w:type="dxa"/>
            <w:vAlign w:val="center"/>
          </w:tcPr>
          <w:p w14:paraId="6FECD799">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c>
          <w:tcPr>
            <w:tcW w:w="2082" w:type="dxa"/>
            <w:vAlign w:val="center"/>
          </w:tcPr>
          <w:p w14:paraId="149E3C1C">
            <w:pPr>
              <w:autoSpaceDE w:val="0"/>
              <w:autoSpaceDN w:val="0"/>
              <w:adjustRightInd w:val="0"/>
              <w:spacing w:before="156" w:beforeLines="50" w:after="156" w:afterLines="50" w:line="440" w:lineRule="exact"/>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法定代表人：</w:t>
            </w:r>
          </w:p>
        </w:tc>
        <w:tc>
          <w:tcPr>
            <w:tcW w:w="2212" w:type="dxa"/>
            <w:vAlign w:val="center"/>
          </w:tcPr>
          <w:p w14:paraId="249766F5">
            <w:pPr>
              <w:autoSpaceDE w:val="0"/>
              <w:autoSpaceDN w:val="0"/>
              <w:adjustRightInd w:val="0"/>
              <w:spacing w:before="156" w:beforeLines="50" w:after="156" w:afterLines="50" w:line="440" w:lineRule="exact"/>
              <w:rPr>
                <w:rFonts w:hint="eastAsia" w:ascii="仿宋" w:hAnsi="仿宋" w:eastAsia="仿宋" w:cs="仿宋"/>
                <w:sz w:val="24"/>
                <w:szCs w:val="24"/>
                <w:highlight w:val="none"/>
                <w:vertAlign w:val="baseline"/>
              </w:rPr>
            </w:pPr>
          </w:p>
        </w:tc>
      </w:tr>
    </w:tbl>
    <w:p w14:paraId="17FFAE15">
      <w:pPr>
        <w:pStyle w:val="4"/>
        <w:rPr>
          <w:rFonts w:hint="eastAsia" w:ascii="仿宋" w:hAnsi="仿宋" w:eastAsia="仿宋" w:cs="仿宋"/>
          <w:b/>
          <w:color w:val="000000" w:themeColor="text1"/>
          <w:kern w:val="0"/>
          <w:sz w:val="24"/>
          <w:szCs w:val="24"/>
          <w:highlight w:val="none"/>
          <w:lang w:val="en-US" w:eastAsia="zh-CN" w:bidi="ar-SA"/>
          <w14:textFill>
            <w14:solidFill>
              <w14:schemeClr w14:val="tx1"/>
            </w14:solidFill>
          </w14:textFill>
        </w:rPr>
      </w:pPr>
    </w:p>
    <w:p w14:paraId="2EB41529">
      <w:pPr>
        <w:rPr>
          <w:rStyle w:val="11"/>
          <w:rFonts w:hint="eastAsia" w:ascii="仿宋" w:hAnsi="仿宋" w:eastAsia="仿宋" w:cs="仿宋"/>
          <w:sz w:val="30"/>
          <w:szCs w:val="30"/>
          <w:lang w:val="en-US" w:eastAsia="zh-CN" w:bidi="ar"/>
        </w:rPr>
      </w:pPr>
      <w:r>
        <w:rPr>
          <w:rStyle w:val="11"/>
          <w:rFonts w:hint="eastAsia" w:ascii="仿宋" w:hAnsi="仿宋" w:eastAsia="仿宋" w:cs="仿宋"/>
          <w:sz w:val="30"/>
          <w:szCs w:val="30"/>
          <w:lang w:val="en-US" w:eastAsia="zh-CN" w:bidi="ar"/>
        </w:rPr>
        <w:br w:type="page"/>
      </w:r>
    </w:p>
    <w:p w14:paraId="39589B14">
      <w:pPr>
        <w:keepNext w:val="0"/>
        <w:keepLines w:val="0"/>
        <w:widowControl/>
        <w:suppressLineNumbers w:val="0"/>
        <w:jc w:val="left"/>
        <w:textAlignment w:val="center"/>
        <w:rPr>
          <w:rFonts w:hint="eastAsia" w:ascii="仿宋" w:hAnsi="仿宋" w:eastAsia="仿宋" w:cs="仿宋"/>
          <w:b/>
          <w:color w:val="000000" w:themeColor="text1"/>
          <w:kern w:val="0"/>
          <w:sz w:val="30"/>
          <w:szCs w:val="30"/>
          <w:highlight w:val="none"/>
          <w:lang w:val="en-US" w:eastAsia="zh-CN" w:bidi="ar-SA"/>
          <w14:textFill>
            <w14:solidFill>
              <w14:schemeClr w14:val="tx1"/>
            </w14:solidFill>
          </w14:textFill>
        </w:rPr>
      </w:pPr>
      <w:r>
        <w:rPr>
          <w:rStyle w:val="11"/>
          <w:rFonts w:hint="eastAsia" w:ascii="仿宋" w:hAnsi="仿宋" w:eastAsia="仿宋" w:cs="仿宋"/>
          <w:sz w:val="30"/>
          <w:szCs w:val="30"/>
          <w:lang w:val="en-US" w:eastAsia="zh-CN" w:bidi="ar"/>
        </w:rPr>
        <w:t>附件：电梯司乘服务考评表</w:t>
      </w:r>
    </w:p>
    <w:tbl>
      <w:tblPr>
        <w:tblStyle w:val="5"/>
        <w:tblW w:w="9692" w:type="dxa"/>
        <w:tblInd w:w="-52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1"/>
        <w:gridCol w:w="694"/>
        <w:gridCol w:w="2803"/>
        <w:gridCol w:w="2447"/>
        <w:gridCol w:w="1050"/>
        <w:gridCol w:w="862"/>
        <w:gridCol w:w="985"/>
      </w:tblGrid>
      <w:tr w14:paraId="30994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692" w:type="dxa"/>
            <w:gridSpan w:val="7"/>
            <w:tcBorders>
              <w:top w:val="nil"/>
              <w:left w:val="nil"/>
              <w:bottom w:val="single" w:color="000000" w:sz="4" w:space="0"/>
              <w:right w:val="nil"/>
            </w:tcBorders>
            <w:shd w:val="clear" w:color="auto" w:fill="auto"/>
            <w:vAlign w:val="center"/>
          </w:tcPr>
          <w:p w14:paraId="3288C65E">
            <w:pPr>
              <w:keepNext w:val="0"/>
              <w:keepLines w:val="0"/>
              <w:widowControl/>
              <w:suppressLineNumbers w:val="0"/>
              <w:jc w:val="center"/>
              <w:textAlignment w:val="center"/>
              <w:rPr>
                <w:rStyle w:val="11"/>
                <w:rFonts w:hint="eastAsia" w:ascii="仿宋" w:hAnsi="仿宋" w:eastAsia="仿宋" w:cs="仿宋"/>
                <w:sz w:val="30"/>
                <w:szCs w:val="30"/>
                <w:lang w:val="en-US" w:eastAsia="zh-CN" w:bidi="ar"/>
              </w:rPr>
            </w:pPr>
            <w:r>
              <w:rPr>
                <w:rStyle w:val="11"/>
                <w:rFonts w:hint="eastAsia" w:ascii="仿宋" w:hAnsi="仿宋" w:eastAsia="仿宋" w:cs="仿宋"/>
                <w:sz w:val="30"/>
                <w:szCs w:val="30"/>
                <w:lang w:val="en-US" w:eastAsia="zh-CN" w:bidi="ar"/>
              </w:rPr>
              <w:t>电梯司乘服务考评表</w:t>
            </w:r>
          </w:p>
          <w:p w14:paraId="4D59FBDB">
            <w:pPr>
              <w:keepNext w:val="0"/>
              <w:keepLines w:val="0"/>
              <w:widowControl/>
              <w:suppressLineNumbers w:val="0"/>
              <w:jc w:val="left"/>
              <w:textAlignment w:val="center"/>
              <w:rPr>
                <w:rFonts w:hint="eastAsia" w:ascii="仿宋" w:hAnsi="仿宋" w:eastAsia="仿宋" w:cs="仿宋"/>
                <w:i w:val="0"/>
                <w:iCs w:val="0"/>
                <w:color w:val="000000"/>
                <w:sz w:val="30"/>
                <w:szCs w:val="30"/>
                <w:u w:val="none"/>
              </w:rPr>
            </w:pPr>
            <w:r>
              <w:rPr>
                <w:rStyle w:val="12"/>
                <w:rFonts w:hint="eastAsia" w:ascii="仿宋" w:hAnsi="仿宋" w:eastAsia="仿宋" w:cs="仿宋"/>
                <w:sz w:val="30"/>
                <w:szCs w:val="30"/>
                <w:lang w:val="en-US" w:eastAsia="zh-CN" w:bidi="ar"/>
              </w:rPr>
              <w:t xml:space="preserve">单位名称：陕西中医药大学附属医院         </w:t>
            </w:r>
          </w:p>
        </w:tc>
      </w:tr>
      <w:tr w14:paraId="206A5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71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内容</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59F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78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考核项目</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7D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考核标准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AD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A3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考评得分</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98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考评说明</w:t>
            </w:r>
          </w:p>
        </w:tc>
      </w:tr>
      <w:tr w14:paraId="0EF9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51" w:type="dxa"/>
            <w:vMerge w:val="restart"/>
            <w:tcBorders>
              <w:top w:val="single" w:color="000000" w:sz="4" w:space="0"/>
              <w:left w:val="single" w:color="000000" w:sz="4" w:space="0"/>
              <w:bottom w:val="nil"/>
              <w:right w:val="single" w:color="000000" w:sz="4" w:space="0"/>
            </w:tcBorders>
            <w:shd w:val="clear" w:color="auto" w:fill="auto"/>
            <w:vAlign w:val="center"/>
          </w:tcPr>
          <w:p w14:paraId="30E6A4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乘梯服务</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798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F9A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是否热情礼貌服务，主动协助特殊群体（老人、儿童、残疾人、特需病人等）进出电梯？</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B913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服务态度差（如冷漠、争吵）每次扣5分；未协助特殊群体每次扣2分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C2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5E85">
            <w:pPr>
              <w:jc w:val="center"/>
              <w:rPr>
                <w:rFonts w:hint="eastAsia" w:ascii="仿宋" w:hAnsi="仿宋" w:eastAsia="仿宋" w:cs="仿宋"/>
                <w:i w:val="0"/>
                <w:iCs w:val="0"/>
                <w:color w:val="000000"/>
                <w:sz w:val="24"/>
                <w:szCs w:val="24"/>
                <w:u w:val="none"/>
              </w:rPr>
            </w:pPr>
          </w:p>
        </w:tc>
        <w:tc>
          <w:tcPr>
            <w:tcW w:w="985" w:type="dxa"/>
            <w:vMerge w:val="restart"/>
            <w:tcBorders>
              <w:top w:val="single" w:color="000000" w:sz="4" w:space="0"/>
              <w:left w:val="single" w:color="000000" w:sz="4" w:space="0"/>
              <w:bottom w:val="nil"/>
              <w:right w:val="single" w:color="000000" w:sz="4" w:space="0"/>
            </w:tcBorders>
            <w:shd w:val="clear" w:color="auto" w:fill="auto"/>
            <w:vAlign w:val="center"/>
          </w:tcPr>
          <w:p w14:paraId="7577BC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临床/行政/后勤部门共同参与综合评分取平均值</w:t>
            </w:r>
          </w:p>
        </w:tc>
      </w:tr>
      <w:tr w14:paraId="268CE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1096D06A">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FCF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9543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精神饱满、热情，使用礼貌用语服务意识良好,不与医患等发生争吵或有失敬、失礼的行为;</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0F2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服务不积极扣2分，服务态度差（如冷漠、争吵）每次扣5分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55C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5CE25">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162B7D8A">
            <w:pPr>
              <w:jc w:val="center"/>
              <w:rPr>
                <w:rFonts w:hint="eastAsia" w:ascii="仿宋" w:hAnsi="仿宋" w:eastAsia="仿宋" w:cs="仿宋"/>
                <w:i w:val="0"/>
                <w:iCs w:val="0"/>
                <w:color w:val="000000"/>
                <w:sz w:val="24"/>
                <w:szCs w:val="24"/>
                <w:u w:val="none"/>
              </w:rPr>
            </w:pPr>
          </w:p>
        </w:tc>
      </w:tr>
      <w:tr w14:paraId="5D8C0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0DFF7674">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C24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14A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是否配合医疗转运（手术病人、医废、器械等）并优先保障？</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7546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未配合医疗转运任务每次扣5分，延误转运扣3分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81F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55EDC">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30B31C97">
            <w:pPr>
              <w:jc w:val="center"/>
              <w:rPr>
                <w:rFonts w:hint="eastAsia" w:ascii="仿宋" w:hAnsi="仿宋" w:eastAsia="仿宋" w:cs="仿宋"/>
                <w:i w:val="0"/>
                <w:iCs w:val="0"/>
                <w:color w:val="000000"/>
                <w:sz w:val="24"/>
                <w:szCs w:val="24"/>
                <w:u w:val="none"/>
              </w:rPr>
            </w:pPr>
          </w:p>
        </w:tc>
      </w:tr>
      <w:tr w14:paraId="24653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400D11EE">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17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4B33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是否保持电梯清洁（每日擦拭消毒、地面、轿厢清洁、按钮清晰等）？</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62B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卫生不达标每次扣3分，未消毒记录扣2分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0F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1DEF">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2DACC1E0">
            <w:pPr>
              <w:jc w:val="center"/>
              <w:rPr>
                <w:rFonts w:hint="eastAsia" w:ascii="仿宋" w:hAnsi="仿宋" w:eastAsia="仿宋" w:cs="仿宋"/>
                <w:i w:val="0"/>
                <w:iCs w:val="0"/>
                <w:color w:val="000000"/>
                <w:sz w:val="24"/>
                <w:szCs w:val="24"/>
                <w:u w:val="none"/>
              </w:rPr>
            </w:pPr>
          </w:p>
        </w:tc>
      </w:tr>
      <w:tr w14:paraId="1851C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065077C7">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35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55B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是否及时接听五方通话并协助应急处理？</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693E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未及时接听五方通话并协助应急处理扣3分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3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7C80">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7137D1B0">
            <w:pPr>
              <w:jc w:val="center"/>
              <w:rPr>
                <w:rFonts w:hint="eastAsia" w:ascii="仿宋" w:hAnsi="仿宋" w:eastAsia="仿宋" w:cs="仿宋"/>
                <w:i w:val="0"/>
                <w:iCs w:val="0"/>
                <w:color w:val="000000"/>
                <w:sz w:val="24"/>
                <w:szCs w:val="24"/>
                <w:u w:val="none"/>
              </w:rPr>
            </w:pPr>
          </w:p>
        </w:tc>
      </w:tr>
      <w:tr w14:paraId="6007B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3D628D07">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88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B905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是否按要求完成夜间值班及突发事件配合？</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8C9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缺岗每次扣5分，夜间未配合转运或应急事件每次扣5分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E6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D68E">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2667AC66">
            <w:pPr>
              <w:jc w:val="center"/>
              <w:rPr>
                <w:rFonts w:hint="eastAsia" w:ascii="仿宋" w:hAnsi="仿宋" w:eastAsia="仿宋" w:cs="仿宋"/>
                <w:i w:val="0"/>
                <w:iCs w:val="0"/>
                <w:color w:val="000000"/>
                <w:sz w:val="24"/>
                <w:szCs w:val="24"/>
                <w:u w:val="none"/>
              </w:rPr>
            </w:pPr>
          </w:p>
        </w:tc>
      </w:tr>
      <w:tr w14:paraId="75C73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42ACF246">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87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9063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是否完成医院临时安排的紧急任务？</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30BD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拒绝或拖延临时任务每次扣5分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68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AFAA">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770CFC74">
            <w:pPr>
              <w:jc w:val="center"/>
              <w:rPr>
                <w:rFonts w:hint="eastAsia" w:ascii="仿宋" w:hAnsi="仿宋" w:eastAsia="仿宋" w:cs="仿宋"/>
                <w:i w:val="0"/>
                <w:iCs w:val="0"/>
                <w:color w:val="000000"/>
                <w:sz w:val="24"/>
                <w:szCs w:val="24"/>
                <w:u w:val="none"/>
              </w:rPr>
            </w:pPr>
          </w:p>
        </w:tc>
      </w:tr>
      <w:tr w14:paraId="1D0A0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0DA880CB">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DB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94C3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按规定着工装上班,仪表整洁,按规定佩带工作证于正确位置;</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3D5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每人每次扣3分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9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7542">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051F1A11">
            <w:pPr>
              <w:jc w:val="center"/>
              <w:rPr>
                <w:rFonts w:hint="eastAsia" w:ascii="仿宋" w:hAnsi="仿宋" w:eastAsia="仿宋" w:cs="仿宋"/>
                <w:i w:val="0"/>
                <w:iCs w:val="0"/>
                <w:color w:val="000000"/>
                <w:sz w:val="24"/>
                <w:szCs w:val="24"/>
                <w:u w:val="none"/>
              </w:rPr>
            </w:pPr>
          </w:p>
        </w:tc>
      </w:tr>
      <w:tr w14:paraId="1C62D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851" w:type="dxa"/>
            <w:vMerge w:val="continue"/>
            <w:tcBorders>
              <w:top w:val="single" w:color="000000" w:sz="4" w:space="0"/>
              <w:left w:val="single" w:color="000000" w:sz="4" w:space="0"/>
              <w:bottom w:val="nil"/>
              <w:right w:val="single" w:color="000000" w:sz="4" w:space="0"/>
            </w:tcBorders>
            <w:shd w:val="clear" w:color="auto" w:fill="auto"/>
            <w:vAlign w:val="center"/>
          </w:tcPr>
          <w:p w14:paraId="3646B75E">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nil"/>
              <w:right w:val="single" w:color="000000" w:sz="4" w:space="0"/>
            </w:tcBorders>
            <w:shd w:val="clear" w:color="auto" w:fill="auto"/>
            <w:vAlign w:val="center"/>
          </w:tcPr>
          <w:p w14:paraId="4143DE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803" w:type="dxa"/>
            <w:tcBorders>
              <w:top w:val="single" w:color="000000" w:sz="4" w:space="0"/>
              <w:left w:val="single" w:color="000000" w:sz="4" w:space="0"/>
              <w:bottom w:val="nil"/>
              <w:right w:val="single" w:color="000000" w:sz="4" w:space="0"/>
            </w:tcBorders>
            <w:shd w:val="clear" w:color="auto" w:fill="auto"/>
            <w:vAlign w:val="center"/>
          </w:tcPr>
          <w:p w14:paraId="28E94D0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无旷工、迟到、早退等违纪现象；上班时不私自离岗、不聚众闲聊、不做与本职工作无关的事情；</w:t>
            </w:r>
          </w:p>
        </w:tc>
        <w:tc>
          <w:tcPr>
            <w:tcW w:w="2447" w:type="dxa"/>
            <w:tcBorders>
              <w:top w:val="single" w:color="000000" w:sz="4" w:space="0"/>
              <w:left w:val="single" w:color="000000" w:sz="4" w:space="0"/>
              <w:bottom w:val="nil"/>
              <w:right w:val="single" w:color="000000" w:sz="4" w:space="0"/>
            </w:tcBorders>
            <w:shd w:val="clear" w:color="auto" w:fill="auto"/>
            <w:vAlign w:val="center"/>
          </w:tcPr>
          <w:p w14:paraId="6EF98F0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每人每次扣4分</w:t>
            </w:r>
          </w:p>
        </w:tc>
        <w:tc>
          <w:tcPr>
            <w:tcW w:w="1050" w:type="dxa"/>
            <w:tcBorders>
              <w:top w:val="single" w:color="000000" w:sz="4" w:space="0"/>
              <w:left w:val="single" w:color="000000" w:sz="4" w:space="0"/>
              <w:bottom w:val="nil"/>
              <w:right w:val="single" w:color="000000" w:sz="4" w:space="0"/>
            </w:tcBorders>
            <w:shd w:val="clear" w:color="auto" w:fill="auto"/>
            <w:vAlign w:val="center"/>
          </w:tcPr>
          <w:p w14:paraId="780984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862" w:type="dxa"/>
            <w:tcBorders>
              <w:top w:val="single" w:color="000000" w:sz="4" w:space="0"/>
              <w:left w:val="single" w:color="000000" w:sz="4" w:space="0"/>
              <w:bottom w:val="nil"/>
              <w:right w:val="single" w:color="000000" w:sz="4" w:space="0"/>
            </w:tcBorders>
            <w:shd w:val="clear" w:color="auto" w:fill="auto"/>
            <w:vAlign w:val="center"/>
          </w:tcPr>
          <w:p w14:paraId="1F81B251">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nil"/>
              <w:right w:val="single" w:color="000000" w:sz="4" w:space="0"/>
            </w:tcBorders>
            <w:shd w:val="clear" w:color="auto" w:fill="auto"/>
            <w:vAlign w:val="center"/>
          </w:tcPr>
          <w:p w14:paraId="34498B83">
            <w:pPr>
              <w:jc w:val="center"/>
              <w:rPr>
                <w:rFonts w:hint="eastAsia" w:ascii="仿宋" w:hAnsi="仿宋" w:eastAsia="仿宋" w:cs="仿宋"/>
                <w:i w:val="0"/>
                <w:iCs w:val="0"/>
                <w:color w:val="000000"/>
                <w:sz w:val="24"/>
                <w:szCs w:val="24"/>
                <w:u w:val="none"/>
              </w:rPr>
            </w:pPr>
          </w:p>
        </w:tc>
      </w:tr>
      <w:tr w14:paraId="7C4CF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47C7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安全运行</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1399">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10</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DF3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是否严格遵守电梯操作规程和公司安全制度？</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0D2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违反操作规程每次扣5分，未发现安全隐患每次扣2分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0B9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1B0CB">
            <w:pPr>
              <w:jc w:val="center"/>
              <w:rPr>
                <w:rFonts w:hint="eastAsia" w:ascii="仿宋" w:hAnsi="仿宋" w:eastAsia="仿宋" w:cs="仿宋"/>
                <w:i w:val="0"/>
                <w:iCs w:val="0"/>
                <w:color w:val="000000"/>
                <w:sz w:val="24"/>
                <w:szCs w:val="24"/>
                <w:u w:val="none"/>
              </w:rPr>
            </w:pPr>
          </w:p>
        </w:tc>
        <w:tc>
          <w:tcPr>
            <w:tcW w:w="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1F7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18"/>
                <w:szCs w:val="18"/>
                <w:u w:val="none"/>
                <w:lang w:val="en-US" w:eastAsia="zh-CN" w:bidi="ar"/>
              </w:rPr>
              <w:t>由后勤保障部进行考评</w:t>
            </w:r>
          </w:p>
        </w:tc>
      </w:tr>
      <w:tr w14:paraId="7BDDA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4" w:hRule="atLeast"/>
        </w:trPr>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248DD">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C281">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11</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B88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发现电梯运行异常（如异响、抖动、按键失灵等）是否及时与医院、维保报备？</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743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未及时上报异常情况每次扣3分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8F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B273">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54FE2">
            <w:pPr>
              <w:jc w:val="center"/>
              <w:rPr>
                <w:rFonts w:hint="eastAsia" w:ascii="仿宋" w:hAnsi="仿宋" w:eastAsia="仿宋" w:cs="仿宋"/>
                <w:i w:val="0"/>
                <w:iCs w:val="0"/>
                <w:color w:val="000000"/>
                <w:sz w:val="24"/>
                <w:szCs w:val="24"/>
                <w:u w:val="none"/>
              </w:rPr>
            </w:pPr>
          </w:p>
        </w:tc>
      </w:tr>
      <w:tr w14:paraId="0D79C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E487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巡查、交班</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DE9E">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12</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419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是否定期巡查电梯状态并记录？</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CEFE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未巡查每次扣2分，记录缺失或造假每次扣4分 </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183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5F8F">
            <w:pPr>
              <w:jc w:val="center"/>
              <w:rPr>
                <w:rFonts w:hint="eastAsia" w:ascii="仿宋" w:hAnsi="仿宋" w:eastAsia="仿宋" w:cs="仿宋"/>
                <w:i w:val="0"/>
                <w:iCs w:val="0"/>
                <w:color w:val="000000"/>
                <w:sz w:val="24"/>
                <w:szCs w:val="24"/>
                <w:u w:val="none"/>
              </w:rPr>
            </w:pPr>
          </w:p>
        </w:tc>
        <w:tc>
          <w:tcPr>
            <w:tcW w:w="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D8C7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由后勤保障部进行考评</w:t>
            </w:r>
          </w:p>
        </w:tc>
      </w:tr>
      <w:tr w14:paraId="00A4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823BA">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E3507">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13</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049E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严格遵守交接班制度，并认真填写交接班记录，交接班突发的重大事件，应配合处理完毕才能离开。</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1457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交接班记录不全扣2分，处突未积极配合扣3分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6A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350FB">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02663">
            <w:pPr>
              <w:jc w:val="center"/>
              <w:rPr>
                <w:rFonts w:hint="eastAsia" w:ascii="仿宋" w:hAnsi="仿宋" w:eastAsia="仿宋" w:cs="仿宋"/>
                <w:i w:val="0"/>
                <w:iCs w:val="0"/>
                <w:color w:val="000000"/>
                <w:sz w:val="24"/>
                <w:szCs w:val="24"/>
                <w:u w:val="none"/>
              </w:rPr>
            </w:pPr>
          </w:p>
        </w:tc>
      </w:tr>
      <w:tr w14:paraId="1BBF3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7BFD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应急处理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D86E">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14</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4CD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故障或紧急情况是否迅速报备维保并协助救援？</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C0E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响应超时（&gt;3分钟）每次扣5分，未配合救援扣5分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F8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9C64">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FA903">
            <w:pPr>
              <w:jc w:val="center"/>
              <w:rPr>
                <w:rFonts w:hint="eastAsia" w:ascii="仿宋" w:hAnsi="仿宋" w:eastAsia="仿宋" w:cs="仿宋"/>
                <w:i w:val="0"/>
                <w:iCs w:val="0"/>
                <w:color w:val="000000"/>
                <w:sz w:val="24"/>
                <w:szCs w:val="24"/>
                <w:u w:val="none"/>
              </w:rPr>
            </w:pPr>
          </w:p>
        </w:tc>
      </w:tr>
      <w:tr w14:paraId="3407A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14448">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4E049">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15</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9975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电梯恢复后是否检查并确认安全？</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B0C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未检查或未记录每次扣2分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35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4962F">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F2571">
            <w:pPr>
              <w:jc w:val="center"/>
              <w:rPr>
                <w:rFonts w:hint="eastAsia" w:ascii="仿宋" w:hAnsi="仿宋" w:eastAsia="仿宋" w:cs="仿宋"/>
                <w:i w:val="0"/>
                <w:iCs w:val="0"/>
                <w:color w:val="000000"/>
                <w:sz w:val="24"/>
                <w:szCs w:val="24"/>
                <w:u w:val="none"/>
              </w:rPr>
            </w:pPr>
          </w:p>
        </w:tc>
      </w:tr>
      <w:tr w14:paraId="1D90D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A67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规范及法规</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0A5D">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16</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286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是否熟悉并遵守电梯安全法规及操作规范？</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8F7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违规操作每次扣2分，法规知识考核不合格扣3分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6C5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C0C7">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0FE59">
            <w:pPr>
              <w:jc w:val="center"/>
              <w:rPr>
                <w:rFonts w:hint="eastAsia" w:ascii="仿宋" w:hAnsi="仿宋" w:eastAsia="仿宋" w:cs="仿宋"/>
                <w:i w:val="0"/>
                <w:iCs w:val="0"/>
                <w:color w:val="000000"/>
                <w:sz w:val="24"/>
                <w:szCs w:val="24"/>
                <w:u w:val="none"/>
              </w:rPr>
            </w:pPr>
          </w:p>
        </w:tc>
      </w:tr>
      <w:tr w14:paraId="4011D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F03DA">
            <w:pPr>
              <w:jc w:val="center"/>
              <w:rPr>
                <w:rFonts w:hint="eastAsia" w:ascii="仿宋" w:hAnsi="仿宋" w:eastAsia="仿宋" w:cs="仿宋"/>
                <w:i w:val="0"/>
                <w:iCs w:val="0"/>
                <w:color w:val="000000"/>
                <w:sz w:val="24"/>
                <w:szCs w:val="24"/>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DC8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17</w:t>
            </w:r>
          </w:p>
        </w:tc>
        <w:tc>
          <w:tcPr>
            <w:tcW w:w="2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C24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是否定期组织服务培训</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FA28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未定期组织服务培训扣2分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D3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11B8">
            <w:pPr>
              <w:jc w:val="center"/>
              <w:rPr>
                <w:rFonts w:hint="eastAsia" w:ascii="仿宋" w:hAnsi="仿宋" w:eastAsia="仿宋" w:cs="仿宋"/>
                <w:i w:val="0"/>
                <w:iCs w:val="0"/>
                <w:color w:val="000000"/>
                <w:sz w:val="24"/>
                <w:szCs w:val="24"/>
                <w:u w:val="none"/>
              </w:rPr>
            </w:pPr>
          </w:p>
        </w:tc>
        <w:tc>
          <w:tcPr>
            <w:tcW w:w="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4B5C6">
            <w:pPr>
              <w:jc w:val="center"/>
              <w:rPr>
                <w:rFonts w:hint="eastAsia" w:ascii="仿宋" w:hAnsi="仿宋" w:eastAsia="仿宋" w:cs="仿宋"/>
                <w:i w:val="0"/>
                <w:iCs w:val="0"/>
                <w:color w:val="000000"/>
                <w:sz w:val="24"/>
                <w:szCs w:val="24"/>
                <w:u w:val="none"/>
              </w:rPr>
            </w:pPr>
          </w:p>
        </w:tc>
      </w:tr>
      <w:tr w14:paraId="6465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FB94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电梯司乘服务考评评分</w:t>
            </w: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C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科室</w:t>
            </w: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45C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签字</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55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得分</w:t>
            </w:r>
          </w:p>
        </w:tc>
      </w:tr>
      <w:tr w14:paraId="7C61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A5BAE">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61CE2DE0">
            <w:pPr>
              <w:jc w:val="center"/>
              <w:rPr>
                <w:rFonts w:hint="eastAsia" w:ascii="仿宋" w:hAnsi="仿宋" w:eastAsia="仿宋" w:cs="仿宋"/>
                <w:i w:val="0"/>
                <w:iCs w:val="0"/>
                <w:color w:val="000000"/>
                <w:sz w:val="24"/>
                <w:szCs w:val="24"/>
                <w:u w:val="none"/>
                <w:lang w:val="en-US" w:eastAsia="zh-CN"/>
              </w:rPr>
            </w:pP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CF3AFB">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3333ED9A">
            <w:pPr>
              <w:rPr>
                <w:rFonts w:hint="eastAsia" w:ascii="仿宋" w:hAnsi="仿宋" w:eastAsia="仿宋" w:cs="仿宋"/>
                <w:i w:val="0"/>
                <w:iCs w:val="0"/>
                <w:color w:val="000000"/>
                <w:sz w:val="24"/>
                <w:szCs w:val="24"/>
                <w:u w:val="none"/>
              </w:rPr>
            </w:pPr>
          </w:p>
        </w:tc>
      </w:tr>
      <w:tr w14:paraId="47DCA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C50CE">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0E8BFE98">
            <w:pPr>
              <w:jc w:val="center"/>
              <w:rPr>
                <w:rFonts w:hint="eastAsia" w:ascii="仿宋" w:hAnsi="仿宋" w:eastAsia="仿宋" w:cs="仿宋"/>
                <w:i w:val="0"/>
                <w:iCs w:val="0"/>
                <w:color w:val="000000"/>
                <w:sz w:val="24"/>
                <w:szCs w:val="24"/>
                <w:u w:val="none"/>
              </w:rPr>
            </w:pP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7B3C27B">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7F0DFE17">
            <w:pPr>
              <w:rPr>
                <w:rFonts w:hint="eastAsia" w:ascii="仿宋" w:hAnsi="仿宋" w:eastAsia="仿宋" w:cs="仿宋"/>
                <w:i w:val="0"/>
                <w:iCs w:val="0"/>
                <w:color w:val="000000"/>
                <w:sz w:val="24"/>
                <w:szCs w:val="24"/>
                <w:u w:val="none"/>
              </w:rPr>
            </w:pPr>
          </w:p>
        </w:tc>
      </w:tr>
      <w:tr w14:paraId="2650C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14AFB">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26EF24DE">
            <w:pPr>
              <w:jc w:val="center"/>
              <w:rPr>
                <w:rFonts w:hint="eastAsia" w:ascii="仿宋" w:hAnsi="仿宋" w:eastAsia="仿宋" w:cs="仿宋"/>
                <w:i w:val="0"/>
                <w:iCs w:val="0"/>
                <w:color w:val="000000"/>
                <w:sz w:val="24"/>
                <w:szCs w:val="24"/>
                <w:u w:val="none"/>
              </w:rPr>
            </w:pP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3F029A">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5A0E92B3">
            <w:pPr>
              <w:rPr>
                <w:rFonts w:hint="eastAsia" w:ascii="仿宋" w:hAnsi="仿宋" w:eastAsia="仿宋" w:cs="仿宋"/>
                <w:i w:val="0"/>
                <w:iCs w:val="0"/>
                <w:color w:val="000000"/>
                <w:sz w:val="24"/>
                <w:szCs w:val="24"/>
                <w:u w:val="none"/>
              </w:rPr>
            </w:pPr>
          </w:p>
        </w:tc>
      </w:tr>
      <w:tr w14:paraId="7341A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3DDF6">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3B2FC6AC">
            <w:pPr>
              <w:jc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4559B0F">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2C1A6BD4">
            <w:pPr>
              <w:rPr>
                <w:rFonts w:hint="eastAsia" w:ascii="仿宋" w:hAnsi="仿宋" w:eastAsia="仿宋" w:cs="仿宋"/>
                <w:i w:val="0"/>
                <w:iCs w:val="0"/>
                <w:color w:val="000000"/>
                <w:sz w:val="24"/>
                <w:szCs w:val="24"/>
                <w:u w:val="none"/>
              </w:rPr>
            </w:pPr>
          </w:p>
        </w:tc>
      </w:tr>
      <w:tr w14:paraId="7B8E3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393B0">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41EC14FE">
            <w:pPr>
              <w:jc w:val="center"/>
              <w:rPr>
                <w:rFonts w:hint="eastAsia" w:ascii="仿宋" w:hAnsi="仿宋" w:eastAsia="仿宋" w:cs="仿宋"/>
                <w:i w:val="0"/>
                <w:iCs w:val="0"/>
                <w:color w:val="000000"/>
                <w:sz w:val="24"/>
                <w:szCs w:val="24"/>
                <w:u w:val="none"/>
              </w:rPr>
            </w:pP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368A3CB">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5C301EB7">
            <w:pPr>
              <w:rPr>
                <w:rFonts w:hint="eastAsia" w:ascii="仿宋" w:hAnsi="仿宋" w:eastAsia="仿宋" w:cs="仿宋"/>
                <w:i w:val="0"/>
                <w:iCs w:val="0"/>
                <w:color w:val="000000"/>
                <w:sz w:val="24"/>
                <w:szCs w:val="24"/>
                <w:u w:val="none"/>
              </w:rPr>
            </w:pPr>
          </w:p>
        </w:tc>
      </w:tr>
      <w:tr w14:paraId="4DAD2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CF409">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48A6EC5F">
            <w:pPr>
              <w:jc w:val="center"/>
              <w:rPr>
                <w:rFonts w:hint="eastAsia" w:ascii="仿宋" w:hAnsi="仿宋" w:eastAsia="仿宋" w:cs="仿宋"/>
                <w:i w:val="0"/>
                <w:iCs w:val="0"/>
                <w:color w:val="000000"/>
                <w:sz w:val="24"/>
                <w:szCs w:val="24"/>
                <w:u w:val="none"/>
              </w:rPr>
            </w:pPr>
          </w:p>
        </w:tc>
        <w:tc>
          <w:tcPr>
            <w:tcW w:w="1050" w:type="dxa"/>
            <w:tcBorders>
              <w:top w:val="single" w:color="000000" w:sz="4" w:space="0"/>
              <w:left w:val="single" w:color="000000" w:sz="4" w:space="0"/>
              <w:bottom w:val="single" w:color="000000" w:sz="4" w:space="0"/>
              <w:right w:val="nil"/>
            </w:tcBorders>
            <w:shd w:val="clear" w:color="auto" w:fill="auto"/>
            <w:vAlign w:val="top"/>
          </w:tcPr>
          <w:p w14:paraId="6774FAB3">
            <w:pPr>
              <w:jc w:val="center"/>
              <w:rPr>
                <w:rFonts w:hint="eastAsia" w:ascii="仿宋" w:hAnsi="仿宋" w:eastAsia="仿宋" w:cs="仿宋"/>
                <w:i w:val="0"/>
                <w:iCs w:val="0"/>
                <w:color w:val="000000"/>
                <w:sz w:val="24"/>
                <w:szCs w:val="24"/>
                <w:u w:val="none"/>
              </w:rPr>
            </w:pPr>
          </w:p>
        </w:tc>
        <w:tc>
          <w:tcPr>
            <w:tcW w:w="862" w:type="dxa"/>
            <w:tcBorders>
              <w:top w:val="single" w:color="000000" w:sz="4" w:space="0"/>
              <w:left w:val="nil"/>
              <w:bottom w:val="single" w:color="000000" w:sz="4" w:space="0"/>
              <w:right w:val="single" w:color="000000" w:sz="4" w:space="0"/>
            </w:tcBorders>
            <w:shd w:val="clear" w:color="auto" w:fill="auto"/>
            <w:vAlign w:val="top"/>
          </w:tcPr>
          <w:p w14:paraId="5D17E1AD">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607DD499">
            <w:pPr>
              <w:rPr>
                <w:rFonts w:hint="eastAsia" w:ascii="仿宋" w:hAnsi="仿宋" w:eastAsia="仿宋" w:cs="仿宋"/>
                <w:i w:val="0"/>
                <w:iCs w:val="0"/>
                <w:color w:val="000000"/>
                <w:sz w:val="24"/>
                <w:szCs w:val="24"/>
                <w:u w:val="none"/>
              </w:rPr>
            </w:pPr>
          </w:p>
        </w:tc>
      </w:tr>
      <w:tr w14:paraId="1D3F1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8604A">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top"/>
          </w:tcPr>
          <w:p w14:paraId="6470D807">
            <w:pPr>
              <w:jc w:val="center"/>
              <w:rPr>
                <w:rFonts w:hint="eastAsia" w:ascii="仿宋" w:hAnsi="仿宋" w:eastAsia="仿宋" w:cs="仿宋"/>
                <w:i w:val="0"/>
                <w:iCs w:val="0"/>
                <w:color w:val="000000"/>
                <w:sz w:val="24"/>
                <w:szCs w:val="24"/>
                <w:u w:val="none"/>
              </w:rPr>
            </w:pP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E8D6F0">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1D16FFD0">
            <w:pPr>
              <w:rPr>
                <w:rFonts w:hint="eastAsia" w:ascii="仿宋" w:hAnsi="仿宋" w:eastAsia="仿宋" w:cs="仿宋"/>
                <w:i w:val="0"/>
                <w:iCs w:val="0"/>
                <w:color w:val="000000"/>
                <w:sz w:val="24"/>
                <w:szCs w:val="24"/>
                <w:u w:val="none"/>
              </w:rPr>
            </w:pPr>
          </w:p>
        </w:tc>
      </w:tr>
      <w:tr w14:paraId="5ADF0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4BD26">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FA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后勤保障部</w:t>
            </w: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D525855">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22DF395D">
            <w:pPr>
              <w:rPr>
                <w:rFonts w:hint="eastAsia" w:ascii="仿宋" w:hAnsi="仿宋" w:eastAsia="仿宋" w:cs="仿宋"/>
                <w:i w:val="0"/>
                <w:iCs w:val="0"/>
                <w:color w:val="000000"/>
                <w:sz w:val="24"/>
                <w:szCs w:val="24"/>
                <w:u w:val="none"/>
              </w:rPr>
            </w:pPr>
          </w:p>
        </w:tc>
      </w:tr>
      <w:tr w14:paraId="40A7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9AFFF">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E14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后勤保障部</w:t>
            </w: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636218F">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565E443B">
            <w:pPr>
              <w:rPr>
                <w:rFonts w:hint="eastAsia" w:ascii="仿宋" w:hAnsi="仿宋" w:eastAsia="仿宋" w:cs="仿宋"/>
                <w:i w:val="0"/>
                <w:iCs w:val="0"/>
                <w:color w:val="000000"/>
                <w:sz w:val="24"/>
                <w:szCs w:val="24"/>
                <w:u w:val="none"/>
              </w:rPr>
            </w:pPr>
          </w:p>
        </w:tc>
      </w:tr>
      <w:tr w14:paraId="7450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369B0">
            <w:pPr>
              <w:jc w:val="center"/>
              <w:rPr>
                <w:rFonts w:hint="eastAsia" w:ascii="仿宋" w:hAnsi="仿宋" w:eastAsia="仿宋" w:cs="仿宋"/>
                <w:i w:val="0"/>
                <w:iCs w:val="0"/>
                <w:color w:val="000000"/>
                <w:sz w:val="24"/>
                <w:szCs w:val="24"/>
                <w:u w:val="none"/>
              </w:rPr>
            </w:pPr>
          </w:p>
        </w:tc>
        <w:tc>
          <w:tcPr>
            <w:tcW w:w="2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90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后勤保障部</w:t>
            </w:r>
          </w:p>
        </w:tc>
        <w:tc>
          <w:tcPr>
            <w:tcW w:w="191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526DCC0">
            <w:pPr>
              <w:jc w:val="center"/>
              <w:rPr>
                <w:rFonts w:hint="eastAsia" w:ascii="仿宋" w:hAnsi="仿宋" w:eastAsia="仿宋" w:cs="仿宋"/>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top"/>
          </w:tcPr>
          <w:p w14:paraId="3BCA4242">
            <w:pPr>
              <w:rPr>
                <w:rFonts w:hint="eastAsia" w:ascii="仿宋" w:hAnsi="仿宋" w:eastAsia="仿宋" w:cs="仿宋"/>
                <w:i w:val="0"/>
                <w:iCs w:val="0"/>
                <w:color w:val="000000"/>
                <w:sz w:val="24"/>
                <w:szCs w:val="24"/>
                <w:u w:val="none"/>
              </w:rPr>
            </w:pPr>
          </w:p>
        </w:tc>
      </w:tr>
      <w:tr w14:paraId="23CAC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692" w:type="dxa"/>
            <w:gridSpan w:val="7"/>
            <w:tcBorders>
              <w:top w:val="nil"/>
              <w:left w:val="nil"/>
              <w:bottom w:val="nil"/>
              <w:right w:val="nil"/>
            </w:tcBorders>
            <w:shd w:val="clear" w:color="auto" w:fill="auto"/>
            <w:vAlign w:val="center"/>
          </w:tcPr>
          <w:p w14:paraId="5F81C6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总分：</w:t>
            </w:r>
          </w:p>
        </w:tc>
      </w:tr>
      <w:tr w14:paraId="7FA53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692" w:type="dxa"/>
            <w:gridSpan w:val="7"/>
            <w:tcBorders>
              <w:top w:val="single" w:color="000000" w:sz="4" w:space="0"/>
              <w:left w:val="nil"/>
              <w:bottom w:val="nil"/>
              <w:right w:val="nil"/>
            </w:tcBorders>
            <w:shd w:val="clear" w:color="auto" w:fill="auto"/>
            <w:vAlign w:val="top"/>
          </w:tcPr>
          <w:p w14:paraId="5FABAFA0">
            <w:pPr>
              <w:keepNext w:val="0"/>
              <w:keepLines w:val="0"/>
              <w:widowControl/>
              <w:suppressLineNumbers w:val="0"/>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一、当月未发生的考评项目，视为合格项目，不扣分。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二、总得分90以上为合格，90-80分进行处罚：500元/分；低于80分考核不合格，甲方有权解除合同或不再续签下一年合同。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三、考核时间从       年    月     日    </w:t>
            </w:r>
          </w:p>
        </w:tc>
      </w:tr>
    </w:tbl>
    <w:p w14:paraId="2C377DE7">
      <w:pPr>
        <w:pStyle w:val="13"/>
        <w:rPr>
          <w:rFonts w:hint="eastAsia" w:ascii="仿宋" w:hAnsi="仿宋" w:eastAsia="仿宋" w:cs="仿宋"/>
          <w:lang w:val="en-US" w:eastAsia="zh-Hans"/>
        </w:rPr>
      </w:pPr>
    </w:p>
    <w:p w14:paraId="04BD00B8">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30E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B0090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B0090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9EE660"/>
    <w:multiLevelType w:val="singleLevel"/>
    <w:tmpl w:val="9E9EE66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620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eastAsia="宋体" w:cs="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Table Text"/>
    <w:basedOn w:val="1"/>
    <w:semiHidden/>
    <w:qFormat/>
    <w:uiPriority w:val="0"/>
    <w:rPr>
      <w:rFonts w:ascii="宋体" w:hAnsi="宋体" w:eastAsia="宋体" w:cs="宋体"/>
      <w:sz w:val="28"/>
      <w:szCs w:val="28"/>
      <w:lang w:eastAsia="en-US"/>
    </w:rPr>
  </w:style>
  <w:style w:type="table" w:customStyle="1" w:styleId="10">
    <w:name w:val="Table Normal"/>
    <w:unhideWhenUsed/>
    <w:qFormat/>
    <w:uiPriority w:val="0"/>
    <w:tblPr>
      <w:tblCellMar>
        <w:top w:w="0" w:type="dxa"/>
        <w:left w:w="0" w:type="dxa"/>
        <w:bottom w:w="0" w:type="dxa"/>
        <w:right w:w="0" w:type="dxa"/>
      </w:tblCellMar>
    </w:tblPr>
  </w:style>
  <w:style w:type="character" w:customStyle="1" w:styleId="11">
    <w:name w:val="font11"/>
    <w:basedOn w:val="7"/>
    <w:qFormat/>
    <w:uiPriority w:val="0"/>
    <w:rPr>
      <w:rFonts w:hint="eastAsia" w:ascii="等线" w:hAnsi="等线" w:eastAsia="等线" w:cs="等线"/>
      <w:color w:val="000000"/>
      <w:sz w:val="36"/>
      <w:szCs w:val="36"/>
      <w:u w:val="none"/>
    </w:rPr>
  </w:style>
  <w:style w:type="character" w:customStyle="1" w:styleId="12">
    <w:name w:val="font01"/>
    <w:basedOn w:val="7"/>
    <w:qFormat/>
    <w:uiPriority w:val="0"/>
    <w:rPr>
      <w:rFonts w:hint="eastAsia" w:ascii="等线" w:hAnsi="等线" w:eastAsia="等线" w:cs="等线"/>
      <w:color w:val="000000"/>
      <w:sz w:val="22"/>
      <w:szCs w:val="22"/>
      <w:u w:val="none"/>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2025-06-09T08:50:56Z</dcterms:created>
  <dc:creator>mateb</dc:creator>
  <cp:lastModifiedBy>A</cp:lastModifiedBy>
  <dcterms:modified xsi:type="dcterms:W3CDTF">2025-06-09T08:50:59Z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eyJoZGlkIjoiNzRiNWI3ZmQyODMwNzM1ZjY5YzQ1YmU5NGZhN2FlNmIiLCJ1c2VySWQiOiI0MzQ4NTIyNDMifQ==</vt:lpwstr>
  </property>
  <property fmtid="{D5CDD505-2E9C-101B-9397-08002B2CF9AE}" pid="4" name="ICV">
    <vt:lpwstr>F2B921D531A847A69C08E0FA6FCD2BEB_12</vt:lpwstr>
  </property>
</Properties>
</file>