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版本号：SZT2025-SN-QC-ZC-FW-072920250722001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餐饮副食配送服务采购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SZT2025-SN-QC-ZC-FW-0729</w:t>
      </w:r>
      <w:r>
        <w:br/>
      </w:r>
      <w:r>
        <w:br/>
      </w:r>
      <w:r>
        <w:br/>
      </w:r>
    </w:p>
    <w:p>
      <w:pPr>
        <w:pStyle w:val="null3"/>
        <w:jc w:val="center"/>
        <w:outlineLvl w:val="2"/>
      </w:pPr>
      <w:r>
        <w:rPr>
          <w:rFonts w:ascii="仿宋_GB2312" w:hAnsi="仿宋_GB2312" w:cs="仿宋_GB2312" w:eastAsia="仿宋_GB2312"/>
          <w:sz w:val="28"/>
          <w:b/>
        </w:rPr>
        <w:t>西安市长安区不动产登记服务中心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西安市长安区不动产登记服务中心</w:t>
      </w:r>
      <w:r>
        <w:rPr>
          <w:rFonts w:ascii="仿宋_GB2312" w:hAnsi="仿宋_GB2312" w:cs="仿宋_GB2312" w:eastAsia="仿宋_GB2312"/>
        </w:rPr>
        <w:t>委托，拟对</w:t>
      </w:r>
      <w:r>
        <w:rPr>
          <w:rFonts w:ascii="仿宋_GB2312" w:hAnsi="仿宋_GB2312" w:cs="仿宋_GB2312" w:eastAsia="仿宋_GB2312"/>
        </w:rPr>
        <w:t>餐饮副食配送服务采购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SZT2025-SN-QC-ZC-FW-0729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餐饮副食配送服务采购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西安市长安区不动产登记服务中心干部职工食堂一日两餐正常用餐，供应商负责米面油、调料、蛋奶、水果、水产、五谷杂粮、干菜干货、季节性时令蔬菜类菜品等其他原材料的采购和配送，保证一天一次，早上七点前配送，需满足临时性增加配送服务，能够确保职工餐厅按时正常开餐，保障本单位应对突发事件和应急备勤期间的原材料供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采购包1（餐饮副食配送服务采购）：属于专门面向中小企业采购。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青年街145号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029-85911838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代理服务费收费标准：招标代理服务费的收取按照国家计委颁布的《招标代理服务收费管理暂行办法》（计价格[2002]1980号）和（发改办价格[2003]857号）中服务类收费标准收取（按照预算计取）。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西安市长安区不动产登记服务中心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西安市长安区不动产登记服务中心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西安市长安区不动产登记服务中心干部职工食堂一日两餐正常用餐，供应商负责米面油、调料、蛋奶、水果、水产、五谷杂粮、干菜干货、季节性时令蔬菜类菜品等其他原材料的采购和配送，保证一天一次，早上七点前配送，需满足临时性增加配送服务，能够确保职工餐厅按时正常开餐，保障本单位应对突发事件和应急备勤期间的原材料供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1.项目概况：餐饮副食配送服务采购采购</w:t>
            </w:r>
          </w:p>
          <w:p>
            <w:pPr>
              <w:pStyle w:val="null3"/>
            </w:pPr>
            <w:r>
              <w:rPr>
                <w:rFonts w:ascii="仿宋_GB2312" w:hAnsi="仿宋_GB2312" w:cs="仿宋_GB2312" w:eastAsia="仿宋_GB2312"/>
              </w:rPr>
              <w:t>2.服务内容：为保障西安市长安区不动产登记服务中心干部职工食堂一日两餐正常用餐，供应商负责米面油、调料、蛋奶、水果、水产、五谷杂粮、干菜干货、季节性时令蔬菜类菜品等其他原材料的采购和配送，保证一天一次，早上七点前配送，需满足临时性增加配送服务，能够确保职工餐厅按时正常开餐，保障本单位应对突发事件和应急备勤期间的原材料供给。</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规格要求：</w:t>
            </w:r>
          </w:p>
          <w:p>
            <w:pPr>
              <w:pStyle w:val="null3"/>
            </w:pPr>
            <w:r>
              <w:rPr>
                <w:rFonts w:ascii="仿宋_GB2312" w:hAnsi="仿宋_GB2312" w:cs="仿宋_GB2312" w:eastAsia="仿宋_GB2312"/>
              </w:rPr>
              <w:t>所有食材均须符合《中华人民共和国食品安全法》，</w:t>
            </w:r>
          </w:p>
          <w:p>
            <w:pPr>
              <w:pStyle w:val="null3"/>
            </w:pPr>
            <w:r>
              <w:rPr>
                <w:rFonts w:ascii="仿宋_GB2312" w:hAnsi="仿宋_GB2312" w:cs="仿宋_GB2312" w:eastAsia="仿宋_GB2312"/>
              </w:rPr>
              <w:t>1.大米必须符合 GB/T 1354-2018标准，拥有“SC”标志的编码，并列明可提供配送产品的品牌清单、每个品牌详细的参数或指标。</w:t>
            </w:r>
          </w:p>
          <w:p>
            <w:pPr>
              <w:pStyle w:val="null3"/>
            </w:pPr>
            <w:r>
              <w:rPr>
                <w:rFonts w:ascii="仿宋_GB2312" w:hAnsi="仿宋_GB2312" w:cs="仿宋_GB2312" w:eastAsia="仿宋_GB2312"/>
              </w:rPr>
              <w:t>2.面粉必须符合GB1355-86标准，拥有“SC”标志的编码，并列明可提供配送产品的品牌清单、每个品牌详细的参数或指标。</w:t>
            </w:r>
          </w:p>
          <w:p>
            <w:pPr>
              <w:pStyle w:val="null3"/>
            </w:pPr>
            <w:r>
              <w:rPr>
                <w:rFonts w:ascii="仿宋_GB2312" w:hAnsi="仿宋_GB2312" w:cs="仿宋_GB2312" w:eastAsia="仿宋_GB2312"/>
              </w:rPr>
              <w:t>3.食用油必须符合GB/T 1534、GB/T 1535、GB/T 1536等国家标准，拥有“SC”标志的编码，并列明可提供配送产品的品牌清单、每个品牌详细的参数或指标。</w:t>
            </w:r>
          </w:p>
          <w:p>
            <w:pPr>
              <w:pStyle w:val="null3"/>
            </w:pPr>
            <w:r>
              <w:rPr>
                <w:rFonts w:ascii="仿宋_GB2312" w:hAnsi="仿宋_GB2312" w:cs="仿宋_GB2312" w:eastAsia="仿宋_GB2312"/>
              </w:rPr>
              <w:t>4.调料：包装完整，无破损。外包装上有产品名称、等级、数量、检验合格证、生产日期，厂家地址等。</w:t>
            </w:r>
          </w:p>
          <w:p>
            <w:pPr>
              <w:pStyle w:val="null3"/>
            </w:pPr>
            <w:r>
              <w:rPr>
                <w:rFonts w:ascii="仿宋_GB2312" w:hAnsi="仿宋_GB2312" w:cs="仿宋_GB2312" w:eastAsia="仿宋_GB2312"/>
              </w:rPr>
              <w:t>5.杂粮及调味品要品质好，无霉变、无杂质。定型包装调味品必须具有“SC”标志的编码。</w:t>
            </w:r>
          </w:p>
          <w:p>
            <w:pPr>
              <w:pStyle w:val="null3"/>
            </w:pPr>
            <w:r>
              <w:rPr>
                <w:rFonts w:ascii="仿宋_GB2312" w:hAnsi="仿宋_GB2312" w:cs="仿宋_GB2312" w:eastAsia="仿宋_GB2312"/>
              </w:rPr>
              <w:t>6.乳制品及其他半成品送货当日时间不得超过保质期的1/3时长，具有“SC”标志的编码。</w:t>
            </w:r>
          </w:p>
          <w:p>
            <w:pPr>
              <w:pStyle w:val="null3"/>
            </w:pPr>
            <w:r>
              <w:rPr>
                <w:rFonts w:ascii="仿宋_GB2312" w:hAnsi="仿宋_GB2312" w:cs="仿宋_GB2312" w:eastAsia="仿宋_GB2312"/>
              </w:rPr>
              <w:t>7.蔬菜、水果、禽蛋必须保证新鲜，果蔬必须为时令果蔬且符合GB 2763-2016食品中农药最大残留限量标准并具有农药残留检验记录。</w:t>
            </w:r>
          </w:p>
          <w:p>
            <w:pPr>
              <w:pStyle w:val="null3"/>
            </w:pPr>
            <w:r>
              <w:rPr>
                <w:rFonts w:ascii="仿宋_GB2312" w:hAnsi="仿宋_GB2312" w:cs="仿宋_GB2312" w:eastAsia="仿宋_GB2312"/>
              </w:rPr>
              <w:t>8.肉类、冷冻产品必须保证质量，应具有相关动物检验检疫合格证明，含水（冰）率符合标准；</w:t>
            </w:r>
          </w:p>
          <w:p>
            <w:pPr>
              <w:pStyle w:val="null3"/>
            </w:pPr>
            <w:r>
              <w:rPr>
                <w:rFonts w:ascii="仿宋_GB2312" w:hAnsi="仿宋_GB2312" w:cs="仿宋_GB2312" w:eastAsia="仿宋_GB2312"/>
              </w:rPr>
              <w:t>9.豆制品当日时间不得超过保质期的1/3时长，具有“SC”标志的编码。</w:t>
            </w:r>
          </w:p>
          <w:p>
            <w:pPr>
              <w:pStyle w:val="null3"/>
            </w:pPr>
            <w:r>
              <w:rPr>
                <w:rFonts w:ascii="仿宋_GB2312" w:hAnsi="仿宋_GB2312" w:cs="仿宋_GB2312" w:eastAsia="仿宋_GB2312"/>
              </w:rPr>
              <w:t>10.其他要求</w:t>
            </w:r>
          </w:p>
          <w:p>
            <w:pPr>
              <w:pStyle w:val="null3"/>
            </w:pPr>
            <w:r>
              <w:rPr>
                <w:rFonts w:ascii="仿宋_GB2312" w:hAnsi="仿宋_GB2312" w:cs="仿宋_GB2312" w:eastAsia="仿宋_GB2312"/>
              </w:rPr>
              <w:t>（1）应严格遵守《中华人民共和国食品卫生法》、《动物检疫法》、《食品安全国家标准 食品添加剂使用标准》（GB 2760-2014）等相关规定，一经发现供应以下食品，除全部退货外，将取消供货单位的供货资格，并由供货商承担由此造成的经济责任和法律责任：</w:t>
            </w:r>
          </w:p>
          <w:p>
            <w:pPr>
              <w:pStyle w:val="null3"/>
            </w:pPr>
            <w:r>
              <w:rPr>
                <w:rFonts w:ascii="仿宋_GB2312" w:hAnsi="仿宋_GB2312" w:cs="仿宋_GB2312" w:eastAsia="仿宋_GB2312"/>
              </w:rPr>
              <w:t>① 腐败变质，油脂酸败，霉变，生虫，污秽不洁，混有异物或者其他感官性状异常，含有毒，有害物质污染，可能对人体健康有害的食品；</w:t>
            </w:r>
          </w:p>
          <w:p>
            <w:pPr>
              <w:pStyle w:val="null3"/>
            </w:pPr>
            <w:r>
              <w:rPr>
                <w:rFonts w:ascii="仿宋_GB2312" w:hAnsi="仿宋_GB2312" w:cs="仿宋_GB2312" w:eastAsia="仿宋_GB2312"/>
              </w:rPr>
              <w:t>② 含有毒、有害物质或者被有害物质污染，对人体健康有害的；</w:t>
            </w:r>
          </w:p>
          <w:p>
            <w:pPr>
              <w:pStyle w:val="null3"/>
            </w:pPr>
            <w:r>
              <w:rPr>
                <w:rFonts w:ascii="仿宋_GB2312" w:hAnsi="仿宋_GB2312" w:cs="仿宋_GB2312" w:eastAsia="仿宋_GB2312"/>
              </w:rPr>
              <w:t>③ 含有致病性寄生虫、微生物或者微生物含量超过国家限定标准的；</w:t>
            </w:r>
          </w:p>
          <w:p>
            <w:pPr>
              <w:pStyle w:val="null3"/>
            </w:pPr>
            <w:r>
              <w:rPr>
                <w:rFonts w:ascii="仿宋_GB2312" w:hAnsi="仿宋_GB2312" w:cs="仿宋_GB2312" w:eastAsia="仿宋_GB2312"/>
              </w:rPr>
              <w:t>④ 未经动物检疫部门检疫、检验或者检疫、检验不合格的肉类及其制品；</w:t>
            </w:r>
          </w:p>
          <w:p>
            <w:pPr>
              <w:pStyle w:val="null3"/>
            </w:pPr>
            <w:r>
              <w:rPr>
                <w:rFonts w:ascii="仿宋_GB2312" w:hAnsi="仿宋_GB2312" w:cs="仿宋_GB2312" w:eastAsia="仿宋_GB2312"/>
              </w:rPr>
              <w:t>⑤ 掺假、掺杂、以次充好，影响营养、卫生的；</w:t>
            </w:r>
          </w:p>
          <w:p>
            <w:pPr>
              <w:pStyle w:val="null3"/>
            </w:pPr>
            <w:r>
              <w:rPr>
                <w:rFonts w:ascii="仿宋_GB2312" w:hAnsi="仿宋_GB2312" w:cs="仿宋_GB2312" w:eastAsia="仿宋_GB2312"/>
              </w:rPr>
              <w:t>⑥ 用非食品原料加工的，加入非食品用化学物质。</w:t>
            </w:r>
          </w:p>
          <w:p>
            <w:pPr>
              <w:pStyle w:val="null3"/>
            </w:pPr>
            <w:r>
              <w:rPr>
                <w:rFonts w:ascii="仿宋_GB2312" w:hAnsi="仿宋_GB2312" w:cs="仿宋_GB2312" w:eastAsia="仿宋_GB2312"/>
              </w:rPr>
              <w:t>（2）成交人在供货时不得提供以下产品，一经发现采购人有权取消该供货商供货资格。</w:t>
            </w:r>
          </w:p>
          <w:p>
            <w:pPr>
              <w:pStyle w:val="null3"/>
            </w:pPr>
            <w:r>
              <w:rPr>
                <w:rFonts w:ascii="仿宋_GB2312" w:hAnsi="仿宋_GB2312" w:cs="仿宋_GB2312" w:eastAsia="仿宋_GB2312"/>
              </w:rPr>
              <w:t>① 无品名、产地、厂名，生产日期，保质期及中文标识及原料说明的定型包装食品；</w:t>
            </w:r>
          </w:p>
          <w:p>
            <w:pPr>
              <w:pStyle w:val="null3"/>
            </w:pPr>
            <w:r>
              <w:rPr>
                <w:rFonts w:ascii="仿宋_GB2312" w:hAnsi="仿宋_GB2312" w:cs="仿宋_GB2312" w:eastAsia="仿宋_GB2312"/>
              </w:rPr>
              <w:t>② 超过保质期限或不符合食品标签规定的定型包装食品；</w:t>
            </w:r>
          </w:p>
          <w:p>
            <w:pPr>
              <w:pStyle w:val="null3"/>
            </w:pPr>
            <w:r>
              <w:rPr>
                <w:rFonts w:ascii="仿宋_GB2312" w:hAnsi="仿宋_GB2312" w:cs="仿宋_GB2312" w:eastAsia="仿宋_GB2312"/>
              </w:rPr>
              <w:t>③ 病死或者死因不明的水产品，畜，禽及其制品，劣质食用油，不合格调味品，工业用盐，非食品原料和滥用食品添加剂，农药残留超标的蔬菜等；</w:t>
            </w:r>
          </w:p>
          <w:p>
            <w:pPr>
              <w:pStyle w:val="null3"/>
            </w:pPr>
            <w:r>
              <w:rPr>
                <w:rFonts w:ascii="仿宋_GB2312" w:hAnsi="仿宋_GB2312" w:cs="仿宋_GB2312" w:eastAsia="仿宋_GB2312"/>
              </w:rPr>
              <w:t>④ 其他不符合食品卫生标准和要求的食品。</w:t>
            </w:r>
          </w:p>
          <w:p>
            <w:pPr>
              <w:pStyle w:val="null3"/>
            </w:pPr>
            <w:r>
              <w:rPr>
                <w:rFonts w:ascii="仿宋_GB2312" w:hAnsi="仿宋_GB2312" w:cs="仿宋_GB2312" w:eastAsia="仿宋_GB2312"/>
              </w:rPr>
              <w:t>（3）供应商提供五年内无重大食品安全、人员安全事故声明。</w:t>
            </w:r>
          </w:p>
          <w:p>
            <w:pPr>
              <w:pStyle w:val="null3"/>
            </w:pPr>
            <w:r>
              <w:rPr>
                <w:rFonts w:ascii="仿宋_GB2312" w:hAnsi="仿宋_GB2312" w:cs="仿宋_GB2312" w:eastAsia="仿宋_GB2312"/>
              </w:rPr>
              <w:t>产品质量标准要求</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1022"/>
                  <w:gridSpan w:val="2"/>
                </w:tcPr>
                <w:p>
                  <w:pPr>
                    <w:pStyle w:val="null3"/>
                  </w:pPr>
                  <w:r>
                    <w:rPr>
                      <w:rFonts w:ascii="仿宋_GB2312" w:hAnsi="仿宋_GB2312" w:cs="仿宋_GB2312" w:eastAsia="仿宋_GB2312"/>
                    </w:rPr>
                    <w:t>产品种类</w:t>
                  </w:r>
                </w:p>
              </w:tc>
              <w:tc>
                <w:tcPr>
                  <w:tcW w:type="dxa" w:w="511"/>
                </w:tcPr>
                <w:p>
                  <w:pPr>
                    <w:pStyle w:val="null3"/>
                  </w:pPr>
                  <w:r>
                    <w:rPr>
                      <w:rFonts w:ascii="仿宋_GB2312" w:hAnsi="仿宋_GB2312" w:cs="仿宋_GB2312" w:eastAsia="仿宋_GB2312"/>
                    </w:rPr>
                    <w:t>质量标准要求</w:t>
                  </w:r>
                </w:p>
              </w:tc>
              <w:tc>
                <w:tcPr>
                  <w:tcW w:type="dxa" w:w="511"/>
                </w:tcPr>
                <w:p>
                  <w:pPr>
                    <w:pStyle w:val="null3"/>
                  </w:pPr>
                  <w:r>
                    <w:rPr>
                      <w:rFonts w:ascii="仿宋_GB2312" w:hAnsi="仿宋_GB2312" w:cs="仿宋_GB2312" w:eastAsia="仿宋_GB2312"/>
                    </w:rPr>
                    <w:t>退货依据</w:t>
                  </w:r>
                </w:p>
              </w:tc>
              <w:tc>
                <w:tcPr>
                  <w:tcW w:type="dxa" w:w="511"/>
                </w:tcPr>
                <w:p>
                  <w:pPr>
                    <w:pStyle w:val="null3"/>
                  </w:pPr>
                  <w:r>
                    <w:rPr>
                      <w:rFonts w:ascii="仿宋_GB2312" w:hAnsi="仿宋_GB2312" w:cs="仿宋_GB2312" w:eastAsia="仿宋_GB2312"/>
                    </w:rPr>
                    <w:t>国家标准</w:t>
                  </w:r>
                </w:p>
              </w:tc>
            </w:tr>
            <w:tr>
              <w:tc>
                <w:tcPr>
                  <w:tcW w:type="dxa" w:w="511"/>
                  <w:vMerge w:val="restart"/>
                </w:tcPr>
                <w:p>
                  <w:pPr>
                    <w:pStyle w:val="null3"/>
                  </w:pPr>
                  <w:r>
                    <w:rPr>
                      <w:rFonts w:ascii="仿宋_GB2312" w:hAnsi="仿宋_GB2312" w:cs="仿宋_GB2312" w:eastAsia="仿宋_GB2312"/>
                    </w:rPr>
                    <w:t>米、面、油</w:t>
                  </w:r>
                </w:p>
              </w:tc>
              <w:tc>
                <w:tcPr>
                  <w:tcW w:type="dxa" w:w="511"/>
                </w:tcPr>
                <w:p>
                  <w:pPr>
                    <w:pStyle w:val="null3"/>
                  </w:pPr>
                  <w:r>
                    <w:rPr>
                      <w:rFonts w:ascii="仿宋_GB2312" w:hAnsi="仿宋_GB2312" w:cs="仿宋_GB2312" w:eastAsia="仿宋_GB2312"/>
                    </w:rPr>
                    <w:t>大米</w:t>
                  </w:r>
                </w:p>
              </w:tc>
              <w:tc>
                <w:tcPr>
                  <w:tcW w:type="dxa" w:w="511"/>
                </w:tcPr>
                <w:p>
                  <w:pPr>
                    <w:pStyle w:val="null3"/>
                  </w:pPr>
                  <w:r>
                    <w:rPr>
                      <w:rFonts w:ascii="仿宋_GB2312" w:hAnsi="仿宋_GB2312" w:cs="仿宋_GB2312" w:eastAsia="仿宋_GB2312"/>
                    </w:rPr>
                    <w:t>1.大米须达国家GB/T 1354-2018特二级标准，水分含量在12°以下，无掺杂、无沙石，碎米少，无黄粒米；</w:t>
                  </w:r>
                </w:p>
                <w:p>
                  <w:pPr>
                    <w:pStyle w:val="null3"/>
                  </w:pPr>
                  <w:r>
                    <w:rPr>
                      <w:rFonts w:ascii="仿宋_GB2312" w:hAnsi="仿宋_GB2312" w:cs="仿宋_GB2312" w:eastAsia="仿宋_GB2312"/>
                    </w:rPr>
                    <w:t>2.大米包装袋上印有大米品名、等级、数量、出厂名、厂家地址及其电话。</w:t>
                  </w:r>
                </w:p>
              </w:tc>
              <w:tc>
                <w:tcPr>
                  <w:tcW w:type="dxa" w:w="511"/>
                </w:tcPr>
                <w:p>
                  <w:pPr>
                    <w:pStyle w:val="null3"/>
                  </w:pPr>
                  <w:r>
                    <w:rPr>
                      <w:rFonts w:ascii="仿宋_GB2312" w:hAnsi="仿宋_GB2312" w:cs="仿宋_GB2312" w:eastAsia="仿宋_GB2312"/>
                    </w:rPr>
                    <w:t>与质量标准要求不符</w:t>
                  </w:r>
                </w:p>
              </w:tc>
              <w:tc>
                <w:tcPr>
                  <w:tcW w:type="dxa" w:w="511"/>
                </w:tcPr>
                <w:p>
                  <w:pPr>
                    <w:pStyle w:val="null3"/>
                  </w:pPr>
                  <w:r>
                    <w:rPr>
                      <w:rFonts w:ascii="仿宋_GB2312" w:hAnsi="仿宋_GB2312" w:cs="仿宋_GB2312" w:eastAsia="仿宋_GB2312"/>
                    </w:rPr>
                    <w:t>国家或行业相关标准</w:t>
                  </w:r>
                </w:p>
              </w:tc>
            </w:tr>
            <w:tr>
              <w:tc>
                <w:tcPr>
                  <w:tcW w:type="dxa" w:w="511"/>
                  <w:vMerge/>
                </w:tcPr>
                <w:p/>
              </w:tc>
              <w:tc>
                <w:tcPr>
                  <w:tcW w:type="dxa" w:w="511"/>
                </w:tcPr>
                <w:p>
                  <w:pPr>
                    <w:pStyle w:val="null3"/>
                  </w:pPr>
                  <w:r>
                    <w:rPr>
                      <w:rFonts w:ascii="仿宋_GB2312" w:hAnsi="仿宋_GB2312" w:cs="仿宋_GB2312" w:eastAsia="仿宋_GB2312"/>
                    </w:rPr>
                    <w:t>面粉</w:t>
                  </w:r>
                </w:p>
                <w:p>
                  <w:pPr>
                    <w:pStyle w:val="null3"/>
                  </w:pPr>
                  <w:r>
                    <w:rPr>
                      <w:rFonts w:ascii="仿宋_GB2312" w:hAnsi="仿宋_GB2312" w:cs="仿宋_GB2312" w:eastAsia="仿宋_GB2312"/>
                    </w:rPr>
                    <w:t>（含面粉配料）</w:t>
                  </w:r>
                </w:p>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1.高筋面粉达GB1355-86国家标准，质量等级一级；低筋面粉达Q/JHMF01标准，质量等级一级；低筋面粉达Q/JHMF01标准，质量等级一级；</w:t>
                  </w:r>
                </w:p>
                <w:p>
                  <w:pPr>
                    <w:pStyle w:val="null3"/>
                  </w:pPr>
                  <w:r>
                    <w:rPr>
                      <w:rFonts w:ascii="仿宋_GB2312" w:hAnsi="仿宋_GB2312" w:cs="仿宋_GB2312" w:eastAsia="仿宋_GB2312"/>
                    </w:rPr>
                    <w:t>2.色泽正常，干爽无异味；</w:t>
                  </w:r>
                </w:p>
                <w:p>
                  <w:pPr>
                    <w:pStyle w:val="null3"/>
                  </w:pPr>
                  <w:r>
                    <w:rPr>
                      <w:rFonts w:ascii="仿宋_GB2312" w:hAnsi="仿宋_GB2312" w:cs="仿宋_GB2312" w:eastAsia="仿宋_GB2312"/>
                    </w:rPr>
                    <w:t>3.按进货量抽查20％，数量按抽查验收实数为准；</w:t>
                  </w:r>
                </w:p>
                <w:p>
                  <w:pPr>
                    <w:pStyle w:val="null3"/>
                  </w:pPr>
                  <w:r>
                    <w:rPr>
                      <w:rFonts w:ascii="仿宋_GB2312" w:hAnsi="仿宋_GB2312" w:cs="仿宋_GB2312" w:eastAsia="仿宋_GB2312"/>
                    </w:rPr>
                    <w:t>4.包装袋上有注册商标及QS标注，有检验合格证、生产日期和保质期。</w:t>
                  </w:r>
                </w:p>
              </w:tc>
              <w:tc>
                <w:tcPr>
                  <w:tcW w:type="dxa" w:w="511"/>
                </w:tcPr>
                <w:p>
                  <w:pPr>
                    <w:pStyle w:val="null3"/>
                  </w:pPr>
                  <w:r>
                    <w:rPr>
                      <w:rFonts w:ascii="仿宋_GB2312" w:hAnsi="仿宋_GB2312" w:cs="仿宋_GB2312" w:eastAsia="仿宋_GB2312"/>
                    </w:rPr>
                    <w:t>与质量标准要求不符</w:t>
                  </w:r>
                </w:p>
              </w:tc>
              <w:tc>
                <w:tcPr>
                  <w:tcW w:type="dxa" w:w="511"/>
                </w:tcPr>
                <w:p>
                  <w:pPr>
                    <w:pStyle w:val="null3"/>
                  </w:pPr>
                  <w:r>
                    <w:rPr>
                      <w:rFonts w:ascii="仿宋_GB2312" w:hAnsi="仿宋_GB2312" w:cs="仿宋_GB2312" w:eastAsia="仿宋_GB2312"/>
                    </w:rPr>
                    <w:t>国家或行业相关标准</w:t>
                  </w:r>
                </w:p>
              </w:tc>
            </w:tr>
            <w:tr>
              <w:tc>
                <w:tcPr>
                  <w:tcW w:type="dxa" w:w="511"/>
                  <w:vMerge/>
                </w:tcPr>
                <w:p/>
              </w:tc>
              <w:tc>
                <w:tcPr>
                  <w:tcW w:type="dxa" w:w="511"/>
                </w:tcPr>
                <w:p>
                  <w:pPr>
                    <w:pStyle w:val="null3"/>
                  </w:pPr>
                  <w:r>
                    <w:rPr>
                      <w:rFonts w:ascii="仿宋_GB2312" w:hAnsi="仿宋_GB2312" w:cs="仿宋_GB2312" w:eastAsia="仿宋_GB2312"/>
                    </w:rPr>
                    <w:t>食用油</w:t>
                  </w:r>
                </w:p>
              </w:tc>
              <w:tc>
                <w:tcPr>
                  <w:tcW w:type="dxa" w:w="511"/>
                </w:tcPr>
                <w:p>
                  <w:pPr>
                    <w:pStyle w:val="null3"/>
                  </w:pPr>
                  <w:r>
                    <w:rPr>
                      <w:rFonts w:ascii="仿宋_GB2312" w:hAnsi="仿宋_GB2312" w:cs="仿宋_GB2312" w:eastAsia="仿宋_GB2312"/>
                    </w:rPr>
                    <w:t>1.食用油必须符合GB/T 1534、GB/T 1535、GB/T 1536等国家标准，拥有“SC“食品质量安全认证，并列明可提供配送产品的品牌清单、每个品牌详细的参数或指标。</w:t>
                  </w:r>
                </w:p>
                <w:p>
                  <w:pPr>
                    <w:pStyle w:val="null3"/>
                  </w:pPr>
                  <w:r>
                    <w:rPr>
                      <w:rFonts w:ascii="仿宋_GB2312" w:hAnsi="仿宋_GB2312" w:cs="仿宋_GB2312" w:eastAsia="仿宋_GB2312"/>
                    </w:rPr>
                    <w:t>2.有合格检疫报告，外观的色泽、透明度、气味滋味等无异常；定型包装。</w:t>
                  </w:r>
                </w:p>
              </w:tc>
              <w:tc>
                <w:tcPr>
                  <w:tcW w:type="dxa" w:w="511"/>
                </w:tcPr>
                <w:p>
                  <w:pPr>
                    <w:pStyle w:val="null3"/>
                  </w:pPr>
                  <w:r>
                    <w:rPr>
                      <w:rFonts w:ascii="仿宋_GB2312" w:hAnsi="仿宋_GB2312" w:cs="仿宋_GB2312" w:eastAsia="仿宋_GB2312"/>
                    </w:rPr>
                    <w:t>与质量标准要求不符</w:t>
                  </w:r>
                </w:p>
              </w:tc>
              <w:tc>
                <w:tcPr>
                  <w:tcW w:type="dxa" w:w="511"/>
                </w:tcPr>
                <w:p>
                  <w:pPr>
                    <w:pStyle w:val="null3"/>
                  </w:pPr>
                  <w:r>
                    <w:rPr>
                      <w:rFonts w:ascii="仿宋_GB2312" w:hAnsi="仿宋_GB2312" w:cs="仿宋_GB2312" w:eastAsia="仿宋_GB2312"/>
                    </w:rPr>
                    <w:t>国家或行业相关标准</w:t>
                  </w:r>
                </w:p>
              </w:tc>
            </w:tr>
            <w:tr>
              <w:tc>
                <w:tcPr>
                  <w:tcW w:type="dxa" w:w="511"/>
                  <w:vMerge w:val="restart"/>
                </w:tcPr>
                <w:p>
                  <w:pPr>
                    <w:pStyle w:val="null3"/>
                  </w:pPr>
                  <w:r>
                    <w:rPr>
                      <w:rFonts w:ascii="仿宋_GB2312" w:hAnsi="仿宋_GB2312" w:cs="仿宋_GB2312" w:eastAsia="仿宋_GB2312"/>
                    </w:rPr>
                    <w:t>肉类</w:t>
                  </w:r>
                </w:p>
              </w:tc>
              <w:tc>
                <w:tcPr>
                  <w:tcW w:type="dxa" w:w="511"/>
                </w:tcPr>
                <w:p>
                  <w:pPr>
                    <w:pStyle w:val="null3"/>
                  </w:pPr>
                  <w:r>
                    <w:rPr>
                      <w:rFonts w:ascii="仿宋_GB2312" w:hAnsi="仿宋_GB2312" w:cs="仿宋_GB2312" w:eastAsia="仿宋_GB2312"/>
                    </w:rPr>
                    <w:t>猪肉</w:t>
                  </w:r>
                </w:p>
              </w:tc>
              <w:tc>
                <w:tcPr>
                  <w:tcW w:type="dxa" w:w="511"/>
                </w:tcPr>
                <w:p>
                  <w:pPr>
                    <w:pStyle w:val="null3"/>
                  </w:pPr>
                  <w:r>
                    <w:rPr>
                      <w:rFonts w:ascii="仿宋_GB2312" w:hAnsi="仿宋_GB2312" w:cs="仿宋_GB2312" w:eastAsia="仿宋_GB2312"/>
                    </w:rPr>
                    <w:t>1.色泽鲜艳，无注水，表面有一层微干的薄膜，瘦肉新切面稍湿润，呈淡玫瑰色或淡红色；</w:t>
                  </w:r>
                </w:p>
                <w:p>
                  <w:pPr>
                    <w:pStyle w:val="null3"/>
                  </w:pPr>
                  <w:r>
                    <w:rPr>
                      <w:rFonts w:ascii="仿宋_GB2312" w:hAnsi="仿宋_GB2312" w:cs="仿宋_GB2312" w:eastAsia="仿宋_GB2312"/>
                    </w:rPr>
                    <w:t>2.触摸有弹性，不粘手，指压不留陷窝；</w:t>
                  </w:r>
                </w:p>
                <w:p>
                  <w:pPr>
                    <w:pStyle w:val="null3"/>
                  </w:pPr>
                  <w:r>
                    <w:rPr>
                      <w:rFonts w:ascii="仿宋_GB2312" w:hAnsi="仿宋_GB2312" w:cs="仿宋_GB2312" w:eastAsia="仿宋_GB2312"/>
                    </w:rPr>
                    <w:t>3.外表干净，皮毛清理干净，无异味，根据需要进行了改刀和加工；</w:t>
                  </w:r>
                </w:p>
                <w:p>
                  <w:pPr>
                    <w:pStyle w:val="null3"/>
                  </w:pPr>
                  <w:r>
                    <w:rPr>
                      <w:rFonts w:ascii="仿宋_GB2312" w:hAnsi="仿宋_GB2312" w:cs="仿宋_GB2312" w:eastAsia="仿宋_GB2312"/>
                    </w:rPr>
                    <w:t>4.含水量检测值低于77%。</w:t>
                  </w:r>
                </w:p>
              </w:tc>
              <w:tc>
                <w:tcPr>
                  <w:tcW w:type="dxa" w:w="511"/>
                </w:tcPr>
                <w:p>
                  <w:pPr>
                    <w:pStyle w:val="null3"/>
                  </w:pPr>
                  <w:r>
                    <w:rPr>
                      <w:rFonts w:ascii="仿宋_GB2312" w:hAnsi="仿宋_GB2312" w:cs="仿宋_GB2312" w:eastAsia="仿宋_GB2312"/>
                    </w:rPr>
                    <w:t>1.与质量标准要求不符，病死或死因不明的畜禽肉及其制品；</w:t>
                  </w:r>
                </w:p>
                <w:p>
                  <w:pPr>
                    <w:pStyle w:val="null3"/>
                  </w:pPr>
                  <w:r>
                    <w:rPr>
                      <w:rFonts w:ascii="仿宋_GB2312" w:hAnsi="仿宋_GB2312" w:cs="仿宋_GB2312" w:eastAsia="仿宋_GB2312"/>
                    </w:rPr>
                    <w:t>2.不符合国家标准要求。</w:t>
                  </w:r>
                </w:p>
              </w:tc>
              <w:tc>
                <w:tcPr>
                  <w:tcW w:type="dxa" w:w="511"/>
                  <w:vMerge w:val="restart"/>
                </w:tcPr>
                <w:p>
                  <w:pPr>
                    <w:pStyle w:val="null3"/>
                  </w:pPr>
                  <w:r>
                    <w:rPr>
                      <w:rFonts w:ascii="仿宋_GB2312" w:hAnsi="仿宋_GB2312" w:cs="仿宋_GB2312" w:eastAsia="仿宋_GB2312"/>
                    </w:rPr>
                    <w:t>GB 2707-2016《食品安全国家标准鲜（冻）畜、禽产品》</w:t>
                  </w:r>
                </w:p>
              </w:tc>
            </w:tr>
            <w:tr>
              <w:tc>
                <w:tcPr>
                  <w:tcW w:type="dxa" w:w="511"/>
                  <w:vMerge/>
                </w:tcPr>
                <w:p/>
              </w:tc>
              <w:tc>
                <w:tcPr>
                  <w:tcW w:type="dxa" w:w="511"/>
                </w:tcPr>
                <w:p>
                  <w:pPr>
                    <w:pStyle w:val="null3"/>
                  </w:pPr>
                  <w:r>
                    <w:rPr>
                      <w:rFonts w:ascii="仿宋_GB2312" w:hAnsi="仿宋_GB2312" w:cs="仿宋_GB2312" w:eastAsia="仿宋_GB2312"/>
                    </w:rPr>
                    <w:t>牛羊肉</w:t>
                  </w:r>
                </w:p>
              </w:tc>
              <w:tc>
                <w:tcPr>
                  <w:tcW w:type="dxa" w:w="511"/>
                </w:tcPr>
                <w:p>
                  <w:pPr>
                    <w:pStyle w:val="null3"/>
                  </w:pPr>
                  <w:r>
                    <w:rPr>
                      <w:rFonts w:ascii="仿宋_GB2312" w:hAnsi="仿宋_GB2312" w:cs="仿宋_GB2312" w:eastAsia="仿宋_GB2312"/>
                    </w:rPr>
                    <w:t>1.肌肉有光泽，色泽鲜红或深红；脂肪呈乳白色或黄色；</w:t>
                  </w:r>
                </w:p>
                <w:p>
                  <w:pPr>
                    <w:pStyle w:val="null3"/>
                  </w:pPr>
                  <w:r>
                    <w:rPr>
                      <w:rFonts w:ascii="仿宋_GB2312" w:hAnsi="仿宋_GB2312" w:cs="仿宋_GB2312" w:eastAsia="仿宋_GB2312"/>
                    </w:rPr>
                    <w:t>2.外表微干有风干膜，不粘手；</w:t>
                  </w:r>
                </w:p>
                <w:p>
                  <w:pPr>
                    <w:pStyle w:val="null3"/>
                  </w:pPr>
                  <w:r>
                    <w:rPr>
                      <w:rFonts w:ascii="仿宋_GB2312" w:hAnsi="仿宋_GB2312" w:cs="仿宋_GB2312" w:eastAsia="仿宋_GB2312"/>
                    </w:rPr>
                    <w:t>3.具有鲜牛羊肉正常气味；</w:t>
                  </w:r>
                </w:p>
                <w:p>
                  <w:pPr>
                    <w:pStyle w:val="null3"/>
                  </w:pPr>
                  <w:r>
                    <w:rPr>
                      <w:rFonts w:ascii="仿宋_GB2312" w:hAnsi="仿宋_GB2312" w:cs="仿宋_GB2312" w:eastAsia="仿宋_GB2312"/>
                    </w:rPr>
                    <w:t>4.牛肉、羊肉含水量检测值分别低于77%、78%。</w:t>
                  </w:r>
                </w:p>
              </w:tc>
              <w:tc>
                <w:tcPr>
                  <w:tcW w:type="dxa" w:w="511"/>
                </w:tcPr>
                <w:p>
                  <w:pPr>
                    <w:pStyle w:val="null3"/>
                  </w:pPr>
                  <w:r>
                    <w:rPr>
                      <w:rFonts w:ascii="仿宋_GB2312" w:hAnsi="仿宋_GB2312" w:cs="仿宋_GB2312" w:eastAsia="仿宋_GB2312"/>
                    </w:rPr>
                    <w:t>1.与质量标准要求不符，病死或死因不明的畜禽肉及其制品；</w:t>
                  </w:r>
                </w:p>
                <w:p>
                  <w:pPr>
                    <w:pStyle w:val="null3"/>
                  </w:pPr>
                  <w:r>
                    <w:rPr>
                      <w:rFonts w:ascii="仿宋_GB2312" w:hAnsi="仿宋_GB2312" w:cs="仿宋_GB2312" w:eastAsia="仿宋_GB2312"/>
                    </w:rPr>
                    <w:t>2.不符合国家标准要求。</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禽肉</w:t>
                  </w:r>
                </w:p>
              </w:tc>
              <w:tc>
                <w:tcPr>
                  <w:tcW w:type="dxa" w:w="511"/>
                </w:tcPr>
                <w:p>
                  <w:pPr>
                    <w:pStyle w:val="null3"/>
                  </w:pPr>
                  <w:r>
                    <w:rPr>
                      <w:rFonts w:ascii="仿宋_GB2312" w:hAnsi="仿宋_GB2312" w:cs="仿宋_GB2312" w:eastAsia="仿宋_GB2312"/>
                    </w:rPr>
                    <w:t>1.杜绝注水禽类；</w:t>
                  </w:r>
                </w:p>
                <w:p>
                  <w:pPr>
                    <w:pStyle w:val="null3"/>
                  </w:pPr>
                  <w:r>
                    <w:rPr>
                      <w:rFonts w:ascii="仿宋_GB2312" w:hAnsi="仿宋_GB2312" w:cs="仿宋_GB2312" w:eastAsia="仿宋_GB2312"/>
                    </w:rPr>
                    <w:t>2.体表色泽洁白，肉质紧密，角膜有弹性，不粘手，指压不留陷窝；</w:t>
                  </w:r>
                </w:p>
                <w:p>
                  <w:pPr>
                    <w:pStyle w:val="null3"/>
                  </w:pPr>
                  <w:r>
                    <w:rPr>
                      <w:rFonts w:ascii="仿宋_GB2312" w:hAnsi="仿宋_GB2312" w:cs="仿宋_GB2312" w:eastAsia="仿宋_GB2312"/>
                    </w:rPr>
                    <w:t>3.具有该禽类所固有的气味，无其他异味；</w:t>
                  </w:r>
                </w:p>
                <w:p>
                  <w:pPr>
                    <w:pStyle w:val="null3"/>
                  </w:pPr>
                  <w:r>
                    <w:rPr>
                      <w:rFonts w:ascii="仿宋_GB2312" w:hAnsi="仿宋_GB2312" w:cs="仿宋_GB2312" w:eastAsia="仿宋_GB2312"/>
                    </w:rPr>
                    <w:t>4.腔内无杂物。</w:t>
                  </w:r>
                </w:p>
              </w:tc>
              <w:tc>
                <w:tcPr>
                  <w:tcW w:type="dxa" w:w="511"/>
                </w:tcPr>
                <w:p>
                  <w:pPr>
                    <w:pStyle w:val="null3"/>
                  </w:pPr>
                  <w:r>
                    <w:rPr>
                      <w:rFonts w:ascii="仿宋_GB2312" w:hAnsi="仿宋_GB2312" w:cs="仿宋_GB2312" w:eastAsia="仿宋_GB2312"/>
                    </w:rPr>
                    <w:t>1.与质量标准要求不符，病死或死因不明的畜禽肉及其制品；</w:t>
                  </w:r>
                </w:p>
                <w:p>
                  <w:pPr>
                    <w:pStyle w:val="null3"/>
                  </w:pPr>
                  <w:r>
                    <w:rPr>
                      <w:rFonts w:ascii="仿宋_GB2312" w:hAnsi="仿宋_GB2312" w:cs="仿宋_GB2312" w:eastAsia="仿宋_GB2312"/>
                    </w:rPr>
                    <w:t>2.不符合国家标准要求。</w:t>
                  </w:r>
                </w:p>
              </w:tc>
              <w:tc>
                <w:tcPr>
                  <w:tcW w:type="dxa" w:w="511"/>
                  <w:vMerge/>
                </w:tcPr>
                <w:p/>
              </w:tc>
            </w:tr>
            <w:tr>
              <w:tc>
                <w:tcPr>
                  <w:tcW w:type="dxa" w:w="511"/>
                </w:tcPr>
                <w:p>
                  <w:pPr>
                    <w:pStyle w:val="null3"/>
                  </w:pPr>
                  <w:r>
                    <w:rPr>
                      <w:rFonts w:ascii="仿宋_GB2312" w:hAnsi="仿宋_GB2312" w:cs="仿宋_GB2312" w:eastAsia="仿宋_GB2312"/>
                    </w:rPr>
                    <w:t>水产类</w:t>
                  </w:r>
                </w:p>
              </w:tc>
              <w:tc>
                <w:tcPr>
                  <w:tcW w:type="dxa" w:w="511"/>
                </w:tcPr>
                <w:p>
                  <w:pPr>
                    <w:pStyle w:val="null3"/>
                  </w:pPr>
                  <w:r>
                    <w:rPr>
                      <w:rFonts w:ascii="仿宋_GB2312" w:hAnsi="仿宋_GB2312" w:cs="仿宋_GB2312" w:eastAsia="仿宋_GB2312"/>
                    </w:rPr>
                    <w:t>鱼类</w:t>
                  </w:r>
                </w:p>
              </w:tc>
              <w:tc>
                <w:tcPr>
                  <w:tcW w:type="dxa" w:w="511"/>
                </w:tcPr>
                <w:p>
                  <w:pPr>
                    <w:pStyle w:val="null3"/>
                  </w:pPr>
                  <w:r>
                    <w:rPr>
                      <w:rFonts w:ascii="仿宋_GB2312" w:hAnsi="仿宋_GB2312" w:cs="仿宋_GB2312" w:eastAsia="仿宋_GB2312"/>
                    </w:rPr>
                    <w:t>1.鱼眼突出，角膜清晰透明；</w:t>
                  </w:r>
                </w:p>
                <w:p>
                  <w:pPr>
                    <w:pStyle w:val="null3"/>
                  </w:pPr>
                  <w:r>
                    <w:rPr>
                      <w:rFonts w:ascii="仿宋_GB2312" w:hAnsi="仿宋_GB2312" w:cs="仿宋_GB2312" w:eastAsia="仿宋_GB2312"/>
                    </w:rPr>
                    <w:t>2.体表面色泽鲜明，鳞完整或稍有花鳞，鳞片紧粘皮上不易剥落，有透明粘液；</w:t>
                  </w:r>
                </w:p>
                <w:p>
                  <w:pPr>
                    <w:pStyle w:val="null3"/>
                  </w:pPr>
                  <w:r>
                    <w:rPr>
                      <w:rFonts w:ascii="仿宋_GB2312" w:hAnsi="仿宋_GB2312" w:cs="仿宋_GB2312" w:eastAsia="仿宋_GB2312"/>
                    </w:rPr>
                    <w:t>3.鳃鲜红，鳃丝鲜红或紫红，鳃盖禁闭易揭开，肉质坚实，有弹性，骨肉不分离；</w:t>
                  </w:r>
                </w:p>
                <w:p>
                  <w:pPr>
                    <w:pStyle w:val="null3"/>
                  </w:pPr>
                  <w:r>
                    <w:rPr>
                      <w:rFonts w:ascii="仿宋_GB2312" w:hAnsi="仿宋_GB2312" w:cs="仿宋_GB2312" w:eastAsia="仿宋_GB2312"/>
                    </w:rPr>
                    <w:t>4.淡水鱼实行活鱼供应，具有鲜鱼固有的鲜明色泽，粘度透明；</w:t>
                  </w:r>
                </w:p>
                <w:p>
                  <w:pPr>
                    <w:pStyle w:val="null3"/>
                  </w:pPr>
                  <w:r>
                    <w:rPr>
                      <w:rFonts w:ascii="仿宋_GB2312" w:hAnsi="仿宋_GB2312" w:cs="仿宋_GB2312" w:eastAsia="仿宋_GB2312"/>
                    </w:rPr>
                    <w:t>5.具有鲜鱼虾的正常腥味，无异臭味。</w:t>
                  </w:r>
                </w:p>
              </w:tc>
              <w:tc>
                <w:tcPr>
                  <w:tcW w:type="dxa" w:w="511"/>
                </w:tcPr>
                <w:p>
                  <w:pPr>
                    <w:pStyle w:val="null3"/>
                  </w:pPr>
                  <w:r>
                    <w:rPr>
                      <w:rFonts w:ascii="仿宋_GB2312" w:hAnsi="仿宋_GB2312" w:cs="仿宋_GB2312" w:eastAsia="仿宋_GB2312"/>
                    </w:rPr>
                    <w:t>1.与质量标准要求不符；</w:t>
                  </w:r>
                </w:p>
                <w:p>
                  <w:pPr>
                    <w:pStyle w:val="null3"/>
                  </w:pPr>
                  <w:r>
                    <w:rPr>
                      <w:rFonts w:ascii="仿宋_GB2312" w:hAnsi="仿宋_GB2312" w:cs="仿宋_GB2312" w:eastAsia="仿宋_GB2312"/>
                    </w:rPr>
                    <w:t>2.不符合国家标准要求。</w:t>
                  </w:r>
                </w:p>
              </w:tc>
              <w:tc>
                <w:tcPr>
                  <w:tcW w:type="dxa" w:w="511"/>
                </w:tcPr>
                <w:p>
                  <w:pPr>
                    <w:pStyle w:val="null3"/>
                  </w:pPr>
                  <w:r>
                    <w:rPr>
                      <w:rFonts w:ascii="仿宋_GB2312" w:hAnsi="仿宋_GB2312" w:cs="仿宋_GB2312" w:eastAsia="仿宋_GB2312"/>
                    </w:rPr>
                    <w:t>GB 20941-2016《食品安全国家标准水产制品生产卫生规范》</w:t>
                  </w:r>
                </w:p>
              </w:tc>
            </w:tr>
            <w:tr>
              <w:tc>
                <w:tcPr>
                  <w:tcW w:type="dxa" w:w="511"/>
                  <w:vMerge w:val="restart"/>
                </w:tcPr>
                <w:p>
                  <w:pPr>
                    <w:pStyle w:val="null3"/>
                  </w:pPr>
                  <w:r>
                    <w:rPr>
                      <w:rFonts w:ascii="仿宋_GB2312" w:hAnsi="仿宋_GB2312" w:cs="仿宋_GB2312" w:eastAsia="仿宋_GB2312"/>
                    </w:rPr>
                    <w:t>果蔬类</w:t>
                  </w:r>
                </w:p>
              </w:tc>
              <w:tc>
                <w:tcPr>
                  <w:tcW w:type="dxa" w:w="511"/>
                </w:tcPr>
                <w:p>
                  <w:pPr>
                    <w:pStyle w:val="null3"/>
                  </w:pPr>
                  <w:r>
                    <w:rPr>
                      <w:rFonts w:ascii="仿宋_GB2312" w:hAnsi="仿宋_GB2312" w:cs="仿宋_GB2312" w:eastAsia="仿宋_GB2312"/>
                    </w:rPr>
                    <w:t>叶菜</w:t>
                  </w:r>
                </w:p>
                <w:p>
                  <w:pPr>
                    <w:pStyle w:val="null3"/>
                  </w:pPr>
                  <w:r>
                    <w:rPr>
                      <w:rFonts w:ascii="仿宋_GB2312" w:hAnsi="仿宋_GB2312" w:cs="仿宋_GB2312" w:eastAsia="仿宋_GB2312"/>
                    </w:rPr>
                    <w:t>（白菜、菠菜、空心菜、筒篙、芹菜等）</w:t>
                  </w:r>
                </w:p>
              </w:tc>
              <w:tc>
                <w:tcPr>
                  <w:tcW w:type="dxa" w:w="511"/>
                </w:tcPr>
                <w:p>
                  <w:pPr>
                    <w:pStyle w:val="null3"/>
                  </w:pPr>
                  <w:r>
                    <w:rPr>
                      <w:rFonts w:ascii="仿宋_GB2312" w:hAnsi="仿宋_GB2312" w:cs="仿宋_GB2312" w:eastAsia="仿宋_GB2312"/>
                    </w:rPr>
                    <w:t>1.外形正常，肉质鲜嫩形态好，色泽正常；</w:t>
                  </w:r>
                </w:p>
                <w:p>
                  <w:pPr>
                    <w:pStyle w:val="null3"/>
                  </w:pPr>
                  <w:r>
                    <w:rPr>
                      <w:rFonts w:ascii="仿宋_GB2312" w:hAnsi="仿宋_GB2312" w:cs="仿宋_GB2312" w:eastAsia="仿宋_GB2312"/>
                    </w:rPr>
                    <w:t>2.叶梗光滑幼嫩，茎基部削平，无枯黄叶、病叶、泥土、明显机械伤和病虫害伤，无烧心焦边、腐烂等现象；</w:t>
                  </w:r>
                </w:p>
                <w:p>
                  <w:pPr>
                    <w:pStyle w:val="null3"/>
                  </w:pPr>
                  <w:r>
                    <w:rPr>
                      <w:rFonts w:ascii="仿宋_GB2312" w:hAnsi="仿宋_GB2312" w:cs="仿宋_GB2312" w:eastAsia="仿宋_GB2312"/>
                    </w:rPr>
                    <w:t>3.无抽苔（菜心除外），无异味，结球叶菜要结球适度，花椰菜应新鲜洁白，不带叶鼓，无畸形花；</w:t>
                  </w:r>
                </w:p>
                <w:p>
                  <w:pPr>
                    <w:pStyle w:val="null3"/>
                  </w:pPr>
                  <w:r>
                    <w:rPr>
                      <w:rFonts w:ascii="仿宋_GB2312" w:hAnsi="仿宋_GB2312" w:cs="仿宋_GB2312" w:eastAsia="仿宋_GB2312"/>
                    </w:rPr>
                    <w:t>4.无明显浸水现象；</w:t>
                  </w:r>
                </w:p>
                <w:p>
                  <w:pPr>
                    <w:pStyle w:val="null3"/>
                  </w:pPr>
                  <w:r>
                    <w:rPr>
                      <w:rFonts w:ascii="仿宋_GB2312" w:hAnsi="仿宋_GB2312" w:cs="仿宋_GB2312" w:eastAsia="仿宋_GB2312"/>
                    </w:rPr>
                    <w:t>5.农药残留不超标。</w:t>
                  </w:r>
                </w:p>
              </w:tc>
              <w:tc>
                <w:tcPr>
                  <w:tcW w:type="dxa" w:w="511"/>
                </w:tcPr>
                <w:p>
                  <w:pPr>
                    <w:pStyle w:val="null3"/>
                  </w:pPr>
                  <w:r>
                    <w:rPr>
                      <w:rFonts w:ascii="仿宋_GB2312" w:hAnsi="仿宋_GB2312" w:cs="仿宋_GB2312" w:eastAsia="仿宋_GB2312"/>
                    </w:rPr>
                    <w:t>鲜度嫩度明显不佳，含黄叶、须根、泥土，虫害严重，萎捏严重，浸水后仍不可恢复，农药残留超标。</w:t>
                  </w:r>
                </w:p>
              </w:tc>
              <w:tc>
                <w:tcPr>
                  <w:tcW w:type="dxa" w:w="511"/>
                </w:tcPr>
                <w:p>
                  <w:pPr>
                    <w:pStyle w:val="null3"/>
                  </w:pPr>
                  <w:r>
                    <w:rPr>
                      <w:rFonts w:ascii="仿宋_GB2312" w:hAnsi="仿宋_GB2312" w:cs="仿宋_GB2312" w:eastAsia="仿宋_GB2312"/>
                    </w:rPr>
                    <w:t>国家或行业相关标准</w:t>
                  </w:r>
                </w:p>
              </w:tc>
            </w:tr>
            <w:tr>
              <w:tc>
                <w:tcPr>
                  <w:tcW w:type="dxa" w:w="511"/>
                  <w:vMerge/>
                </w:tcPr>
                <w:p/>
              </w:tc>
              <w:tc>
                <w:tcPr>
                  <w:tcW w:type="dxa" w:w="511"/>
                </w:tcPr>
                <w:p>
                  <w:pPr>
                    <w:pStyle w:val="null3"/>
                  </w:pPr>
                  <w:r>
                    <w:rPr>
                      <w:rFonts w:ascii="仿宋_GB2312" w:hAnsi="仿宋_GB2312" w:cs="仿宋_GB2312" w:eastAsia="仿宋_GB2312"/>
                    </w:rPr>
                    <w:t>果蔬类</w:t>
                  </w:r>
                </w:p>
                <w:p>
                  <w:pPr>
                    <w:pStyle w:val="null3"/>
                  </w:pPr>
                  <w:r>
                    <w:rPr>
                      <w:rFonts w:ascii="仿宋_GB2312" w:hAnsi="仿宋_GB2312" w:cs="仿宋_GB2312" w:eastAsia="仿宋_GB2312"/>
                    </w:rPr>
                    <w:t>（番茄、黄瓜、茄子、辣椒等）</w:t>
                  </w:r>
                </w:p>
              </w:tc>
              <w:tc>
                <w:tcPr>
                  <w:tcW w:type="dxa" w:w="511"/>
                </w:tcPr>
                <w:p>
                  <w:pPr>
                    <w:pStyle w:val="null3"/>
                  </w:pPr>
                  <w:r>
                    <w:rPr>
                      <w:rFonts w:ascii="仿宋_GB2312" w:hAnsi="仿宋_GB2312" w:cs="仿宋_GB2312" w:eastAsia="仿宋_GB2312"/>
                    </w:rPr>
                    <w:t>果实整洁，成熟度适中，无裂果及空洞现象，茄果不能有裂蒂及果皮变硬现象，无虫害，无疤点，无断裂，无腐烂、异味，不带泥土，无明显机械伤，农药残留不超标。</w:t>
                  </w:r>
                </w:p>
              </w:tc>
              <w:tc>
                <w:tcPr>
                  <w:tcW w:type="dxa" w:w="511"/>
                </w:tcPr>
                <w:p>
                  <w:pPr>
                    <w:pStyle w:val="null3"/>
                  </w:pPr>
                  <w:r>
                    <w:rPr>
                      <w:rFonts w:ascii="仿宋_GB2312" w:hAnsi="仿宋_GB2312" w:cs="仿宋_GB2312" w:eastAsia="仿宋_GB2312"/>
                    </w:rPr>
                    <w:t>与质量标准要求不符，部分产品浸水后仍不可恢复，与招标人自购标准存在较大负偏差，农药残留超标。</w:t>
                  </w:r>
                </w:p>
              </w:tc>
              <w:tc>
                <w:tcPr>
                  <w:tcW w:type="dxa" w:w="511"/>
                  <w:vMerge w:val="restart"/>
                </w:tcPr>
                <w:p>
                  <w:pPr>
                    <w:pStyle w:val="null3"/>
                  </w:pPr>
                  <w:r>
                    <w:rPr>
                      <w:rFonts w:ascii="仿宋_GB2312" w:hAnsi="仿宋_GB2312" w:cs="仿宋_GB2312" w:eastAsia="仿宋_GB2312"/>
                    </w:rPr>
                    <w:t>国家或行业相关标准</w:t>
                  </w:r>
                </w:p>
              </w:tc>
            </w:tr>
            <w:tr>
              <w:tc>
                <w:tcPr>
                  <w:tcW w:type="dxa" w:w="511"/>
                  <w:vMerge/>
                </w:tcPr>
                <w:p/>
              </w:tc>
              <w:tc>
                <w:tcPr>
                  <w:tcW w:type="dxa" w:w="511"/>
                </w:tcPr>
                <w:p>
                  <w:pPr>
                    <w:pStyle w:val="null3"/>
                  </w:pPr>
                  <w:r>
                    <w:rPr>
                      <w:rFonts w:ascii="仿宋_GB2312" w:hAnsi="仿宋_GB2312" w:cs="仿宋_GB2312" w:eastAsia="仿宋_GB2312"/>
                    </w:rPr>
                    <w:t>根茎类</w:t>
                  </w:r>
                </w:p>
                <w:p>
                  <w:pPr>
                    <w:pStyle w:val="null3"/>
                  </w:pPr>
                  <w:r>
                    <w:rPr>
                      <w:rFonts w:ascii="仿宋_GB2312" w:hAnsi="仿宋_GB2312" w:cs="仿宋_GB2312" w:eastAsia="仿宋_GB2312"/>
                    </w:rPr>
                    <w:t>（萝卜、土豆等）</w:t>
                  </w:r>
                </w:p>
              </w:tc>
              <w:tc>
                <w:tcPr>
                  <w:tcW w:type="dxa" w:w="511"/>
                </w:tcPr>
                <w:p>
                  <w:pPr>
                    <w:pStyle w:val="null3"/>
                  </w:pPr>
                  <w:r>
                    <w:rPr>
                      <w:rFonts w:ascii="仿宋_GB2312" w:hAnsi="仿宋_GB2312" w:cs="仿宋_GB2312" w:eastAsia="仿宋_GB2312"/>
                    </w:rPr>
                    <w:t>无虫咬、发芽、发霉现象，表皮细致光滑，肉质脆嫩致密新鲜，无腐烂、裂痕、糠心、异味，不带泥沙，不带茎叶和须根。</w:t>
                  </w:r>
                </w:p>
              </w:tc>
              <w:tc>
                <w:tcPr>
                  <w:tcW w:type="dxa" w:w="511"/>
                  <w:vMerge w:val="restart"/>
                </w:tcPr>
                <w:p>
                  <w:pPr>
                    <w:pStyle w:val="null3"/>
                  </w:pPr>
                  <w:r>
                    <w:rPr>
                      <w:rFonts w:ascii="仿宋_GB2312" w:hAnsi="仿宋_GB2312" w:cs="仿宋_GB2312" w:eastAsia="仿宋_GB2312"/>
                    </w:rPr>
                    <w:t>与质量标准要求不符，部分产品浸水后仍不可恢复，与招标人自购标准存在较大负偏差。</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葱蒜类</w:t>
                  </w:r>
                </w:p>
                <w:p>
                  <w:pPr>
                    <w:pStyle w:val="null3"/>
                  </w:pPr>
                  <w:r>
                    <w:rPr>
                      <w:rFonts w:ascii="仿宋_GB2312" w:hAnsi="仿宋_GB2312" w:cs="仿宋_GB2312" w:eastAsia="仿宋_GB2312"/>
                    </w:rPr>
                    <w:t>（葱、蒜、韭菜、洋葱等）</w:t>
                  </w:r>
                </w:p>
              </w:tc>
              <w:tc>
                <w:tcPr>
                  <w:tcW w:type="dxa" w:w="511"/>
                </w:tcPr>
                <w:p>
                  <w:pPr>
                    <w:pStyle w:val="null3"/>
                  </w:pPr>
                  <w:r>
                    <w:rPr>
                      <w:rFonts w:ascii="仿宋_GB2312" w:hAnsi="仿宋_GB2312" w:cs="仿宋_GB2312" w:eastAsia="仿宋_GB2312"/>
                    </w:rPr>
                    <w:t>允许葱、青蒜类保留干净须根，葱、蒜、韭菜不带老叶，蒜头、洋葱去根去枯叶，可食部分新鲜幼嫩，无腐烂、异味。</w:t>
                  </w:r>
                </w:p>
              </w:tc>
              <w:tc>
                <w:tcPr>
                  <w:tcW w:type="dxa" w:w="511"/>
                  <w:vMerge/>
                </w:tcP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水生菜类</w:t>
                  </w:r>
                </w:p>
                <w:p>
                  <w:pPr>
                    <w:pStyle w:val="null3"/>
                  </w:pPr>
                  <w:r>
                    <w:rPr>
                      <w:rFonts w:ascii="仿宋_GB2312" w:hAnsi="仿宋_GB2312" w:cs="仿宋_GB2312" w:eastAsia="仿宋_GB2312"/>
                    </w:rPr>
                    <w:t>（藕、菱白等）</w:t>
                  </w:r>
                </w:p>
              </w:tc>
              <w:tc>
                <w:tcPr>
                  <w:tcW w:type="dxa" w:w="511"/>
                </w:tcPr>
                <w:p>
                  <w:pPr>
                    <w:pStyle w:val="null3"/>
                  </w:pPr>
                  <w:r>
                    <w:rPr>
                      <w:rFonts w:ascii="仿宋_GB2312" w:hAnsi="仿宋_GB2312" w:cs="仿宋_GB2312" w:eastAsia="仿宋_GB2312"/>
                    </w:rPr>
                    <w:t>肉质嫩，成熟度适中，无腐烂、异味，无明显机械伤，不带泥土和杂质，不干瘪，菱白不黑心。</w:t>
                  </w:r>
                </w:p>
              </w:tc>
              <w:tc>
                <w:tcPr>
                  <w:tcW w:type="dxa" w:w="511"/>
                  <w:vMerge/>
                </w:tcP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芽苗类</w:t>
                  </w:r>
                </w:p>
                <w:p>
                  <w:pPr>
                    <w:pStyle w:val="null3"/>
                  </w:pPr>
                  <w:r>
                    <w:rPr>
                      <w:rFonts w:ascii="仿宋_GB2312" w:hAnsi="仿宋_GB2312" w:cs="仿宋_GB2312" w:eastAsia="仿宋_GB2312"/>
                    </w:rPr>
                    <w:t>（豆芽、香椿苗等）</w:t>
                  </w:r>
                </w:p>
              </w:tc>
              <w:tc>
                <w:tcPr>
                  <w:tcW w:type="dxa" w:w="511"/>
                </w:tcPr>
                <w:p>
                  <w:pPr>
                    <w:pStyle w:val="null3"/>
                  </w:pPr>
                  <w:r>
                    <w:rPr>
                      <w:rFonts w:ascii="仿宋_GB2312" w:hAnsi="仿宋_GB2312" w:cs="仿宋_GB2312" w:eastAsia="仿宋_GB2312"/>
                    </w:rPr>
                    <w:t>芽苗幼嫩，不带豆壳杂质，新鲜，不浸水，无腐烂、异味。</w:t>
                  </w:r>
                </w:p>
              </w:tc>
              <w:tc>
                <w:tcPr>
                  <w:tcW w:type="dxa" w:w="511"/>
                  <w:vMerge/>
                </w:tcP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水果类</w:t>
                  </w:r>
                </w:p>
              </w:tc>
              <w:tc>
                <w:tcPr>
                  <w:tcW w:type="dxa" w:w="511"/>
                </w:tcPr>
                <w:p>
                  <w:pPr>
                    <w:pStyle w:val="null3"/>
                  </w:pPr>
                  <w:r>
                    <w:rPr>
                      <w:rFonts w:ascii="仿宋_GB2312" w:hAnsi="仿宋_GB2312" w:cs="仿宋_GB2312" w:eastAsia="仿宋_GB2312"/>
                    </w:rPr>
                    <w:t>产品新鲜，有水果应有的颜色；发育充分，无刀伤，无腐烂部位，无农药气味，无臭味；农药残留不超标；成箱包装的品相大小保持一致。</w:t>
                  </w:r>
                </w:p>
              </w:tc>
              <w:tc>
                <w:tcPr>
                  <w:tcW w:type="dxa" w:w="511"/>
                </w:tcPr>
                <w:p>
                  <w:pPr>
                    <w:pStyle w:val="null3"/>
                  </w:pPr>
                  <w:r>
                    <w:rPr>
                      <w:rFonts w:ascii="仿宋_GB2312" w:hAnsi="仿宋_GB2312" w:cs="仿宋_GB2312" w:eastAsia="仿宋_GB2312"/>
                    </w:rPr>
                    <w:t>产品腐烂变质，表皮变皱却水分，发育不充分，未完全成熟，品相大小差距比较大，农药残留超标。</w:t>
                  </w:r>
                </w:p>
              </w:tc>
              <w:tc>
                <w:tcPr>
                  <w:tcW w:type="dxa" w:w="511"/>
                  <w:vMerge/>
                </w:tcPr>
                <w:p/>
              </w:tc>
            </w:tr>
            <w:tr>
              <w:tc>
                <w:tcPr>
                  <w:tcW w:type="dxa" w:w="511"/>
                  <w:vMerge w:val="restart"/>
                </w:tcPr>
                <w:p>
                  <w:pPr>
                    <w:pStyle w:val="null3"/>
                  </w:pPr>
                  <w:r>
                    <w:rPr>
                      <w:rFonts w:ascii="仿宋_GB2312" w:hAnsi="仿宋_GB2312" w:cs="仿宋_GB2312" w:eastAsia="仿宋_GB2312"/>
                    </w:rPr>
                    <w:t>蛋奶</w:t>
                  </w:r>
                </w:p>
              </w:tc>
              <w:tc>
                <w:tcPr>
                  <w:tcW w:type="dxa" w:w="511"/>
                </w:tcPr>
                <w:p>
                  <w:pPr>
                    <w:pStyle w:val="null3"/>
                  </w:pPr>
                  <w:r>
                    <w:rPr>
                      <w:rFonts w:ascii="仿宋_GB2312" w:hAnsi="仿宋_GB2312" w:cs="仿宋_GB2312" w:eastAsia="仿宋_GB2312"/>
                    </w:rPr>
                    <w:t>鸡蛋</w:t>
                  </w:r>
                </w:p>
              </w:tc>
              <w:tc>
                <w:tcPr>
                  <w:tcW w:type="dxa" w:w="511"/>
                </w:tcPr>
                <w:p>
                  <w:pPr>
                    <w:pStyle w:val="null3"/>
                  </w:pPr>
                  <w:r>
                    <w:rPr>
                      <w:rFonts w:ascii="仿宋_GB2312" w:hAnsi="仿宋_GB2312" w:cs="仿宋_GB2312" w:eastAsia="仿宋_GB2312"/>
                    </w:rPr>
                    <w:t>蛋壳清洁完整，色泽鲜明，无破损、裂纹，无霉斑，灯光透视时，整个蛋呈桔黄色至橙红色，蛋黄不见或略见阴影，没有霉味、酸味，臭味等不良气味，打开后蛋黄凸起、完整、有韧性，蛋白澄清、透明、稀稠分明，无异味。</w:t>
                  </w:r>
                </w:p>
              </w:tc>
              <w:tc>
                <w:tcPr>
                  <w:tcW w:type="dxa" w:w="511"/>
                  <w:vMerge w:val="restart"/>
                </w:tcPr>
                <w:p>
                  <w:pPr>
                    <w:pStyle w:val="null3"/>
                  </w:pPr>
                  <w:r>
                    <w:rPr>
                      <w:rFonts w:ascii="仿宋_GB2312" w:hAnsi="仿宋_GB2312" w:cs="仿宋_GB2312" w:eastAsia="仿宋_GB2312"/>
                    </w:rPr>
                    <w:t>蛋壳破损严重，有霉斑，散发霉臭味，与质量标准要求较多不符。</w:t>
                  </w:r>
                </w:p>
              </w:tc>
              <w:tc>
                <w:tcPr>
                  <w:tcW w:type="dxa" w:w="511"/>
                  <w:vMerge w:val="restart"/>
                </w:tcPr>
                <w:p>
                  <w:pPr>
                    <w:pStyle w:val="null3"/>
                  </w:pPr>
                  <w:r>
                    <w:rPr>
                      <w:rFonts w:ascii="仿宋_GB2312" w:hAnsi="仿宋_GB2312" w:cs="仿宋_GB2312" w:eastAsia="仿宋_GB2312"/>
                    </w:rPr>
                    <w:t>国家或行业相关标准</w:t>
                  </w:r>
                </w:p>
              </w:tc>
            </w:tr>
            <w:tr>
              <w:tc>
                <w:tcPr>
                  <w:tcW w:type="dxa" w:w="511"/>
                  <w:vMerge/>
                </w:tcPr>
                <w:p/>
              </w:tc>
              <w:tc>
                <w:tcPr>
                  <w:tcW w:type="dxa" w:w="511"/>
                </w:tcPr>
                <w:p>
                  <w:pPr>
                    <w:pStyle w:val="null3"/>
                  </w:pPr>
                  <w:r>
                    <w:rPr>
                      <w:rFonts w:ascii="仿宋_GB2312" w:hAnsi="仿宋_GB2312" w:cs="仿宋_GB2312" w:eastAsia="仿宋_GB2312"/>
                    </w:rPr>
                    <w:t>皮蛋</w:t>
                  </w:r>
                </w:p>
              </w:tc>
              <w:tc>
                <w:tcPr>
                  <w:tcW w:type="dxa" w:w="511"/>
                </w:tcPr>
                <w:p>
                  <w:pPr>
                    <w:pStyle w:val="null3"/>
                  </w:pPr>
                  <w:r>
                    <w:rPr>
                      <w:rFonts w:ascii="仿宋_GB2312" w:hAnsi="仿宋_GB2312" w:cs="仿宋_GB2312" w:eastAsia="仿宋_GB2312"/>
                    </w:rPr>
                    <w:t>外表泥状包料完整、无霉斑，包料除掉后蛋壳亦完整无损，灯光透照蛋内容物凝固不动，打开观察，整个蛋凝固、不粘壳、清洁而有弹性，呈半透明的棕黄色，闻起来有芳香，无辛辣气。</w:t>
                  </w:r>
                </w:p>
              </w:tc>
              <w:tc>
                <w:tcPr>
                  <w:tcW w:type="dxa" w:w="511"/>
                  <w:vMerge/>
                </w:tcP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咸蛋</w:t>
                  </w:r>
                </w:p>
              </w:tc>
              <w:tc>
                <w:tcPr>
                  <w:tcW w:type="dxa" w:w="511"/>
                </w:tcPr>
                <w:p>
                  <w:pPr>
                    <w:pStyle w:val="null3"/>
                  </w:pPr>
                  <w:r>
                    <w:rPr>
                      <w:rFonts w:ascii="仿宋_GB2312" w:hAnsi="仿宋_GB2312" w:cs="仿宋_GB2312" w:eastAsia="仿宋_GB2312"/>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c>
                <w:tcPr>
                  <w:tcW w:type="dxa" w:w="511"/>
                  <w:vMerge/>
                </w:tcP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牛奶</w:t>
                  </w:r>
                </w:p>
              </w:tc>
              <w:tc>
                <w:tcPr>
                  <w:tcW w:type="dxa" w:w="511"/>
                </w:tcPr>
                <w:p>
                  <w:pPr>
                    <w:pStyle w:val="null3"/>
                  </w:pPr>
                  <w:r>
                    <w:rPr>
                      <w:rFonts w:ascii="仿宋_GB2312" w:hAnsi="仿宋_GB2312" w:cs="仿宋_GB2312" w:eastAsia="仿宋_GB2312"/>
                    </w:rPr>
                    <w:t>品牌袋装奶，距出厂日期10天以内且按照厂家要求保存条件储存未超出保质期，色泽乳白，有纯奶的鲜香味。</w:t>
                  </w:r>
                </w:p>
              </w:tc>
              <w:tc>
                <w:tcPr>
                  <w:tcW w:type="dxa" w:w="511"/>
                </w:tcPr>
                <w:p>
                  <w:pPr>
                    <w:pStyle w:val="null3"/>
                  </w:pPr>
                  <w:r>
                    <w:rPr>
                      <w:rFonts w:ascii="仿宋_GB2312" w:hAnsi="仿宋_GB2312" w:cs="仿宋_GB2312" w:eastAsia="仿宋_GB2312"/>
                    </w:rPr>
                    <w:t>与质量标准要求不符</w:t>
                  </w:r>
                </w:p>
              </w:tc>
              <w:tc>
                <w:tcPr>
                  <w:tcW w:type="dxa" w:w="511"/>
                  <w:vMerge/>
                </w:tcPr>
                <w:p/>
              </w:tc>
            </w:tr>
            <w:tr>
              <w:tc>
                <w:tcPr>
                  <w:tcW w:type="dxa" w:w="511"/>
                </w:tcPr>
                <w:p>
                  <w:pPr>
                    <w:pStyle w:val="null3"/>
                  </w:pPr>
                  <w:r>
                    <w:rPr>
                      <w:rFonts w:ascii="仿宋_GB2312" w:hAnsi="仿宋_GB2312" w:cs="仿宋_GB2312" w:eastAsia="仿宋_GB2312"/>
                    </w:rPr>
                    <w:t>豆制品</w:t>
                  </w:r>
                </w:p>
              </w:tc>
              <w:tc>
                <w:tcPr>
                  <w:tcW w:type="dxa" w:w="511"/>
                </w:tcPr>
                <w:p>
                  <w:pPr>
                    <w:pStyle w:val="null3"/>
                  </w:pPr>
                  <w:r>
                    <w:rPr>
                      <w:rFonts w:ascii="仿宋_GB2312" w:hAnsi="仿宋_GB2312" w:cs="仿宋_GB2312" w:eastAsia="仿宋_GB2312"/>
                    </w:rPr>
                    <w:t>豆腐</w:t>
                  </w:r>
                </w:p>
              </w:tc>
              <w:tc>
                <w:tcPr>
                  <w:tcW w:type="dxa" w:w="511"/>
                </w:tcPr>
                <w:p>
                  <w:pPr>
                    <w:pStyle w:val="null3"/>
                  </w:pPr>
                  <w:r>
                    <w:rPr>
                      <w:rFonts w:ascii="仿宋_GB2312" w:hAnsi="仿宋_GB2312" w:cs="仿宋_GB2312" w:eastAsia="仿宋_GB2312"/>
                    </w:rPr>
                    <w:t>豆腐呈均匀的乳白色或淡黄色，稍有光泽，块形完整，软硬适度，富有一定的弹性，质地细嫩，结构均匀，无杂质，具有豆腐特有的香味，取样品品尝时口感细腻鲜嫩，味道纯正清香。</w:t>
                  </w:r>
                </w:p>
              </w:tc>
              <w:tc>
                <w:tcPr>
                  <w:tcW w:type="dxa" w:w="511"/>
                </w:tcPr>
                <w:p>
                  <w:pPr>
                    <w:pStyle w:val="null3"/>
                  </w:pPr>
                  <w:r>
                    <w:rPr>
                      <w:rFonts w:ascii="仿宋_GB2312" w:hAnsi="仿宋_GB2312" w:cs="仿宋_GB2312" w:eastAsia="仿宋_GB2312"/>
                    </w:rPr>
                    <w:t>与质量标准要求较多不符</w:t>
                  </w:r>
                </w:p>
              </w:tc>
              <w:tc>
                <w:tcPr>
                  <w:tcW w:type="dxa" w:w="511"/>
                </w:tcPr>
                <w:p>
                  <w:pPr>
                    <w:pStyle w:val="null3"/>
                  </w:pPr>
                  <w:r>
                    <w:rPr>
                      <w:rFonts w:ascii="仿宋_GB2312" w:hAnsi="仿宋_GB2312" w:cs="仿宋_GB2312" w:eastAsia="仿宋_GB2312"/>
                    </w:rPr>
                    <w:t>国家或行业相关标准</w:t>
                  </w:r>
                </w:p>
              </w:tc>
            </w:tr>
            <w:tr>
              <w:tc>
                <w:tcPr>
                  <w:tcW w:type="dxa" w:w="511"/>
                </w:tcPr>
                <w:p>
                  <w:pPr>
                    <w:pStyle w:val="null3"/>
                  </w:pPr>
                  <w:r>
                    <w:rPr>
                      <w:rFonts w:ascii="仿宋_GB2312" w:hAnsi="仿宋_GB2312" w:cs="仿宋_GB2312" w:eastAsia="仿宋_GB2312"/>
                    </w:rPr>
                    <w:t>调料</w:t>
                  </w:r>
                </w:p>
              </w:tc>
              <w:tc>
                <w:tcPr>
                  <w:tcW w:type="dxa" w:w="511"/>
                </w:tcPr>
                <w:p>
                  <w:pPr>
                    <w:pStyle w:val="null3"/>
                  </w:pPr>
                  <w:r>
                    <w:rPr>
                      <w:rFonts w:ascii="仿宋_GB2312" w:hAnsi="仿宋_GB2312" w:cs="仿宋_GB2312" w:eastAsia="仿宋_GB2312"/>
                    </w:rPr>
                    <w:t>调料</w:t>
                  </w:r>
                </w:p>
              </w:tc>
              <w:tc>
                <w:tcPr>
                  <w:tcW w:type="dxa" w:w="511"/>
                </w:tcPr>
                <w:p>
                  <w:pPr>
                    <w:pStyle w:val="null3"/>
                  </w:pPr>
                  <w:r>
                    <w:rPr>
                      <w:rFonts w:ascii="仿宋_GB2312" w:hAnsi="仿宋_GB2312" w:cs="仿宋_GB2312" w:eastAsia="仿宋_GB2312"/>
                    </w:rPr>
                    <w:t>1.无霉变和虫蛀鼠咬现象；</w:t>
                  </w:r>
                </w:p>
                <w:p>
                  <w:pPr>
                    <w:pStyle w:val="null3"/>
                  </w:pPr>
                  <w:r>
                    <w:rPr>
                      <w:rFonts w:ascii="仿宋_GB2312" w:hAnsi="仿宋_GB2312" w:cs="仿宋_GB2312" w:eastAsia="仿宋_GB2312"/>
                    </w:rPr>
                    <w:t>2.无臭味，货品新鲜，色泽正常；</w:t>
                  </w:r>
                </w:p>
                <w:p>
                  <w:pPr>
                    <w:pStyle w:val="null3"/>
                  </w:pPr>
                  <w:r>
                    <w:rPr>
                      <w:rFonts w:ascii="仿宋_GB2312" w:hAnsi="仿宋_GB2312" w:cs="仿宋_GB2312" w:eastAsia="仿宋_GB2312"/>
                    </w:rPr>
                    <w:t>3.无“三无”产品，货品在保质期以内，外包装清洁卫生、无破损，包装上的商品名称、厂址、规格、生产日期、质保期等信息与内容物相符，标示清晰，批次号清楚等；</w:t>
                  </w:r>
                </w:p>
                <w:p>
                  <w:pPr>
                    <w:pStyle w:val="null3"/>
                  </w:pPr>
                  <w:r>
                    <w:rPr>
                      <w:rFonts w:ascii="仿宋_GB2312" w:hAnsi="仿宋_GB2312" w:cs="仿宋_GB2312" w:eastAsia="仿宋_GB2312"/>
                    </w:rPr>
                    <w:t>4.经食品检验检疫合格，调料成分符合国家卫生标准。</w:t>
                  </w:r>
                </w:p>
              </w:tc>
              <w:tc>
                <w:tcPr>
                  <w:tcW w:type="dxa" w:w="511"/>
                </w:tcPr>
                <w:p>
                  <w:pPr>
                    <w:pStyle w:val="null3"/>
                  </w:pPr>
                  <w:r>
                    <w:rPr>
                      <w:rFonts w:ascii="仿宋_GB2312" w:hAnsi="仿宋_GB2312" w:cs="仿宋_GB2312" w:eastAsia="仿宋_GB2312"/>
                    </w:rPr>
                    <w:t>1.不符合质量标准要求，无“QS”食品安全认证的产品；</w:t>
                  </w:r>
                </w:p>
                <w:p>
                  <w:pPr>
                    <w:pStyle w:val="null3"/>
                  </w:pPr>
                  <w:r>
                    <w:rPr>
                      <w:rFonts w:ascii="仿宋_GB2312" w:hAnsi="仿宋_GB2312" w:cs="仿宋_GB2312" w:eastAsia="仿宋_GB2312"/>
                    </w:rPr>
                    <w:t>2.无品名、产地、厂名、生产日期、质保期及中文标识、原料说明的定型包装食品；</w:t>
                  </w:r>
                </w:p>
                <w:p>
                  <w:pPr>
                    <w:pStyle w:val="null3"/>
                  </w:pPr>
                  <w:r>
                    <w:rPr>
                      <w:rFonts w:ascii="仿宋_GB2312" w:hAnsi="仿宋_GB2312" w:cs="仿宋_GB2312" w:eastAsia="仿宋_GB2312"/>
                    </w:rPr>
                    <w:t>3.超过质保期或不符合食品标签规定的定型包装食品；</w:t>
                  </w:r>
                </w:p>
                <w:p>
                  <w:pPr>
                    <w:pStyle w:val="null3"/>
                  </w:pPr>
                  <w:r>
                    <w:rPr>
                      <w:rFonts w:ascii="仿宋_GB2312" w:hAnsi="仿宋_GB2312" w:cs="仿宋_GB2312" w:eastAsia="仿宋_GB2312"/>
                    </w:rPr>
                    <w:t>4.腐败变质，油脂酸败，霉变，生虫，污秽不洁，混有异味或者其他感官性状异常，含有毒或有害物质污染，可能对人体健康有害的食品。</w:t>
                  </w:r>
                </w:p>
              </w:tc>
              <w:tc>
                <w:tcPr>
                  <w:tcW w:type="dxa" w:w="511"/>
                </w:tcPr>
                <w:p>
                  <w:pPr>
                    <w:pStyle w:val="null3"/>
                  </w:pPr>
                  <w:r>
                    <w:rPr>
                      <w:rFonts w:ascii="仿宋_GB2312" w:hAnsi="仿宋_GB2312" w:cs="仿宋_GB2312" w:eastAsia="仿宋_GB2312"/>
                    </w:rPr>
                    <w:t>国家或行业相关标准</w:t>
                  </w:r>
                </w:p>
              </w:tc>
            </w:tr>
            <w:tr>
              <w:tc>
                <w:tcPr>
                  <w:tcW w:type="dxa" w:w="511"/>
                </w:tcPr>
                <w:p>
                  <w:pPr>
                    <w:pStyle w:val="null3"/>
                  </w:pPr>
                  <w:r>
                    <w:rPr>
                      <w:rFonts w:ascii="仿宋_GB2312" w:hAnsi="仿宋_GB2312" w:cs="仿宋_GB2312" w:eastAsia="仿宋_GB2312"/>
                    </w:rPr>
                    <w:t>五谷杂粮</w:t>
                  </w:r>
                </w:p>
              </w:tc>
              <w:tc>
                <w:tcPr>
                  <w:tcW w:type="dxa" w:w="511"/>
                </w:tcPr>
                <w:p>
                  <w:pPr>
                    <w:pStyle w:val="null3"/>
                  </w:pPr>
                  <w:r>
                    <w:rPr>
                      <w:rFonts w:ascii="仿宋_GB2312" w:hAnsi="仿宋_GB2312" w:cs="仿宋_GB2312" w:eastAsia="仿宋_GB2312"/>
                    </w:rPr>
                    <w:t>五谷杂粮</w:t>
                  </w:r>
                </w:p>
              </w:tc>
              <w:tc>
                <w:tcPr>
                  <w:tcW w:type="dxa" w:w="511"/>
                </w:tcPr>
                <w:p>
                  <w:pPr>
                    <w:pStyle w:val="null3"/>
                  </w:pPr>
                  <w:r>
                    <w:rPr>
                      <w:rFonts w:ascii="仿宋_GB2312" w:hAnsi="仿宋_GB2312" w:cs="仿宋_GB2312" w:eastAsia="仿宋_GB2312"/>
                    </w:rPr>
                    <w:t>1.杂粮的质量标准主要包括水分、杂质、灰分、油脂、维生素、蛋白质、糖类、酸度、淀粉、矿物质等指标符合国家食品行业的标准。</w:t>
                  </w:r>
                </w:p>
                <w:p>
                  <w:pPr>
                    <w:pStyle w:val="null3"/>
                  </w:pPr>
                  <w:r>
                    <w:rPr>
                      <w:rFonts w:ascii="仿宋_GB2312" w:hAnsi="仿宋_GB2312" w:cs="仿宋_GB2312" w:eastAsia="仿宋_GB2312"/>
                    </w:rPr>
                    <w:t>2.杂粮的安全标准主要包括重金属、农药残留、微生物污染、有害物质等指标符合国家食品行业的标准。</w:t>
                  </w:r>
                </w:p>
                <w:p>
                  <w:pPr>
                    <w:pStyle w:val="null3"/>
                  </w:pPr>
                  <w:r>
                    <w:rPr>
                      <w:rFonts w:ascii="仿宋_GB2312" w:hAnsi="仿宋_GB2312" w:cs="仿宋_GB2312" w:eastAsia="仿宋_GB2312"/>
                    </w:rPr>
                    <w:t>3.杂粮的卫生标准主要包括杂质、污染物、有害物质、微生物污染等指标符合国家食品行业的标准。</w:t>
                  </w:r>
                </w:p>
                <w:p>
                  <w:pPr>
                    <w:pStyle w:val="null3"/>
                  </w:pPr>
                  <w:r>
                    <w:rPr>
                      <w:rFonts w:ascii="仿宋_GB2312" w:hAnsi="仿宋_GB2312" w:cs="仿宋_GB2312" w:eastAsia="仿宋_GB2312"/>
                    </w:rPr>
                    <w:t>4.杂粮的包装标准主要包括包装材料、包装规格、包装标签等指标符合国家食品行业的标准。</w:t>
                  </w:r>
                </w:p>
              </w:tc>
              <w:tc>
                <w:tcPr>
                  <w:tcW w:type="dxa" w:w="511"/>
                </w:tcPr>
                <w:p>
                  <w:pPr>
                    <w:pStyle w:val="null3"/>
                  </w:pPr>
                  <w:r>
                    <w:rPr>
                      <w:rFonts w:ascii="仿宋_GB2312" w:hAnsi="仿宋_GB2312" w:cs="仿宋_GB2312" w:eastAsia="仿宋_GB2312"/>
                    </w:rPr>
                    <w:t>与质量标准要求不符</w:t>
                  </w:r>
                </w:p>
              </w:tc>
              <w:tc>
                <w:tcPr>
                  <w:tcW w:type="dxa" w:w="511"/>
                </w:tcPr>
                <w:p>
                  <w:pPr>
                    <w:pStyle w:val="null3"/>
                  </w:pPr>
                  <w:r>
                    <w:rPr>
                      <w:rFonts w:ascii="仿宋_GB2312" w:hAnsi="仿宋_GB2312" w:cs="仿宋_GB2312" w:eastAsia="仿宋_GB2312"/>
                    </w:rPr>
                    <w:t>国家或行业相关标准</w:t>
                  </w:r>
                </w:p>
              </w:tc>
            </w:tr>
            <w:tr>
              <w:tc>
                <w:tcPr>
                  <w:tcW w:type="dxa" w:w="511"/>
                </w:tcPr>
                <w:p>
                  <w:pPr>
                    <w:pStyle w:val="null3"/>
                  </w:pPr>
                  <w:r>
                    <w:rPr>
                      <w:rFonts w:ascii="仿宋_GB2312" w:hAnsi="仿宋_GB2312" w:cs="仿宋_GB2312" w:eastAsia="仿宋_GB2312"/>
                    </w:rPr>
                    <w:t>干货</w:t>
                  </w:r>
                </w:p>
              </w:tc>
              <w:tc>
                <w:tcPr>
                  <w:tcW w:type="dxa" w:w="511"/>
                </w:tcPr>
                <w:p>
                  <w:pPr>
                    <w:pStyle w:val="null3"/>
                  </w:pPr>
                  <w:r>
                    <w:rPr>
                      <w:rFonts w:ascii="仿宋_GB2312" w:hAnsi="仿宋_GB2312" w:cs="仿宋_GB2312" w:eastAsia="仿宋_GB2312"/>
                    </w:rPr>
                    <w:t>干货</w:t>
                  </w:r>
                </w:p>
              </w:tc>
              <w:tc>
                <w:tcPr>
                  <w:tcW w:type="dxa" w:w="511"/>
                </w:tcPr>
                <w:p>
                  <w:pPr>
                    <w:pStyle w:val="null3"/>
                  </w:pPr>
                  <w:r>
                    <w:rPr>
                      <w:rFonts w:ascii="仿宋_GB2312" w:hAnsi="仿宋_GB2312" w:cs="仿宋_GB2312" w:eastAsia="仿宋_GB2312"/>
                    </w:rPr>
                    <w:t>符合国家食品行业的标准</w:t>
                  </w:r>
                </w:p>
              </w:tc>
              <w:tc>
                <w:tcPr>
                  <w:tcW w:type="dxa" w:w="511"/>
                </w:tcPr>
                <w:p>
                  <w:pPr>
                    <w:pStyle w:val="null3"/>
                  </w:pPr>
                  <w:r>
                    <w:rPr>
                      <w:rFonts w:ascii="仿宋_GB2312" w:hAnsi="仿宋_GB2312" w:cs="仿宋_GB2312" w:eastAsia="仿宋_GB2312"/>
                    </w:rPr>
                    <w:t>与质量标准要求不符</w:t>
                  </w:r>
                </w:p>
              </w:tc>
              <w:tc>
                <w:tcPr>
                  <w:tcW w:type="dxa" w:w="511"/>
                </w:tcPr>
                <w:p>
                  <w:pPr>
                    <w:pStyle w:val="null3"/>
                  </w:pPr>
                  <w:r>
                    <w:rPr>
                      <w:rFonts w:ascii="仿宋_GB2312" w:hAnsi="仿宋_GB2312" w:cs="仿宋_GB2312" w:eastAsia="仿宋_GB2312"/>
                    </w:rPr>
                    <w:t>国家或行业相关标准</w:t>
                  </w:r>
                </w:p>
              </w:tc>
            </w:tr>
            <w:tr>
              <w:tc>
                <w:tcPr>
                  <w:tcW w:type="dxa" w:w="511"/>
                </w:tcPr>
                <w:p>
                  <w:pPr>
                    <w:pStyle w:val="null3"/>
                  </w:pPr>
                  <w:r>
                    <w:rPr>
                      <w:rFonts w:ascii="仿宋_GB2312" w:hAnsi="仿宋_GB2312" w:cs="仿宋_GB2312" w:eastAsia="仿宋_GB2312"/>
                    </w:rPr>
                    <w:t>副食及</w:t>
                  </w:r>
                </w:p>
                <w:p>
                  <w:pPr>
                    <w:pStyle w:val="null3"/>
                  </w:pPr>
                  <w:r>
                    <w:rPr>
                      <w:rFonts w:ascii="仿宋_GB2312" w:hAnsi="仿宋_GB2312" w:cs="仿宋_GB2312" w:eastAsia="仿宋_GB2312"/>
                    </w:rPr>
                    <w:t>其他</w:t>
                  </w:r>
                </w:p>
              </w:tc>
              <w:tc>
                <w:tcPr>
                  <w:tcW w:type="dxa" w:w="511"/>
                </w:tcPr>
                <w:p>
                  <w:pPr>
                    <w:pStyle w:val="null3"/>
                  </w:pPr>
                  <w:r>
                    <w:rPr>
                      <w:rFonts w:ascii="仿宋_GB2312" w:hAnsi="仿宋_GB2312" w:cs="仿宋_GB2312" w:eastAsia="仿宋_GB2312"/>
                    </w:rPr>
                    <w:t>副食及</w:t>
                  </w:r>
                </w:p>
                <w:p>
                  <w:pPr>
                    <w:pStyle w:val="null3"/>
                  </w:pPr>
                  <w:r>
                    <w:rPr>
                      <w:rFonts w:ascii="仿宋_GB2312" w:hAnsi="仿宋_GB2312" w:cs="仿宋_GB2312" w:eastAsia="仿宋_GB2312"/>
                    </w:rPr>
                    <w:t>其他</w:t>
                  </w:r>
                </w:p>
              </w:tc>
              <w:tc>
                <w:tcPr>
                  <w:tcW w:type="dxa" w:w="511"/>
                </w:tcPr>
                <w:p>
                  <w:pPr>
                    <w:pStyle w:val="null3"/>
                  </w:pPr>
                  <w:r>
                    <w:rPr>
                      <w:rFonts w:ascii="仿宋_GB2312" w:hAnsi="仿宋_GB2312" w:cs="仿宋_GB2312" w:eastAsia="仿宋_GB2312"/>
                    </w:rPr>
                    <w:t>须保证食材干净、不含非食品用化学物质、按统一标准加工、码放整齐。</w:t>
                  </w:r>
                </w:p>
              </w:tc>
              <w:tc>
                <w:tcPr>
                  <w:tcW w:type="dxa" w:w="511"/>
                </w:tcPr>
                <w:p>
                  <w:pPr>
                    <w:pStyle w:val="null3"/>
                  </w:pPr>
                  <w:r>
                    <w:rPr>
                      <w:rFonts w:ascii="仿宋_GB2312" w:hAnsi="仿宋_GB2312" w:cs="仿宋_GB2312" w:eastAsia="仿宋_GB2312"/>
                    </w:rPr>
                    <w:t>与质量标准要求不符</w:t>
                  </w:r>
                </w:p>
              </w:tc>
              <w:tc>
                <w:tcPr>
                  <w:tcW w:type="dxa" w:w="511"/>
                </w:tcPr>
                <w:p>
                  <w:pPr>
                    <w:pStyle w:val="null3"/>
                  </w:pPr>
                  <w:r>
                    <w:rPr>
                      <w:rFonts w:ascii="仿宋_GB2312" w:hAnsi="仿宋_GB2312" w:cs="仿宋_GB2312" w:eastAsia="仿宋_GB2312"/>
                    </w:rPr>
                    <w:t>国家或行业相关标准</w:t>
                  </w:r>
                </w:p>
              </w:tc>
            </w:tr>
          </w:tbl>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1.配送要求一天一次，早上七点配送，须有冷链配送服务，鲜活物品保证在送达指定地点后依旧新鲜。</w:t>
            </w:r>
          </w:p>
          <w:p>
            <w:pPr>
              <w:pStyle w:val="null3"/>
            </w:pPr>
            <w:r>
              <w:rPr>
                <w:rFonts w:ascii="仿宋_GB2312" w:hAnsi="仿宋_GB2312" w:cs="仿宋_GB2312" w:eastAsia="仿宋_GB2312"/>
              </w:rPr>
              <w:t>2.成交供应商将货物按要求保质保量送到采购人指定地点，并提供本批次货物的货物清单（含货物种类、数量、价格等）。</w:t>
            </w:r>
          </w:p>
          <w:p>
            <w:pPr>
              <w:pStyle w:val="null3"/>
            </w:pPr>
            <w:r>
              <w:rPr>
                <w:rFonts w:ascii="仿宋_GB2312" w:hAnsi="仿宋_GB2312" w:cs="仿宋_GB2312" w:eastAsia="仿宋_GB2312"/>
              </w:rPr>
              <w:t>3.成交供应商提供的产品若出现不合格产品或在运输途中出现破损的，应在接到采购人通知后无条件退回并更换新鲜食材，保证正常使用。</w:t>
            </w:r>
          </w:p>
          <w:p>
            <w:pPr>
              <w:pStyle w:val="null3"/>
            </w:pPr>
            <w:r>
              <w:rPr>
                <w:rFonts w:ascii="仿宋_GB2312" w:hAnsi="仿宋_GB2312" w:cs="仿宋_GB2312" w:eastAsia="仿宋_GB2312"/>
              </w:rPr>
              <w:t>4成交供应商提供的产品必须是通过正规渠道采购，若发现成交供应商提供的产品属于假货，采购人有权进行处罚并终止合同。</w:t>
            </w:r>
          </w:p>
          <w:p>
            <w:pPr>
              <w:pStyle w:val="null3"/>
            </w:pPr>
            <w:r>
              <w:rPr>
                <w:rFonts w:ascii="仿宋_GB2312" w:hAnsi="仿宋_GB2312" w:cs="仿宋_GB2312" w:eastAsia="仿宋_GB2312"/>
              </w:rPr>
              <w:t>5成交供应商供货应及时，如重大节日，逢年过节，也必须按照要求配送。若出现一次供货不及时的情况，采购人发出警告并有权要求进行公对公赔偿，若出现两次及两次以上供货不及时的情况，采购人有权单方面解除合同。</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1.服务期限</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2.首次报价原则</w:t>
            </w:r>
          </w:p>
          <w:p>
            <w:pPr>
              <w:pStyle w:val="null3"/>
            </w:pPr>
            <w:r>
              <w:rPr>
                <w:rFonts w:ascii="仿宋_GB2312" w:hAnsi="仿宋_GB2312" w:cs="仿宋_GB2312" w:eastAsia="仿宋_GB2312"/>
              </w:rPr>
              <w:t>供应商应依据“开标前一天华润万家超市（长安新都市店）及永辉超市（GOGO街区店）平均价格”进行首次报价（优惠率），具体采购需求不限于以下罗列内容，以实际采购为准。</w:t>
            </w:r>
          </w:p>
          <w:p>
            <w:pPr>
              <w:pStyle w:val="null3"/>
            </w:pPr>
            <w:r>
              <w:rPr>
                <w:rFonts w:ascii="仿宋_GB2312" w:hAnsi="仿宋_GB2312" w:cs="仿宋_GB2312" w:eastAsia="仿宋_GB2312"/>
              </w:rPr>
              <w:t>2.款项结算</w:t>
            </w:r>
          </w:p>
          <w:p>
            <w:pPr>
              <w:pStyle w:val="null3"/>
            </w:pPr>
            <w:r>
              <w:rPr>
                <w:rFonts w:ascii="仿宋_GB2312" w:hAnsi="仿宋_GB2312" w:cs="仿宋_GB2312" w:eastAsia="仿宋_GB2312"/>
              </w:rPr>
              <w:t>（1）付款前，供应商必须开具全额发票给采购人（附详细供货清单）。</w:t>
            </w:r>
          </w:p>
          <w:p>
            <w:pPr>
              <w:pStyle w:val="null3"/>
            </w:pPr>
            <w:r>
              <w:rPr>
                <w:rFonts w:ascii="仿宋_GB2312" w:hAnsi="仿宋_GB2312" w:cs="仿宋_GB2312" w:eastAsia="仿宋_GB2312"/>
              </w:rPr>
              <w:t>（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w:t>
            </w:r>
          </w:p>
          <w:p>
            <w:pPr>
              <w:pStyle w:val="null3"/>
            </w:pPr>
            <w:r>
              <w:rPr>
                <w:rFonts w:ascii="仿宋_GB2312" w:hAnsi="仿宋_GB2312" w:cs="仿宋_GB2312" w:eastAsia="仿宋_GB2312"/>
              </w:rPr>
              <w:t>（3）按月结算，次月10日前根据供货单据实结算上个月的费用，若遇年终预决算等特殊原因，延期结算。</w:t>
            </w:r>
          </w:p>
          <w:p>
            <w:pPr>
              <w:pStyle w:val="null3"/>
            </w:pPr>
            <w:r>
              <w:rPr>
                <w:rFonts w:ascii="仿宋_GB2312" w:hAnsi="仿宋_GB2312" w:cs="仿宋_GB2312" w:eastAsia="仿宋_GB2312"/>
              </w:rPr>
              <w:t>（4）结算方式：银行转账。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2）供应商应按照采购人要求，每天配送到采购人指定地点，经采购人验收合格后，供应商提供所供货物清单，采购人对所供货物的价格进行核实（按：当月1号华润万家超市（长安新都市店）及永辉超市（GOGO街区店）平均价格*（1-优惠率）核定结算价格），经核实无误后在供货单上签字确认。结算时按采购人签字确认的供货单据实结算。（3）按月结算，次月10日前根据供货单据实结算上个月的费用，若遇年终预决算等特殊原因，延期结算。（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融资政策链接：http://www.ccgp-shanxi.gov.cn/zcdservice/zcd/shanxi/) 2、本项目成交供应商须在领取成交通知书时提供纸质响应文件一套正本及一套副本交由采购代理机构备案，该文件须与线上电子投标文件完全一致。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供应商具备有效的食品经营许可证。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供应商参加政府采购活动承诺书.docx 响应文件封面 标的清单 供应商拒绝政府采购领域商业贿赂承诺书.docx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付款方式响应磋商文件的要求</w:t>
            </w:r>
          </w:p>
        </w:tc>
        <w:tc>
          <w:tcPr>
            <w:tcW w:type="dxa" w:w="1661"/>
          </w:tcPr>
          <w:p>
            <w:pPr>
              <w:pStyle w:val="null3"/>
            </w:pPr>
            <w:r>
              <w:rPr>
                <w:rFonts w:ascii="仿宋_GB2312" w:hAnsi="仿宋_GB2312" w:cs="仿宋_GB2312" w:eastAsia="仿宋_GB2312"/>
              </w:rPr>
              <w:t>商务要求偏离表.docx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①对整体项目的的理解②整体服务方案③整体服务流程④食品配送方案 评审标准：方案各部分内容全面详细、阐述条理清晰详尽、符合本项目采购需求得16分；评审内容每缺一项扣4分；评审内容有缺陷（缺陷是指：内容粗略、逻辑混乱、描述过于简单、与项目特点不匹配、凭空编造、逻辑漏洞、出现常识性错误、存在不适用项目实际情况的情形或只有标题没有实质性内容等）的扣0.5-3.5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产品供应渠道及质量保证</w:t>
            </w:r>
          </w:p>
        </w:tc>
        <w:tc>
          <w:tcPr>
            <w:tcW w:type="dxa" w:w="2492"/>
          </w:tcPr>
          <w:p>
            <w:pPr>
              <w:pStyle w:val="null3"/>
            </w:pPr>
            <w:r>
              <w:rPr>
                <w:rFonts w:ascii="仿宋_GB2312" w:hAnsi="仿宋_GB2312" w:cs="仿宋_GB2312" w:eastAsia="仿宋_GB2312"/>
              </w:rPr>
              <w:t>①产品供应渠道②产品质量标准及保证措施 评审标准：方案各部分内容全面详细、阐述条理清晰详尽、产品供应渠道合法、符合本项目采购需求得8分；评审内容每缺一项扣4分；评审内容有缺陷（缺陷是指：产品来源渠道证明材料不齐全、内容粗略、逻辑混乱、描述过于简单、与项目特点不匹配、凭空编造、逻辑漏洞、出现常识性错误、存在不适用项目实际情况的情形或只有标题没有实质性内容等）的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运输车辆配备</w:t>
            </w:r>
          </w:p>
        </w:tc>
        <w:tc>
          <w:tcPr>
            <w:tcW w:type="dxa" w:w="2492"/>
          </w:tcPr>
          <w:p>
            <w:pPr>
              <w:pStyle w:val="null3"/>
            </w:pPr>
            <w:r>
              <w:rPr>
                <w:rFonts w:ascii="仿宋_GB2312" w:hAnsi="仿宋_GB2312" w:cs="仿宋_GB2312" w:eastAsia="仿宋_GB2312"/>
              </w:rPr>
              <w:t>①车辆类型、数量、用途、配置说明②车辆保温保鲜条件、使用年限、车况等。 评审标准：内容完整、配备车辆合理，符合项目需求得6分；评审内容每缺一项扣3分；评审内容有缺陷（缺陷是指：配备车辆不合理、描述过于简单、与项目特点不匹配、存在不适用项目实际情况的情形、证明材料不全或只有标题没有实质性内容等）的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①本项目实施面临的重点、难点进行分析②对本项目重点、难点的解决方案。 评审标准：方案各部分内容全面详细、阐述条理清晰详尽、符合本项目采购需求得8分；评审内容每缺一项扣4分；评审内容有缺陷（缺陷是指：内容粗略、逻辑混乱、描述过于简单、与项目特点不匹配、凭空编造、逻辑漏洞、出现常识性错误、存在不适用项目实际情况的情形或只有标题没有实质性内容等）的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①实施计划 ②项目人员管理③食品质量保障措施④配送进度管理。 评审标准：方案各部分内容全面详细、阐述条理清晰详尽、符合本项目采购需求得12分；评审内容每缺一项扣3分；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①仓储场地②设备及设施条件 评审标准：方案各部分内容全面详细、阐述条理清晰详尽、符合本项目采购需求得4分；评审内容每缺一项扣2分；评审内容有缺陷（缺陷是指：内容粗略、描述简单、证明材料缺失、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①详细人员配置名单②人员分工。 评审标准:方案各部分内容全面详细、阐述条理清晰详尽、符合本项目采购需求得8分；评审内容每缺一项扣4分；评审内容有缺陷（缺陷是指：内容粗略、逻辑混乱、描述过于简单、与项目特点不匹配、凭空编造、逻辑漏洞、出现常识性错误、存在不适用项目实际情况的情形或只有标题没有实质性内容等）的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具有完整的工作内部管理制度</w:t>
            </w:r>
          </w:p>
        </w:tc>
        <w:tc>
          <w:tcPr>
            <w:tcW w:type="dxa" w:w="2492"/>
          </w:tcPr>
          <w:p>
            <w:pPr>
              <w:pStyle w:val="null3"/>
            </w:pPr>
            <w:r>
              <w:rPr>
                <w:rFonts w:ascii="仿宋_GB2312" w:hAnsi="仿宋_GB2312" w:cs="仿宋_GB2312" w:eastAsia="仿宋_GB2312"/>
              </w:rPr>
              <w:t>①岗位职责分工②内控制度③员工日常管理办法④奖惩措施。 评审标准:方案各部分内容全面详细、阐述条理清晰详尽、符合本项目采购需求得8分；评审内容每缺一项扣2分；评审内容有缺陷（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①针对采购人临时采购需求②恶劣天气影响③重大节假日或活动等特殊情况等制定应急处理方案④使用过程出现问题的补救措施。 评审标准：方案各部分内容全面详细、阐述条理清晰详尽、符合本项目采购需求得12分；评审内容每缺一项扣3分；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针对本项目提出的服务方案和承诺</w:t>
            </w:r>
          </w:p>
        </w:tc>
        <w:tc>
          <w:tcPr>
            <w:tcW w:type="dxa" w:w="2492"/>
          </w:tcPr>
          <w:p>
            <w:pPr>
              <w:pStyle w:val="null3"/>
            </w:pPr>
            <w:r>
              <w:rPr>
                <w:rFonts w:ascii="仿宋_GB2312" w:hAnsi="仿宋_GB2312" w:cs="仿宋_GB2312" w:eastAsia="仿宋_GB2312"/>
              </w:rPr>
              <w:t>①服务标准②服务内容③服务承诺④食品安全保障措施。 评审标准：方案各部分内容全面详细、阐述条理清晰详尽、符合本项目采购需求得8分；评审内容每缺一项扣2分；评审内容有缺陷（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1.实质性满足磋商文件要求且最终报价（优惠率）最高的有效报价为磋商基准价,其价格分值为满分10分。 2.磋商报价得分=（最终磋商报价（优惠率）/磋商基准价）×10。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