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一、基本资格条件：</w:t>
      </w:r>
    </w:p>
    <w:p w14:paraId="64F72D3A">
      <w:pPr>
        <w:numPr>
          <w:ilvl w:val="0"/>
          <w:numId w:val="1"/>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772BB32B">
      <w:pPr>
        <w:numPr>
          <w:ilvl w:val="0"/>
          <w:numId w:val="1"/>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rPr>
        <w:t>具有良好的商业信誉和健全的财务会计制度（提供2024年度财务审计报告或开标前6个月内银行资信证明或财政部门认可的政府采购专业担保机构出具的投标担保函）；</w:t>
      </w:r>
    </w:p>
    <w:p w14:paraId="0097F09E">
      <w:pPr>
        <w:numPr>
          <w:ilvl w:val="0"/>
          <w:numId w:val="1"/>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rPr>
        <w:t>具有履行合同所必需的设备和专业技术能力的书面声明（格式详见附件）；</w:t>
      </w:r>
    </w:p>
    <w:p w14:paraId="2D1BD5E4">
      <w:pPr>
        <w:numPr>
          <w:ilvl w:val="0"/>
          <w:numId w:val="1"/>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rPr>
        <w:t>具有依法缴纳税收和社会保障资金的良好记录（提供开标前12个月内任一月份的社保和缴纳税收的证明，依法不需要缴纳社会保障资金、免税或无须缴纳税款的供应商，应提供相关证明文件)；</w:t>
      </w:r>
    </w:p>
    <w:p w14:paraId="0A1D0887">
      <w:pPr>
        <w:numPr>
          <w:ilvl w:val="0"/>
          <w:numId w:val="1"/>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rPr>
        <w:t>参加政府采购活动前 3 年内在经营活动中没有重大违法记录的书面声明（格式详见附件）。</w:t>
      </w:r>
    </w:p>
    <w:p w14:paraId="352DBC0A">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二、落实政府采购政策需满足的资格要求：</w:t>
      </w:r>
    </w:p>
    <w:p w14:paraId="125B326B">
      <w:pPr>
        <w:spacing w:line="360" w:lineRule="auto"/>
        <w:ind w:firstLine="480" w:firstLineChars="200"/>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t>本项目为专门面向中小企业采购的采购项目，</w:t>
      </w:r>
      <w:r>
        <w:rPr>
          <w:rFonts w:hint="eastAsia" w:ascii="仿宋" w:hAnsi="仿宋" w:eastAsia="仿宋" w:cs="仿宋"/>
          <w:sz w:val="24"/>
          <w:szCs w:val="24"/>
        </w:rPr>
        <w:t>仅限符合《政府采购促进中小企业发展办法》（财库〔2020〕46 号）条件的中小企业参与，投标人应填写中小企业声明函并对真实性负责</w:t>
      </w:r>
      <w:r>
        <w:rPr>
          <w:rFonts w:hint="eastAsia" w:ascii="仿宋" w:hAnsi="仿宋" w:eastAsia="仿宋" w:cs="仿宋"/>
          <w:sz w:val="24"/>
          <w:szCs w:val="24"/>
          <w:lang w:eastAsia="zh-CN"/>
        </w:rPr>
        <w:t>。</w:t>
      </w:r>
    </w:p>
    <w:p w14:paraId="4EC1F74E">
      <w:pPr>
        <w:numPr>
          <w:ilvl w:val="0"/>
          <w:numId w:val="0"/>
        </w:numPr>
        <w:spacing w:line="360" w:lineRule="auto"/>
        <w:ind w:leftChars="0"/>
        <w:outlineLvl w:val="9"/>
        <w:rPr>
          <w:rFonts w:hint="eastAsia" w:ascii="仿宋" w:hAnsi="仿宋" w:eastAsia="仿宋" w:cs="仿宋"/>
          <w:b/>
          <w:bCs/>
          <w:color w:val="auto"/>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、特定资格条件：</w:t>
      </w:r>
    </w:p>
    <w:p w14:paraId="6BA3C3F0">
      <w:pPr>
        <w:numPr>
          <w:ilvl w:val="0"/>
          <w:numId w:val="0"/>
        </w:numPr>
        <w:spacing w:line="360" w:lineRule="auto"/>
        <w:ind w:leftChars="0" w:firstLine="480" w:firstLineChars="200"/>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供应商要求</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供应商具备有效的食品经营许可证。</w:t>
      </w:r>
    </w:p>
    <w:p w14:paraId="27E01A75">
      <w:pPr>
        <w:numPr>
          <w:ilvl w:val="0"/>
          <w:numId w:val="0"/>
        </w:numPr>
        <w:spacing w:line="360" w:lineRule="auto"/>
        <w:ind w:leftChars="0"/>
        <w:outlineLvl w:val="9"/>
        <w:rPr>
          <w:rFonts w:hint="eastAsia" w:ascii="仿宋" w:hAnsi="仿宋" w:eastAsia="仿宋" w:cs="仿宋"/>
          <w:b/>
          <w:bCs/>
          <w:color w:val="auto"/>
          <w:sz w:val="24"/>
          <w:szCs w:val="24"/>
        </w:rPr>
      </w:pPr>
      <w:r>
        <w:rPr>
          <w:rFonts w:hint="eastAsia" w:ascii="仿宋" w:hAnsi="仿宋" w:eastAsia="仿宋" w:cs="仿宋"/>
          <w:b/>
          <w:bCs/>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Cs/>
          <w:color w:val="auto"/>
          <w:sz w:val="24"/>
        </w:rPr>
      </w:pPr>
      <w:r>
        <w:rPr>
          <w:rFonts w:hint="eastAsia" w:ascii="仿宋" w:hAnsi="仿宋" w:eastAsia="仿宋" w:cs="仿宋"/>
          <w:bCs/>
          <w:color w:val="auto"/>
          <w:sz w:val="24"/>
        </w:rPr>
        <w:t>1、</w:t>
      </w:r>
      <w:r>
        <w:rPr>
          <w:rFonts w:hint="eastAsia" w:ascii="仿宋" w:hAnsi="仿宋" w:eastAsia="仿宋" w:cs="仿宋"/>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color w:val="auto"/>
          <w:sz w:val="24"/>
        </w:rPr>
        <w:t>；</w:t>
      </w:r>
    </w:p>
    <w:p w14:paraId="3FDF4367">
      <w:pPr>
        <w:pStyle w:val="8"/>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r>
        <w:rPr>
          <w:rFonts w:hint="eastAsia" w:ascii="仿宋" w:hAnsi="仿宋" w:eastAsia="仿宋" w:cs="仿宋"/>
          <w:color w:val="auto"/>
          <w:kern w:val="1"/>
          <w:sz w:val="24"/>
          <w:szCs w:val="24"/>
        </w:rPr>
        <w:t>2</w:t>
      </w:r>
      <w:bookmarkEnd w:id="0"/>
      <w:r>
        <w:rPr>
          <w:rFonts w:hint="eastAsia" w:ascii="仿宋" w:hAnsi="仿宋" w:eastAsia="仿宋" w:cs="仿宋"/>
          <w:color w:val="auto"/>
          <w:kern w:val="1"/>
          <w:sz w:val="24"/>
          <w:szCs w:val="24"/>
          <w:lang w:eastAsia="zh-CN"/>
        </w:rPr>
        <w:t>、</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年度财务审计报告或开标前6个月内银行资信证明或财政部门认可的政府采购专业担保机构出具的投标担保函）</w:t>
      </w:r>
      <w:r>
        <w:rPr>
          <w:rFonts w:hint="eastAsia" w:ascii="仿宋" w:hAnsi="仿宋" w:eastAsia="仿宋" w:cs="仿宋"/>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bookmarkStart w:id="1" w:name="_Toc4788"/>
      <w:bookmarkStart w:id="2" w:name="_Toc7791"/>
      <w:bookmarkStart w:id="3" w:name="_Toc15615"/>
      <w:bookmarkStart w:id="4" w:name="_Toc31455"/>
      <w:bookmarkStart w:id="5" w:name="_Toc13516"/>
      <w:bookmarkStart w:id="6" w:name="_Toc13195"/>
      <w:bookmarkStart w:id="7" w:name="_Toc10778"/>
      <w:bookmarkStart w:id="8" w:name="_Toc30477"/>
      <w:bookmarkStart w:id="9" w:name="_Toc5468"/>
      <w:bookmarkStart w:id="10" w:name="_Toc13233"/>
      <w:bookmarkStart w:id="11" w:name="_Toc2910"/>
      <w:bookmarkStart w:id="12" w:name="_Toc26860"/>
      <w:bookmarkStart w:id="13" w:name="_Toc27097"/>
      <w:r>
        <w:rPr>
          <w:rFonts w:hint="eastAsia" w:ascii="仿宋" w:hAnsi="仿宋" w:eastAsia="仿宋" w:cs="仿宋"/>
          <w:b w:val="0"/>
          <w:bCs w:val="0"/>
          <w:color w:val="auto"/>
          <w:kern w:val="1"/>
          <w:sz w:val="24"/>
          <w:szCs w:val="24"/>
        </w:rPr>
        <w:t>3</w:t>
      </w:r>
      <w:bookmarkEnd w:id="1"/>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val="0"/>
          <w:bCs w:val="0"/>
          <w:color w:val="auto"/>
          <w:kern w:val="1"/>
          <w:sz w:val="24"/>
          <w:szCs w:val="24"/>
          <w:lang w:eastAsia="zh-CN"/>
        </w:rPr>
        <w:t>、</w:t>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3"/>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4E334902">
      <w:pPr>
        <w:spacing w:line="360" w:lineRule="auto"/>
        <w:rPr>
          <w:rFonts w:hint="eastAsia" w:ascii="仿宋" w:hAnsi="仿宋" w:eastAsia="仿宋" w:cs="仿宋"/>
          <w:color w:val="auto"/>
          <w:sz w:val="24"/>
          <w:szCs w:val="24"/>
        </w:rPr>
      </w:pPr>
    </w:p>
    <w:p w14:paraId="3A0D8ADC">
      <w:pPr>
        <w:spacing w:line="360" w:lineRule="auto"/>
        <w:rPr>
          <w:rFonts w:hint="eastAsia" w:ascii="仿宋" w:hAnsi="仿宋" w:eastAsia="仿宋" w:cs="仿宋"/>
          <w:color w:val="auto"/>
          <w:sz w:val="24"/>
          <w:szCs w:val="24"/>
        </w:rPr>
      </w:pPr>
    </w:p>
    <w:p w14:paraId="5C2A1D63">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4"/>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bookmarkStart w:id="14" w:name="_Toc9854"/>
      <w:bookmarkStart w:id="15" w:name="_Toc6434"/>
      <w:bookmarkStart w:id="16" w:name="_Toc9580"/>
      <w:bookmarkStart w:id="17" w:name="_Toc6368"/>
      <w:bookmarkStart w:id="18" w:name="_Toc16649"/>
      <w:bookmarkStart w:id="19" w:name="_Toc15608"/>
      <w:bookmarkStart w:id="20" w:name="_Toc17566"/>
      <w:bookmarkStart w:id="21" w:name="_Toc22377"/>
      <w:bookmarkStart w:id="22" w:name="_Toc31770"/>
      <w:bookmarkStart w:id="23" w:name="_Toc22082"/>
      <w:bookmarkStart w:id="24" w:name="_Toc23489"/>
      <w:bookmarkStart w:id="25" w:name="_Toc2824"/>
      <w:bookmarkStart w:id="26" w:name="_Toc815"/>
      <w:bookmarkStart w:id="27" w:name="_Toc13120"/>
      <w:r>
        <w:rPr>
          <w:rFonts w:hint="eastAsia" w:ascii="仿宋" w:hAnsi="仿宋" w:eastAsia="仿宋" w:cs="仿宋"/>
          <w:b w:val="0"/>
          <w:bCs/>
          <w:color w:val="auto"/>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eastAsia="仿宋" w:cs="仿宋"/>
          <w:color w:val="auto"/>
          <w:sz w:val="24"/>
          <w:szCs w:val="24"/>
        </w:rPr>
        <w:t>。</w:t>
      </w:r>
      <w:bookmarkEnd w:id="28"/>
      <w:bookmarkEnd w:id="29"/>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bookmarkStart w:id="30" w:name="_Toc4842"/>
      <w:bookmarkStart w:id="31" w:name="_Toc28669"/>
      <w:bookmarkStart w:id="32" w:name="_Toc19143"/>
      <w:bookmarkStart w:id="33" w:name="_Toc30844"/>
      <w:bookmarkStart w:id="34" w:name="_Toc7403"/>
      <w:bookmarkStart w:id="35" w:name="_Toc20233"/>
      <w:bookmarkStart w:id="36" w:name="_Toc29806"/>
      <w:bookmarkStart w:id="37" w:name="_Toc26845"/>
      <w:bookmarkStart w:id="38" w:name="_Toc14483"/>
      <w:bookmarkStart w:id="39" w:name="_Toc17072"/>
      <w:bookmarkStart w:id="40" w:name="_Toc13583"/>
      <w:bookmarkStart w:id="41" w:name="_Toc28034"/>
      <w:bookmarkStart w:id="42" w:name="_Toc2140"/>
      <w:bookmarkStart w:id="43" w:name="_Toc15791"/>
      <w:r>
        <w:rPr>
          <w:rFonts w:hint="eastAsia" w:ascii="仿宋" w:hAnsi="仿宋" w:eastAsia="仿宋" w:cs="仿宋"/>
          <w:b/>
          <w:bCs/>
          <w:color w:val="auto"/>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ascii="仿宋" w:hAnsi="仿宋" w:eastAsia="仿宋" w:cs="仿宋"/>
          <w:b/>
          <w:bCs/>
          <w:color w:val="auto"/>
          <w:kern w:val="1"/>
          <w:sz w:val="24"/>
          <w:szCs w:val="24"/>
          <w:lang w:eastAsia="zh-CN"/>
        </w:rPr>
        <w:t>、</w:t>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10"/>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10"/>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10"/>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10"/>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5230283D">
      <w:pPr>
        <w:pStyle w:val="4"/>
        <w:spacing w:line="360" w:lineRule="auto"/>
        <w:outlineLvl w:val="0"/>
        <w:rPr>
          <w:rFonts w:hint="eastAsia" w:ascii="仿宋" w:hAnsi="仿宋" w:eastAsia="仿宋" w:cs="仿宋"/>
          <w:b/>
          <w:bCs w:val="0"/>
          <w:iCs/>
          <w:sz w:val="24"/>
          <w:szCs w:val="24"/>
        </w:rPr>
      </w:pPr>
      <w:r>
        <w:rPr>
          <w:rFonts w:hint="eastAsia" w:ascii="仿宋" w:hAnsi="仿宋" w:eastAsia="仿宋" w:cs="仿宋"/>
          <w:b/>
          <w:bCs w:val="0"/>
          <w:iCs/>
          <w:sz w:val="24"/>
          <w:szCs w:val="24"/>
          <w:lang w:val="en-US" w:eastAsia="zh-CN"/>
        </w:rPr>
        <w:t>6、</w:t>
      </w:r>
      <w:r>
        <w:rPr>
          <w:rFonts w:hint="eastAsia" w:ascii="仿宋" w:hAnsi="仿宋" w:eastAsia="仿宋" w:cs="仿宋"/>
          <w:b/>
          <w:bCs w:val="0"/>
          <w:iCs/>
          <w:sz w:val="24"/>
          <w:szCs w:val="24"/>
        </w:rPr>
        <w:t>本项目为专门面向中小企业采购的采购项目，仅限符合《政府采购促进中小企业发展办法》（财库〔2020〕46 号）条件的中小企业参与，投标人应填写中小企业声明函并对真实性负责。</w:t>
      </w:r>
    </w:p>
    <w:p w14:paraId="2F49B70B">
      <w:pPr>
        <w:spacing w:line="360" w:lineRule="auto"/>
        <w:jc w:val="center"/>
        <w:rPr>
          <w:rFonts w:ascii="仿宋" w:hAnsi="仿宋" w:eastAsia="仿宋" w:cs="仿宋_GB2312"/>
          <w:b/>
          <w:sz w:val="24"/>
          <w:szCs w:val="24"/>
        </w:rPr>
      </w:pPr>
      <w:r>
        <w:rPr>
          <w:rFonts w:hint="eastAsia" w:ascii="仿宋" w:hAnsi="仿宋" w:eastAsia="仿宋" w:cs="仿宋_GB2312"/>
          <w:b/>
          <w:sz w:val="24"/>
          <w:szCs w:val="24"/>
        </w:rPr>
        <w:t>中小企业声明函（服务）</w:t>
      </w:r>
    </w:p>
    <w:p w14:paraId="3BE1C294">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rPr>
        <w:t>（单位名称）</w:t>
      </w:r>
      <w:r>
        <w:rPr>
          <w:rFonts w:hint="eastAsia" w:ascii="仿宋" w:hAnsi="仿宋" w:eastAsia="仿宋" w:cs="仿宋"/>
          <w:kern w:val="0"/>
          <w:sz w:val="24"/>
          <w:szCs w:val="24"/>
        </w:rPr>
        <w:t>的</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2990B4A3">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i/>
          <w:iCs/>
          <w:kern w:val="0"/>
          <w:sz w:val="24"/>
          <w:szCs w:val="24"/>
          <w:u w:val="single"/>
        </w:rPr>
        <w:t xml:space="preserve">（标的名称） </w:t>
      </w:r>
      <w:r>
        <w:rPr>
          <w:rFonts w:hint="eastAsia" w:ascii="仿宋" w:hAnsi="仿宋" w:eastAsia="仿宋" w:cs="仿宋"/>
          <w:kern w:val="0"/>
          <w:sz w:val="24"/>
          <w:szCs w:val="24"/>
        </w:rPr>
        <w:t>，属于</w:t>
      </w:r>
      <w:r>
        <w:rPr>
          <w:rFonts w:hint="eastAsia" w:ascii="仿宋" w:hAnsi="仿宋" w:eastAsia="仿宋" w:cs="仿宋"/>
          <w:i/>
          <w:iCs/>
          <w:kern w:val="0"/>
          <w:sz w:val="24"/>
          <w:szCs w:val="24"/>
          <w:u w:val="single"/>
        </w:rPr>
        <w:t>（</w:t>
      </w:r>
      <w:r>
        <w:rPr>
          <w:rFonts w:hint="eastAsia" w:ascii="仿宋" w:hAnsi="仿宋" w:eastAsia="仿宋" w:cs="仿宋"/>
          <w:i/>
          <w:iCs/>
          <w:kern w:val="0"/>
          <w:sz w:val="24"/>
          <w:szCs w:val="24"/>
          <w:u w:val="single"/>
          <w:lang w:val="en-US" w:eastAsia="zh-CN"/>
        </w:rPr>
        <w:t>批发业</w:t>
      </w:r>
      <w:r>
        <w:rPr>
          <w:rFonts w:hint="eastAsia" w:ascii="仿宋" w:hAnsi="仿宋" w:eastAsia="仿宋" w:cs="仿宋"/>
          <w:i/>
          <w:iCs/>
          <w:kern w:val="0"/>
          <w:sz w:val="24"/>
          <w:szCs w:val="24"/>
          <w:u w:val="single"/>
        </w:rPr>
        <w:t>）</w:t>
      </w:r>
      <w:r>
        <w:rPr>
          <w:rFonts w:hint="eastAsia" w:ascii="仿宋" w:hAnsi="仿宋" w:eastAsia="仿宋" w:cs="仿宋"/>
          <w:kern w:val="0"/>
          <w:sz w:val="24"/>
          <w:szCs w:val="24"/>
        </w:rPr>
        <w:t>；承建（承接）企业为</w:t>
      </w:r>
      <w:r>
        <w:rPr>
          <w:rFonts w:hint="eastAsia" w:ascii="仿宋" w:hAnsi="仿宋" w:eastAsia="仿宋" w:cs="仿宋"/>
          <w:i/>
          <w:iCs/>
          <w:kern w:val="0"/>
          <w:sz w:val="24"/>
          <w:szCs w:val="24"/>
          <w:u w:val="single"/>
        </w:rPr>
        <w:t>（企业名称）</w:t>
      </w:r>
      <w:r>
        <w:rPr>
          <w:rFonts w:hint="eastAsia" w:ascii="仿宋" w:hAnsi="仿宋" w:eastAsia="仿宋" w:cs="仿宋"/>
          <w:kern w:val="0"/>
          <w:sz w:val="24"/>
          <w:szCs w:val="24"/>
        </w:rPr>
        <w:t>，从业人员</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人，营业收入为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万元，资产总额为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万元，属于</w:t>
      </w:r>
      <w:r>
        <w:rPr>
          <w:rFonts w:hint="eastAsia" w:ascii="仿宋" w:hAnsi="仿宋" w:eastAsia="仿宋" w:cs="仿宋"/>
          <w:i/>
          <w:iCs/>
          <w:kern w:val="0"/>
          <w:sz w:val="24"/>
          <w:szCs w:val="24"/>
          <w:u w:val="single"/>
        </w:rPr>
        <w:t>（中型企业、小型企业、微型企业）</w:t>
      </w:r>
      <w:r>
        <w:rPr>
          <w:rFonts w:hint="eastAsia" w:ascii="仿宋" w:hAnsi="仿宋" w:eastAsia="仿宋" w:cs="仿宋"/>
          <w:kern w:val="0"/>
          <w:sz w:val="24"/>
          <w:szCs w:val="24"/>
        </w:rPr>
        <w:t xml:space="preserve">； </w:t>
      </w:r>
    </w:p>
    <w:p w14:paraId="1DB22FA1">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以上企业，不属于大企业的分支机构，不存在控股股东为大企业的情形，也不存在与大企业的负责人为同一人的情形。</w:t>
      </w:r>
    </w:p>
    <w:p w14:paraId="69C069EE">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 xml:space="preserve">本企业对上述声明内容的真实性负责。如有虚假，将依 法承担相应责任。 </w:t>
      </w:r>
    </w:p>
    <w:p w14:paraId="2371F03E">
      <w:pPr>
        <w:widowControl/>
        <w:spacing w:line="360" w:lineRule="auto"/>
        <w:jc w:val="center"/>
        <w:rPr>
          <w:rFonts w:ascii="仿宋" w:hAnsi="仿宋" w:eastAsia="仿宋" w:cs="仿宋"/>
          <w:kern w:val="0"/>
          <w:sz w:val="24"/>
          <w:szCs w:val="24"/>
        </w:rPr>
      </w:pPr>
    </w:p>
    <w:p w14:paraId="269C312F">
      <w:pPr>
        <w:widowControl/>
        <w:spacing w:line="360" w:lineRule="auto"/>
        <w:jc w:val="center"/>
        <w:rPr>
          <w:rFonts w:ascii="仿宋" w:hAnsi="仿宋" w:eastAsia="仿宋" w:cs="仿宋"/>
          <w:sz w:val="24"/>
          <w:szCs w:val="24"/>
        </w:rPr>
      </w:pPr>
      <w:r>
        <w:rPr>
          <w:rFonts w:hint="eastAsia" w:ascii="仿宋" w:hAnsi="仿宋" w:eastAsia="仿宋" w:cs="仿宋"/>
          <w:kern w:val="0"/>
          <w:sz w:val="24"/>
          <w:szCs w:val="24"/>
        </w:rPr>
        <w:t xml:space="preserve">                        企业名称（盖章）：</w:t>
      </w:r>
    </w:p>
    <w:p w14:paraId="769588D1">
      <w:pPr>
        <w:widowControl/>
        <w:spacing w:line="360" w:lineRule="auto"/>
        <w:jc w:val="center"/>
        <w:rPr>
          <w:rFonts w:ascii="仿宋" w:hAnsi="仿宋" w:eastAsia="仿宋" w:cs="仿宋"/>
          <w:sz w:val="24"/>
          <w:szCs w:val="24"/>
        </w:rPr>
      </w:pPr>
      <w:r>
        <w:rPr>
          <w:rFonts w:hint="eastAsia" w:ascii="仿宋" w:hAnsi="仿宋" w:eastAsia="仿宋" w:cs="仿宋"/>
          <w:kern w:val="0"/>
          <w:sz w:val="24"/>
          <w:szCs w:val="24"/>
        </w:rPr>
        <w:t xml:space="preserve">                              日 期：</w:t>
      </w:r>
    </w:p>
    <w:p w14:paraId="5451BE62">
      <w:pPr>
        <w:jc w:val="center"/>
        <w:rPr>
          <w:rFonts w:ascii="仿宋" w:hAnsi="仿宋" w:eastAsia="仿宋" w:cs="仿宋"/>
          <w:kern w:val="0"/>
          <w:szCs w:val="21"/>
        </w:rPr>
      </w:pPr>
      <w:r>
        <w:rPr>
          <w:rFonts w:hint="eastAsia" w:ascii="仿宋" w:hAnsi="仿宋" w:eastAsia="仿宋" w:cs="仿宋"/>
          <w:kern w:val="0"/>
          <w:szCs w:val="21"/>
        </w:rPr>
        <w:t>从业人员、营业收入、资产总额填报上一年度数据，无上一年度数据的新成立企业可不填报。</w:t>
      </w:r>
    </w:p>
    <w:p w14:paraId="422B8847">
      <w:pPr>
        <w:rPr>
          <w:rFonts w:hint="eastAsia" w:ascii="仿宋" w:hAnsi="仿宋" w:eastAsia="仿宋" w:cs="仿宋"/>
          <w:kern w:val="0"/>
          <w:szCs w:val="21"/>
        </w:rPr>
      </w:pPr>
    </w:p>
    <w:p w14:paraId="7A990BF4">
      <w:pPr>
        <w:rPr>
          <w:rFonts w:hint="eastAsia" w:ascii="仿宋" w:hAnsi="仿宋" w:eastAsia="仿宋" w:cs="仿宋"/>
          <w:kern w:val="0"/>
          <w:szCs w:val="21"/>
        </w:rPr>
      </w:pPr>
      <w:r>
        <w:rPr>
          <w:rFonts w:hint="eastAsia" w:ascii="仿宋" w:hAnsi="仿宋" w:eastAsia="仿宋" w:cs="仿宋"/>
          <w:kern w:val="0"/>
          <w:szCs w:val="21"/>
        </w:rPr>
        <w:t>备注：本项目界定行业为</w:t>
      </w:r>
      <w:r>
        <w:rPr>
          <w:rFonts w:hint="eastAsia" w:ascii="仿宋" w:hAnsi="仿宋" w:eastAsia="仿宋" w:cs="仿宋"/>
          <w:kern w:val="0"/>
          <w:szCs w:val="21"/>
          <w:lang w:val="en-US" w:eastAsia="zh-CN"/>
        </w:rPr>
        <w:t>批发业</w:t>
      </w:r>
      <w:r>
        <w:rPr>
          <w:rFonts w:hint="eastAsia" w:ascii="仿宋" w:hAnsi="仿宋" w:eastAsia="仿宋" w:cs="仿宋"/>
          <w:kern w:val="0"/>
          <w:szCs w:val="21"/>
        </w:rPr>
        <w:t>。</w:t>
      </w:r>
    </w:p>
    <w:p w14:paraId="0D957EFE">
      <w:pPr>
        <w:spacing w:line="360" w:lineRule="auto"/>
        <w:outlineLvl w:val="9"/>
        <w:rPr>
          <w:rFonts w:hint="eastAsia" w:ascii="仿宋" w:hAnsi="仿宋" w:eastAsia="仿宋" w:cs="仿宋"/>
          <w:kern w:val="0"/>
          <w:szCs w:val="21"/>
        </w:rPr>
      </w:pPr>
      <w:r>
        <w:rPr>
          <w:rFonts w:hint="eastAsia" w:ascii="仿宋" w:hAnsi="仿宋" w:eastAsia="仿宋" w:cs="仿宋"/>
          <w:kern w:val="0"/>
          <w:szCs w:val="21"/>
        </w:rPr>
        <w:t>中小企业判别标准如下：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6FF7D80D">
      <w:pPr>
        <w:rPr>
          <w:rFonts w:hint="eastAsia" w:ascii="仿宋" w:hAnsi="仿宋" w:eastAsia="仿宋" w:cs="仿宋"/>
          <w:kern w:val="0"/>
          <w:szCs w:val="21"/>
        </w:rPr>
      </w:pPr>
      <w:r>
        <w:rPr>
          <w:rFonts w:hint="eastAsia" w:ascii="仿宋" w:hAnsi="仿宋" w:eastAsia="仿宋" w:cs="仿宋"/>
          <w:kern w:val="0"/>
          <w:szCs w:val="21"/>
        </w:rPr>
        <w:br w:type="page"/>
      </w:r>
    </w:p>
    <w:p w14:paraId="79E2716D">
      <w:pPr>
        <w:pStyle w:val="2"/>
        <w:ind w:left="0" w:leftChars="0" w:firstLine="0" w:firstLineChars="0"/>
        <w:outlineLvl w:val="0"/>
        <w:rPr>
          <w:rFonts w:hint="eastAsia"/>
        </w:rPr>
      </w:pPr>
      <w:r>
        <w:rPr>
          <w:rFonts w:hint="eastAsia" w:ascii="仿宋" w:hAnsi="仿宋" w:eastAsia="仿宋" w:cs="仿宋"/>
          <w:b w:val="0"/>
          <w:bCs w:val="0"/>
          <w:color w:val="auto"/>
          <w:sz w:val="24"/>
          <w:szCs w:val="24"/>
          <w:lang w:val="en-US" w:eastAsia="zh-CN"/>
        </w:rPr>
        <w:t>7、</w:t>
      </w:r>
      <w:r>
        <w:rPr>
          <w:rFonts w:hint="eastAsia" w:ascii="仿宋" w:hAnsi="仿宋" w:eastAsia="仿宋" w:cs="仿宋"/>
          <w:b w:val="0"/>
          <w:bCs w:val="0"/>
          <w:color w:val="auto"/>
          <w:sz w:val="24"/>
          <w:szCs w:val="24"/>
        </w:rPr>
        <w:t>供应商要求</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供应商具备有效的食品经营许可证。</w:t>
      </w:r>
      <w:bookmarkStart w:id="44" w:name="_GoBack"/>
      <w:bookmarkEnd w:id="4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B1D76"/>
    <w:multiLevelType w:val="singleLevel"/>
    <w:tmpl w:val="9FAB1D7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39EA2B7D"/>
    <w:rsid w:val="3B6A197D"/>
    <w:rsid w:val="3B6A70A7"/>
    <w:rsid w:val="3F422D66"/>
    <w:rsid w:val="486F273F"/>
    <w:rsid w:val="4B751DCD"/>
    <w:rsid w:val="4C6360CA"/>
    <w:rsid w:val="5BF20271"/>
    <w:rsid w:val="62A0377C"/>
    <w:rsid w:val="66421459"/>
    <w:rsid w:val="69CC6242"/>
    <w:rsid w:val="6ADE0ED7"/>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6">
    <w:name w:val="heading 3"/>
    <w:basedOn w:val="1"/>
    <w:next w:val="1"/>
    <w:qFormat/>
    <w:uiPriority w:val="0"/>
    <w:pPr>
      <w:keepNext/>
      <w:keepLines/>
      <w:spacing w:before="260" w:after="260" w:line="415" w:lineRule="auto"/>
      <w:outlineLvl w:val="2"/>
    </w:pPr>
    <w:rPr>
      <w:b/>
      <w:sz w:val="32"/>
    </w:rPr>
  </w:style>
  <w:style w:type="paragraph" w:styleId="7">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b w:val="0"/>
      <w:kern w:val="0"/>
      <w:sz w:val="21"/>
    </w:rPr>
  </w:style>
  <w:style w:type="paragraph" w:styleId="3">
    <w:name w:val="Body Text"/>
    <w:basedOn w:val="1"/>
    <w:next w:val="1"/>
    <w:qFormat/>
    <w:uiPriority w:val="0"/>
    <w:rPr>
      <w:b/>
      <w:sz w:val="28"/>
    </w:rPr>
  </w:style>
  <w:style w:type="paragraph" w:styleId="8">
    <w:name w:val="Plain Text"/>
    <w:basedOn w:val="1"/>
    <w:qFormat/>
    <w:uiPriority w:val="0"/>
    <w:rPr>
      <w:rFonts w:ascii="宋体" w:hAnsi="Courier New"/>
      <w:kern w:val="0"/>
      <w:sz w:val="20"/>
      <w:szCs w:val="20"/>
    </w:rPr>
  </w:style>
  <w:style w:type="paragraph" w:styleId="9">
    <w:name w:val="toc 1"/>
    <w:basedOn w:val="1"/>
    <w:next w:val="1"/>
    <w:qFormat/>
    <w:uiPriority w:val="39"/>
    <w:pPr>
      <w:spacing w:before="120" w:beforeLines="0" w:after="120" w:afterLines="0"/>
      <w:jc w:val="left"/>
    </w:pPr>
    <w:rPr>
      <w:b/>
      <w:bCs/>
      <w:caps/>
      <w:sz w:val="20"/>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1553</Words>
  <Characters>1569</Characters>
  <Lines>0</Lines>
  <Paragraphs>0</Paragraphs>
  <TotalTime>0</TotalTime>
  <ScaleCrop>false</ScaleCrop>
  <LinksUpToDate>false</LinksUpToDate>
  <CharactersWithSpaces>1953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2025-07-09T09:16:50Z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