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版本号：240711001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科技型中小企业培育库建设项目</w:t>
      </w:r>
    </w:p>
    <w:p>
      <w:pPr>
        <w:pStyle w:val="null3"/>
        <w:jc w:val="center"/>
        <w:outlineLvl w:val="2"/>
      </w:pPr>
      <w:r>
        <w:rPr>
          <w:sz w:val="28"/>
          <w:b/>
        </w:rPr>
        <w:t>采购项目编号：</w:t>
      </w:r>
      <w:r>
        <w:rPr>
          <w:sz w:val="28"/>
          <w:b/>
        </w:rPr>
        <w:t>SZT2024-SN-QC-ZC-FW-0499</w:t>
      </w:r>
      <w:r>
        <w:br/>
      </w:r>
      <w:r>
        <w:br/>
      </w:r>
      <w:r>
        <w:br/>
      </w:r>
    </w:p>
    <w:p>
      <w:pPr>
        <w:pStyle w:val="null3"/>
        <w:jc w:val="center"/>
        <w:outlineLvl w:val="2"/>
      </w:pPr>
      <w:r>
        <w:rPr>
          <w:sz w:val="28"/>
          <w:b/>
        </w:rPr>
        <w:t>西安经济技术开发区科技创新与新经济发展局</w:t>
      </w:r>
    </w:p>
    <w:p>
      <w:pPr>
        <w:pStyle w:val="null3"/>
        <w:jc w:val="center"/>
        <w:outlineLvl w:val="2"/>
      </w:pPr>
      <w:r>
        <w:rPr>
          <w:sz w:val="28"/>
          <w:b/>
        </w:rPr>
        <w:t>陕西中技招标有限公司</w:t>
      </w:r>
      <w:r>
        <w:rPr>
          <w:sz w:val="28"/>
          <w:b/>
        </w:rPr>
        <w:t>共同编制</w:t>
      </w:r>
    </w:p>
    <w:p>
      <w:pPr>
        <w:pStyle w:val="null3"/>
        <w:jc w:val="center"/>
        <w:outlineLvl w:val="2"/>
      </w:pPr>
      <w:r>
        <w:rPr>
          <w:sz w:val="28"/>
          <w:b/>
        </w:rPr>
        <w:t>2024年07月11日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陕西中技招标有限公司</w:t>
      </w:r>
      <w:r>
        <w:rPr/>
        <w:t>（以下简称“代理机构”）受</w:t>
      </w:r>
      <w:r>
        <w:rPr/>
        <w:t>西安经济技术开发区科技创新与新经济发展局</w:t>
      </w:r>
      <w:r>
        <w:rPr/>
        <w:t>委托，拟对</w:t>
      </w:r>
      <w:r>
        <w:rPr/>
        <w:t>科技型中小企业培育库建设项目</w:t>
      </w:r>
      <w:r>
        <w:rPr/>
        <w:t>采用竞争性磋商采购方式进行采购，兹邀请供应商参加本项目的竞争性磋商。</w:t>
      </w:r>
    </w:p>
    <w:p>
      <w:pPr>
        <w:pStyle w:val="null3"/>
        <w:outlineLvl w:val="2"/>
      </w:pPr>
      <w:r>
        <w:rPr>
          <w:sz w:val="28"/>
          <w:b/>
        </w:rPr>
        <w:t>一、项目编号：</w:t>
      </w:r>
      <w:r>
        <w:rPr>
          <w:sz w:val="28"/>
          <w:b/>
        </w:rPr>
        <w:t>SZT2024-SN-QC-ZC-FW-0499</w:t>
      </w:r>
    </w:p>
    <w:p>
      <w:pPr>
        <w:pStyle w:val="null3"/>
        <w:outlineLvl w:val="2"/>
      </w:pPr>
      <w:r>
        <w:rPr>
          <w:sz w:val="28"/>
          <w:b/>
        </w:rPr>
        <w:t>二、项目名称：</w:t>
      </w:r>
      <w:r>
        <w:rPr>
          <w:sz w:val="28"/>
          <w:b/>
        </w:rPr>
        <w:t>科技型中小企业培育库建设项目</w:t>
      </w:r>
    </w:p>
    <w:p>
      <w:pPr>
        <w:pStyle w:val="null3"/>
        <w:outlineLvl w:val="2"/>
      </w:pPr>
      <w:r>
        <w:rPr>
          <w:sz w:val="28"/>
          <w:b/>
        </w:rPr>
        <w:t>三、磋商项目简介</w:t>
      </w:r>
    </w:p>
    <w:p>
      <w:pPr>
        <w:pStyle w:val="null3"/>
        <w:ind w:firstLine="480"/>
      </w:pPr>
      <w:r>
        <w:rPr/>
        <w:t>摸排西安经济技术开发区科技企业，梳理研发活动信息，搭建科技型中小企业培育库。深入园区等地开展专场培训会，加强政策宣传。设立现场服务站点，审核指导企业成功通过科技型中小企业评价入库。</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采购包1（科技型中小企业培育库建设项目）：属于专门面向中小企业采购。</w:t>
      </w:r>
    </w:p>
    <w:p>
      <w:pPr>
        <w:pStyle w:val="null3"/>
        <w:ind w:firstLine="480"/>
      </w:pPr>
      <w:r>
        <w:rPr/>
        <w:t>（三）本项目的特定资格要求：</w:t>
      </w:r>
    </w:p>
    <w:p>
      <w:pPr>
        <w:pStyle w:val="null3"/>
      </w:pPr>
      <w:r>
        <w:rPr/>
        <w:t>采购包1：</w:t>
      </w:r>
    </w:p>
    <w:p>
      <w:pPr>
        <w:pStyle w:val="null3"/>
      </w:pPr>
      <w:r>
        <w:rPr/>
        <w:t xml:space="preserve"> 无</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西安经济技术开发区科技创新与新经济发展局</w:t>
      </w:r>
    </w:p>
    <w:p>
      <w:pPr>
        <w:pStyle w:val="null3"/>
      </w:pPr>
      <w:r>
        <w:rPr/>
        <w:t xml:space="preserve"> 地址： </w:t>
      </w:r>
      <w:r>
        <w:rPr/>
        <w:t>陕西省西安市未央区明光路166号凯瑞大厦F座</w:t>
      </w:r>
    </w:p>
    <w:p>
      <w:pPr>
        <w:pStyle w:val="null3"/>
      </w:pPr>
      <w:r>
        <w:rPr/>
        <w:t xml:space="preserve"> 邮编： </w:t>
      </w:r>
      <w:r>
        <w:rPr/>
        <w:t>710005</w:t>
      </w:r>
    </w:p>
    <w:p>
      <w:pPr>
        <w:pStyle w:val="null3"/>
      </w:pPr>
      <w:r>
        <w:rPr/>
        <w:t xml:space="preserve"> 联系人： </w:t>
      </w:r>
      <w:r>
        <w:rPr/>
        <w:t>马骁</w:t>
      </w:r>
    </w:p>
    <w:p>
      <w:pPr>
        <w:pStyle w:val="null3"/>
      </w:pPr>
      <w:r>
        <w:rPr/>
        <w:t xml:space="preserve"> 联系电话： </w:t>
      </w:r>
      <w:r>
        <w:rPr/>
        <w:t>029-89822650</w:t>
      </w:r>
    </w:p>
    <w:p>
      <w:pPr>
        <w:pStyle w:val="null3"/>
        <w:outlineLvl w:val="3"/>
      </w:pPr>
      <w:r>
        <w:rPr>
          <w:sz w:val="24"/>
          <w:b/>
        </w:rPr>
        <w:t>代理机构：</w:t>
      </w:r>
      <w:r>
        <w:rPr>
          <w:sz w:val="24"/>
          <w:b/>
        </w:rPr>
        <w:t>陕西中技招标有限公司</w:t>
      </w:r>
    </w:p>
    <w:p>
      <w:pPr>
        <w:pStyle w:val="null3"/>
      </w:pPr>
      <w:r>
        <w:rPr/>
        <w:t xml:space="preserve"> 地址： </w:t>
      </w:r>
      <w:r>
        <w:rPr/>
        <w:t>西安市高新区高新四路 1 号高科广场 A1001 室</w:t>
      </w:r>
    </w:p>
    <w:p>
      <w:pPr>
        <w:pStyle w:val="null3"/>
      </w:pPr>
      <w:r>
        <w:rPr/>
        <w:t xml:space="preserve"> 邮编： </w:t>
      </w:r>
      <w:r>
        <w:rPr/>
        <w:t>710000</w:t>
      </w:r>
    </w:p>
    <w:p>
      <w:pPr>
        <w:pStyle w:val="null3"/>
      </w:pPr>
      <w:r>
        <w:rPr/>
        <w:t xml:space="preserve"> 联系人： </w:t>
      </w:r>
      <w:r>
        <w:rPr/>
        <w:t>连杰、马帅</w:t>
      </w:r>
    </w:p>
    <w:p>
      <w:pPr>
        <w:pStyle w:val="null3"/>
      </w:pPr>
      <w:r>
        <w:rPr/>
        <w:t xml:space="preserve"> 联系电话： </w:t>
      </w:r>
      <w:r>
        <w:rPr/>
        <w:t>029-88364979-849</w:t>
      </w:r>
    </w:p>
    <w:p>
      <w:pPr>
        <w:pStyle w:val="null3"/>
        <w:outlineLvl w:val="3"/>
      </w:pPr>
      <w:r>
        <w:rPr>
          <w:sz w:val="24"/>
          <w:b/>
        </w:rPr>
        <w:t>采购监督机构：</w:t>
      </w:r>
      <w:r>
        <w:rPr>
          <w:sz w:val="24"/>
          <w:b/>
        </w:rPr>
        <w:t>西安经济技术开发区政府采购管理股</w:t>
      </w:r>
    </w:p>
    <w:p>
      <w:pPr>
        <w:pStyle w:val="null3"/>
        <w:ind w:firstLine="480"/>
      </w:pPr>
      <w:r>
        <w:rPr/>
        <w:t>联系人：</w:t>
      </w:r>
      <w:r>
        <w:rPr/>
        <w:t>邓谷元</w:t>
      </w:r>
    </w:p>
    <w:p>
      <w:pPr>
        <w:pStyle w:val="null3"/>
        <w:ind w:firstLine="480"/>
      </w:pPr>
      <w:r>
        <w:rPr/>
        <w:t>联系电话：</w:t>
      </w:r>
      <w:r>
        <w:rPr/>
        <w:t>86538460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采购包1：305,000.00元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如有</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采购代理服务费的收取参见国家计委颁布的《招标代理服务收费管理暂行办法》（计价格〔2002〕1980号）和（发改办价格〔2003〕857号）收费标准。此采购代理服务费应计入投标中，但不需要单独开列。 开户名称：陕西中技招标有限公司 开户行名称：招商银行西安分行营业部 账 号：129916812810001 转账事由： (编号后四位）项目招标代理服务费 咨询电话：029-88364979-810</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西安经济技术开发区科技创新与新经济发展局</w:t>
      </w:r>
      <w:r>
        <w:rPr/>
        <w:t>和</w:t>
      </w:r>
      <w:r>
        <w:rPr/>
        <w:t>陕西中技招标有限公司</w:t>
      </w:r>
      <w:r>
        <w:rPr/>
        <w:t>享有。对磋商文件中供应商参加本次政府采购活动应当具备的条件，磋商项目技术、服务、商务及其他要求，评审细则及标准由</w:t>
      </w:r>
      <w:r>
        <w:rPr/>
        <w:t>西安经济技术开发区科技创新与新经济发展局</w:t>
      </w:r>
      <w:r>
        <w:rPr/>
        <w:t>负责解释。除上述磋商文件内容，其他内容由</w:t>
      </w:r>
      <w:r>
        <w:rPr/>
        <w:t>陕西中技招标有限公司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西安经济技术开发区科技创新与新经济发展局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陕西中技招标有限公司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详见采购文件。</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陕西中技招标有限公司</w:t>
      </w:r>
      <w:r>
        <w:rPr/>
        <w:t xml:space="preserve"> 负责答复；供应商对除采购需求外的采购文件的询问、质疑由</w:t>
      </w:r>
      <w:r>
        <w:rPr/>
        <w:t>陕西中技招标有限公司</w:t>
      </w:r>
      <w:r>
        <w:rPr/>
        <w:t xml:space="preserve"> 负责答复；供应商对采购过程、采购结果的询问、质疑由 </w:t>
      </w:r>
      <w:r>
        <w:rPr/>
        <w:t>陕西中技招标有限公司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联系人：李工</w:t>
      </w:r>
    </w:p>
    <w:p>
      <w:pPr>
        <w:pStyle w:val="null3"/>
      </w:pPr>
      <w:r>
        <w:rPr/>
        <w:t>联系电话：029-88364979-846</w:t>
      </w:r>
    </w:p>
    <w:p>
      <w:pPr>
        <w:pStyle w:val="null3"/>
      </w:pPr>
      <w:r>
        <w:rPr/>
        <w:t>地址：西安市高新四路1号高科广场A1001室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摸排西安经济技术开发区科技企业，梳理研发活动信息，搭建科技型中小企业培育库。深入园区等地开展专场培训会，加强政策宣传。设立现场服务站点，审核指导企业成功通过科技型中小企业评价入库。</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305,000.00</w:t>
      </w:r>
    </w:p>
    <w:p>
      <w:pPr>
        <w:pStyle w:val="null3"/>
      </w:pPr>
      <w:r>
        <w:rPr/>
        <w:t>采购包最高限价（元）: 305,000.00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科技型中小企业培育库建设项目</w:t>
            </w:r>
          </w:p>
        </w:tc>
        <w:tc>
          <w:tcPr>
            <w:tcW w:type="dxa" w:w="831"/>
          </w:tcPr>
          <w:p>
            <w:pPr>
              <w:pStyle w:val="null3"/>
              <w:jc w:val="right"/>
            </w:pPr>
            <w:r>
              <w:rPr/>
              <w:t>1.00</w:t>
            </w:r>
          </w:p>
        </w:tc>
        <w:tc>
          <w:tcPr>
            <w:tcW w:type="dxa" w:w="831"/>
          </w:tcPr>
          <w:p>
            <w:pPr>
              <w:pStyle w:val="null3"/>
              <w:jc w:val="right"/>
            </w:pPr>
            <w:r>
              <w:rPr/>
              <w:t>305,000.00</w:t>
            </w:r>
          </w:p>
        </w:tc>
        <w:tc>
          <w:tcPr>
            <w:tcW w:type="dxa" w:w="831"/>
          </w:tcPr>
          <w:p>
            <w:pPr>
              <w:pStyle w:val="null3"/>
            </w:pPr>
            <w:r>
              <w:rPr/>
              <w:t>项</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标的名称：科技型中小企业培育库建设项目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simsun" w:hAnsi="simsun" w:cs="simsun" w:eastAsia="simsun"/>
              </w:rPr>
              <w:t>1、</w:t>
            </w:r>
            <w:r>
              <w:rPr>
                <w:rFonts w:ascii="simsun" w:hAnsi="simsun" w:cs="simsun" w:eastAsia="simsun"/>
                <w:sz w:val="21"/>
              </w:rPr>
              <w:t>走访摸排西安经济技术开发区5万余家市场主体，梳理近两年营收低于2亿元且具有研发活动的企业信息，搭建经开区科技型中小企业培育库。</w:t>
            </w:r>
          </w:p>
          <w:p>
            <w:pPr>
              <w:pStyle w:val="null3"/>
            </w:pPr>
            <w:r>
              <w:rPr>
                <w:rFonts w:ascii="simsun" w:hAnsi="simsun" w:cs="simsun" w:eastAsia="simsun"/>
              </w:rPr>
              <w:t>2、</w:t>
            </w:r>
            <w:r>
              <w:rPr>
                <w:rFonts w:ascii="simsun" w:hAnsi="simsun" w:cs="simsun" w:eastAsia="simsun"/>
                <w:sz w:val="21"/>
              </w:rPr>
              <w:t>深入各园区、孵化器、重点企业开展不少于3场专场培训会，加强税收优惠政策宣传。</w:t>
            </w:r>
          </w:p>
          <w:p>
            <w:pPr>
              <w:pStyle w:val="null3"/>
            </w:pPr>
            <w:r>
              <w:rPr>
                <w:rFonts w:ascii="simsun" w:hAnsi="simsun" w:cs="simsun" w:eastAsia="simsun"/>
              </w:rPr>
              <w:t>3、</w:t>
            </w:r>
            <w:r>
              <w:rPr>
                <w:rFonts w:ascii="simsun" w:hAnsi="simsun" w:cs="simsun" w:eastAsia="simsun"/>
                <w:sz w:val="21"/>
              </w:rPr>
              <w:t>设立入库服务站点，提供现场填报辅导，并对企业申报资料的真实性、合规性进行复核、分析，针对企业填报问题进行一对一指导，协助企业顺利登记，确保不少于1850家企业成功通过科技型中小企业评价库。</w:t>
            </w:r>
          </w:p>
          <w:p>
            <w:pPr>
              <w:pStyle w:val="null3"/>
            </w:pPr>
            <w:r>
              <w:rPr>
                <w:rFonts w:ascii="simsun" w:hAnsi="simsun" w:cs="simsun" w:eastAsia="simsun"/>
              </w:rPr>
              <w:t>4、</w:t>
            </w:r>
            <w:r>
              <w:rPr>
                <w:rFonts w:ascii="simsun" w:hAnsi="simsun" w:cs="simsun" w:eastAsia="simsun"/>
                <w:sz w:val="21"/>
              </w:rPr>
              <w:t>依托培育库进行数据分析，筛选活跃度较高的科技型企业，形成动态名单，为企业梯队培育，开展科技成果转化、研发投入等方面工作提供有力支撑。</w:t>
            </w:r>
          </w:p>
          <w:p>
            <w:pPr>
              <w:pStyle w:val="null3"/>
            </w:pPr>
            <w:r>
              <w:rPr>
                <w:rFonts w:ascii="simsun" w:hAnsi="simsun" w:cs="simsun" w:eastAsia="simsun"/>
              </w:rPr>
              <w:t>5、</w:t>
            </w:r>
            <w:r>
              <w:rPr>
                <w:rFonts w:ascii="simsun" w:hAnsi="simsun" w:cs="simsun" w:eastAsia="simsun"/>
                <w:sz w:val="21"/>
              </w:rPr>
              <w:t>配合完成科技型中小企业相关业务电话通知、数据梳理等日常工作。</w:t>
            </w:r>
          </w:p>
        </w:tc>
      </w:tr>
    </w:tbl>
    <w:p>
      <w:pPr>
        <w:pStyle w:val="null3"/>
        <w:outlineLvl w:val="2"/>
      </w:pPr>
      <w:r>
        <w:rPr>
          <w:sz w:val="28"/>
          <w:b/>
        </w:rPr>
        <w:t>3.2.3人员配置要求</w:t>
      </w:r>
    </w:p>
    <w:p>
      <w:pPr>
        <w:pStyle w:val="null3"/>
      </w:pPr>
      <w:r>
        <w:rPr/>
        <w:t>采购包1：</w:t>
      </w:r>
    </w:p>
    <w:p>
      <w:pPr>
        <w:pStyle w:val="null3"/>
      </w:pPr>
      <w:r>
        <w:rPr/>
        <w:t>详见采购内容及要求。</w:t>
      </w:r>
    </w:p>
    <w:p>
      <w:pPr>
        <w:pStyle w:val="null3"/>
        <w:outlineLvl w:val="2"/>
      </w:pPr>
      <w:r>
        <w:rPr>
          <w:sz w:val="28"/>
          <w:b/>
        </w:rPr>
        <w:t>3.2.4设施设备要求</w:t>
      </w:r>
    </w:p>
    <w:p>
      <w:pPr>
        <w:pStyle w:val="null3"/>
      </w:pPr>
      <w:r>
        <w:rPr/>
        <w:t>采购包1：</w:t>
      </w:r>
    </w:p>
    <w:p>
      <w:pPr>
        <w:pStyle w:val="null3"/>
      </w:pPr>
      <w:r>
        <w:rPr/>
        <w:t>详见采购内容及要求。</w:t>
      </w:r>
    </w:p>
    <w:p>
      <w:pPr>
        <w:pStyle w:val="null3"/>
        <w:outlineLvl w:val="2"/>
      </w:pPr>
      <w:r>
        <w:rPr>
          <w:sz w:val="28"/>
          <w:b/>
        </w:rPr>
        <w:t>3.2.5其他要求</w:t>
      </w:r>
    </w:p>
    <w:p>
      <w:pPr>
        <w:pStyle w:val="null3"/>
      </w:pPr>
      <w:r>
        <w:rPr/>
        <w:t>采购包1：</w:t>
      </w:r>
    </w:p>
    <w:p>
      <w:pPr>
        <w:pStyle w:val="null3"/>
      </w:pPr>
      <w:r>
        <w:rPr/>
        <w:t>详见采购内容及要求。</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合同签订之日起至2024年12月31日</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 （二）乙方向甲方提交服务实施过程中的所有资料。以便甲方日后管理和维护。 （三）验收依据： 1、磋商文件、响应文件、澄清表（函）； 2、本合同及附件文本； 3、国家相应的标准、规范。</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合同签订后一个月内，乙方向甲方提供等额增值税发票</w:t>
      </w:r>
      <w:r>
        <w:rPr/>
        <w:t xml:space="preserve"> ，达到付款条件起 </w:t>
      </w:r>
      <w:r>
        <w:rPr/>
        <w:t>30</w:t>
      </w:r>
      <w:r>
        <w:rPr/>
        <w:t xml:space="preserve"> 日内，支付合同总金额的 </w:t>
      </w:r>
      <w:r>
        <w:rPr/>
        <w:t>70.00</w:t>
      </w:r>
      <w:r>
        <w:rPr/>
        <w:t>%。</w:t>
      </w:r>
    </w:p>
    <w:p>
      <w:pPr>
        <w:pStyle w:val="null3"/>
      </w:pPr>
      <w:r>
        <w:rPr/>
        <w:t>采购包1：</w:t>
      </w:r>
      <w:r>
        <w:rPr/>
        <w:t xml:space="preserve"> 付款条件说明： </w:t>
      </w:r>
      <w:r>
        <w:rPr/>
        <w:t>合同履行结束，乙方完成所有服务内容，并提交合格的成果资料，经甲方验收合格后，乙方向甲方提供等额增值税发票</w:t>
      </w:r>
      <w:r>
        <w:rPr/>
        <w:t xml:space="preserve"> ，达到付款条件起 </w:t>
      </w:r>
      <w:r>
        <w:rPr/>
        <w:t>30</w:t>
      </w:r>
      <w:r>
        <w:rPr/>
        <w:t xml:space="preserve"> 日内，支付合同总金额的 </w:t>
      </w:r>
      <w:r>
        <w:rPr/>
        <w:t>30.00</w:t>
      </w:r>
      <w:r>
        <w:rPr/>
        <w:t>%。</w:t>
      </w:r>
    </w:p>
    <w:p>
      <w:pPr>
        <w:pStyle w:val="null3"/>
        <w:outlineLvl w:val="3"/>
      </w:pPr>
      <w:r>
        <w:rPr>
          <w:sz w:val="24"/>
          <w:b/>
        </w:rPr>
        <w:t>3.3.6违约责任及解决争议的方法</w:t>
      </w:r>
    </w:p>
    <w:p>
      <w:pPr>
        <w:pStyle w:val="null3"/>
      </w:pPr>
      <w:r>
        <w:rPr/>
        <w:t>采购包1：</w:t>
      </w:r>
    </w:p>
    <w:p>
      <w:pPr>
        <w:pStyle w:val="null3"/>
      </w:pPr>
      <w:r>
        <w:rPr/>
        <w:t>详见合同。</w:t>
      </w:r>
    </w:p>
    <w:p>
      <w:pPr>
        <w:pStyle w:val="null3"/>
        <w:outlineLvl w:val="2"/>
      </w:pPr>
      <w:r>
        <w:rPr>
          <w:sz w:val="28"/>
          <w:b/>
        </w:rPr>
        <w:t>3.4其他要求</w:t>
      </w:r>
    </w:p>
    <w:p>
      <w:pPr>
        <w:pStyle w:val="null3"/>
      </w:pPr>
      <w:r>
        <w:rPr/>
        <w:t>1、为顺利推进政府采购电子化交易平台试点应用工作，供应商需要在线提交所有通过电子化交易平台实施的政府采购项目的投标文件，同时，线下提交投标文件正本 壹 份、副本 贰套、电子版壹 套（U盘一套标明供应商名称，随正本密封）。若系统电子投标文件与纸质投标文件不一致的，以系统电子投标文件为准。 2、定标环节采购人有权对投标文件承诺响应的内容进行复核，如有虚假响应，一经发现，取消成交资格并上报财政主管部门，列入政府采购黑名单。</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响应文件封面 资格响应表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资格响应表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资格响应表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 磋商报价表及分项报价表</w:t>
            </w:r>
          </w:p>
        </w:tc>
      </w:tr>
      <w:tr>
        <w:tc>
          <w:tcPr>
            <w:tcW w:type="dxa" w:w="831"/>
          </w:tcPr>
          <w:p>
            <w:pPr>
              <w:pStyle w:val="null3"/>
            </w:pPr>
            <w:r>
              <w:rPr/>
              <w:t>2</w:t>
            </w:r>
          </w:p>
        </w:tc>
        <w:tc>
          <w:tcPr>
            <w:tcW w:type="dxa" w:w="2492"/>
          </w:tcPr>
          <w:p>
            <w:pPr>
              <w:pStyle w:val="null3"/>
            </w:pPr>
            <w:r>
              <w:rPr/>
              <w:t>（1）付款方式、服务期限是否完全响应；（2）响应文件有效期是否合格；</w:t>
            </w:r>
          </w:p>
        </w:tc>
        <w:tc>
          <w:tcPr>
            <w:tcW w:type="dxa" w:w="3322"/>
          </w:tcPr>
          <w:p>
            <w:pPr>
              <w:pStyle w:val="null3"/>
            </w:pPr>
            <w:r>
              <w:rPr/>
              <w:t>（1）付款方式、服务期限是否完全响应； （2）响应文件有效期是否合格；</w:t>
            </w:r>
          </w:p>
        </w:tc>
        <w:tc>
          <w:tcPr>
            <w:tcW w:type="dxa" w:w="1661"/>
          </w:tcPr>
          <w:p>
            <w:pPr>
              <w:pStyle w:val="null3"/>
            </w:pPr>
            <w:r>
              <w:rPr/>
              <w:t>商务及服务要求偏离表</w:t>
            </w:r>
          </w:p>
        </w:tc>
      </w:tr>
      <w:tr>
        <w:tc>
          <w:tcPr>
            <w:tcW w:type="dxa" w:w="831"/>
          </w:tcPr>
          <w:p>
            <w:pPr>
              <w:pStyle w:val="null3"/>
            </w:pPr>
            <w:r>
              <w:rPr/>
              <w:t>3</w:t>
            </w:r>
          </w:p>
        </w:tc>
        <w:tc>
          <w:tcPr>
            <w:tcW w:type="dxa" w:w="2492"/>
          </w:tcPr>
          <w:p>
            <w:pPr>
              <w:pStyle w:val="null3"/>
            </w:pPr>
            <w:r>
              <w:rPr/>
              <w:t>服务要求响应性审查</w:t>
            </w:r>
          </w:p>
        </w:tc>
        <w:tc>
          <w:tcPr>
            <w:tcW w:type="dxa" w:w="3322"/>
          </w:tcPr>
          <w:p>
            <w:pPr>
              <w:pStyle w:val="null3"/>
            </w:pPr>
            <w:r>
              <w:rPr/>
              <w:t>磋商响应文件是否满足采购要求</w:t>
            </w:r>
          </w:p>
        </w:tc>
        <w:tc>
          <w:tcPr>
            <w:tcW w:type="dxa" w:w="1661"/>
          </w:tcPr>
          <w:p>
            <w:pPr>
              <w:pStyle w:val="null3"/>
            </w:pPr>
            <w:r>
              <w:rPr/>
              <w:t>商务及服务要求偏离表</w:t>
            </w:r>
          </w:p>
        </w:tc>
      </w:tr>
      <w:tr>
        <w:tc>
          <w:tcPr>
            <w:tcW w:type="dxa" w:w="831"/>
          </w:tcPr>
          <w:p>
            <w:pPr>
              <w:pStyle w:val="null3"/>
            </w:pPr>
            <w:r>
              <w:rPr/>
              <w:t>4</w:t>
            </w:r>
          </w:p>
        </w:tc>
        <w:tc>
          <w:tcPr>
            <w:tcW w:type="dxa" w:w="2492"/>
          </w:tcPr>
          <w:p>
            <w:pPr>
              <w:pStyle w:val="null3"/>
            </w:pPr>
            <w:r>
              <w:rPr/>
              <w:t>磋商文件规定的其他情形</w:t>
            </w:r>
          </w:p>
        </w:tc>
        <w:tc>
          <w:tcPr>
            <w:tcW w:type="dxa" w:w="3322"/>
          </w:tcPr>
          <w:p>
            <w:pPr>
              <w:pStyle w:val="null3"/>
            </w:pPr>
            <w:r>
              <w:rPr/>
              <w:t>符合磋商文件要求</w:t>
            </w:r>
          </w:p>
        </w:tc>
        <w:tc>
          <w:tcPr>
            <w:tcW w:type="dxa" w:w="1661"/>
          </w:tcPr>
          <w:p>
            <w:pPr>
              <w:pStyle w:val="null3"/>
            </w:pPr>
            <w:r>
              <w:rPr/>
              <w:t>服务方案、人员表及供应商认为有必要提供的其他内容 商务及服务要求偏离表 磋商报价表及分项报价表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服务方案-1.对本项目的工作内容理解清晰、全面，能清楚描述本次工作任务目标。</w:t>
            </w:r>
          </w:p>
        </w:tc>
        <w:tc>
          <w:tcPr>
            <w:tcW w:type="dxa" w:w="2492"/>
          </w:tcPr>
          <w:p>
            <w:pPr>
              <w:pStyle w:val="null3"/>
            </w:pPr>
            <w:r>
              <w:rPr/>
              <w:t>①分析详尽全面，具体描述合理得当得5分；②分析比较全面，具体描述比较合理得3分；③分析不充分，具体描述有欠妥当得1分； ④未提供得0分。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服务方案-2.根据项目服务质量、成果交付时间保障方案进行赋分。</w:t>
            </w:r>
          </w:p>
        </w:tc>
        <w:tc>
          <w:tcPr>
            <w:tcW w:type="dxa" w:w="2492"/>
          </w:tcPr>
          <w:p>
            <w:pPr>
              <w:pStyle w:val="null3"/>
            </w:pPr>
            <w:r>
              <w:rPr/>
              <w:t>①方案详实、具体、切实可行、科学合理，针对性强，赋分5分；②方案较细致、大部分响应内容切实可行、合理，赋分3分；③方案模糊、目标不明确赋分1分； ④未提供得0分。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服务方案-3.根据专场培训会的实施方案 进行赋分。</w:t>
            </w:r>
          </w:p>
        </w:tc>
        <w:tc>
          <w:tcPr>
            <w:tcW w:type="dxa" w:w="2492"/>
          </w:tcPr>
          <w:p>
            <w:pPr>
              <w:pStyle w:val="null3"/>
            </w:pPr>
            <w:r>
              <w:rPr/>
              <w:t>①执行方案详尽全面，内部制度合理得当得8分；② 执行方案比较全面，内部制度比较合理得5分；③执行方案不充分，内部制度有欠妥当得2分；④未提供得0分。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服务方案-4.根据政策宣传方案及内部制度进行赋分。</w:t>
            </w:r>
          </w:p>
        </w:tc>
        <w:tc>
          <w:tcPr>
            <w:tcW w:type="dxa" w:w="2492"/>
          </w:tcPr>
          <w:p>
            <w:pPr>
              <w:pStyle w:val="null3"/>
            </w:pPr>
            <w:r>
              <w:rPr/>
              <w:t>①执行方案详尽全面，内部制度合理得当得8分；②执行方案比较全面，内部制度比较合理得5分；③执行方案不充分，内部制度有欠妥当得2分；④未提供得0分。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服务方案-5.根据现场服务站点实施方案进行赋分。</w:t>
            </w:r>
          </w:p>
        </w:tc>
        <w:tc>
          <w:tcPr>
            <w:tcW w:type="dxa" w:w="2492"/>
          </w:tcPr>
          <w:p>
            <w:pPr>
              <w:pStyle w:val="null3"/>
            </w:pPr>
            <w:r>
              <w:rPr/>
              <w:t>①方案详尽全面，相关内容合理得当得8分；②方案比较全面，相关内容比较合理得5分；③方案不充分，相关内容有欠妥当得2分； ④ 未提供得0分。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服务方案-6.根据审核指导企业成功通过科技型中小企业评价入库的实施方案及执行标准进行赋分。</w:t>
            </w:r>
          </w:p>
        </w:tc>
        <w:tc>
          <w:tcPr>
            <w:tcW w:type="dxa" w:w="2492"/>
          </w:tcPr>
          <w:p>
            <w:pPr>
              <w:pStyle w:val="null3"/>
            </w:pPr>
            <w:r>
              <w:rPr/>
              <w:t>①执行方案详尽全面，执行标准合理得当得8分；②执行方案比较全面，执行标准比较合理得5分；③执行方案不充分，执行标准有欠妥当得2分；④未提供得0分。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服务方案-7.根据编制的整体方案进行赋分。</w:t>
            </w:r>
          </w:p>
        </w:tc>
        <w:tc>
          <w:tcPr>
            <w:tcW w:type="dxa" w:w="2492"/>
          </w:tcPr>
          <w:p>
            <w:pPr>
              <w:pStyle w:val="null3"/>
            </w:pPr>
            <w:r>
              <w:rPr/>
              <w:t>①方案详尽全面，实施方案及成果整理内容合理得当得8分；②方案比较全面，实施方案及成果整理内容比较合理得5分；③方案不充分,实施方案及成果整理内容有欠妥当得2分；④未提供得0分。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人员配备-针对本项目成立专门的服务团队（供应商提供的具有相关职业资格或相关 专业的人员须能满足服务需求）。</w:t>
            </w:r>
          </w:p>
        </w:tc>
        <w:tc>
          <w:tcPr>
            <w:tcW w:type="dxa" w:w="2492"/>
          </w:tcPr>
          <w:p>
            <w:pPr>
              <w:pStyle w:val="null3"/>
            </w:pPr>
            <w:r>
              <w:rPr/>
              <w:t>①人员配备全面，经验丰富，证书齐全，具体岗位职责合理得当得10 分； ②人员比较全面，经验较为丰 富，证书基本齐全，具体岗位职责比较合理得6分； ③人员欠缺，经验不足，证书欠缺，具体岗位职责有欠妥当得2分；④未提供得0分。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服务计划及承诺-1.供应商服务机构健全，能提供本地化服务，并出具相关证明</w:t>
            </w:r>
          </w:p>
        </w:tc>
        <w:tc>
          <w:tcPr>
            <w:tcW w:type="dxa" w:w="2492"/>
          </w:tcPr>
          <w:p>
            <w:pPr>
              <w:pStyle w:val="null3"/>
            </w:pPr>
            <w:r>
              <w:rPr/>
              <w:t>供应商服务机构健全，能提供本地化服务，并出具相关证明，提供得3分；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服务计划及承诺-2.针对本项目及采购人实际需求提供优质的服务承诺（包括但不限 于出现问题有可行性方案，解决问题时限)。</w:t>
            </w:r>
          </w:p>
        </w:tc>
        <w:tc>
          <w:tcPr>
            <w:tcW w:type="dxa" w:w="2492"/>
          </w:tcPr>
          <w:p>
            <w:pPr>
              <w:pStyle w:val="null3"/>
            </w:pPr>
            <w:r>
              <w:rPr/>
              <w:t>①承诺内容详尽全面，具体内容合 理得当得8分；②承诺比较全面，具体内容比较合理得5分；③承诺不充分，具体内容有欠妥当得2分。④未提供得0分。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服务计划及承诺-3.服务人员与采购人能有良好工作配合的承诺。</w:t>
            </w:r>
          </w:p>
        </w:tc>
        <w:tc>
          <w:tcPr>
            <w:tcW w:type="dxa" w:w="2492"/>
          </w:tcPr>
          <w:p>
            <w:pPr>
              <w:pStyle w:val="null3"/>
            </w:pPr>
            <w:r>
              <w:rPr/>
              <w:t>①承诺内容详尽全面，具体内容合理得当得8分；②承诺比较全面，具体内容比较合理得5分；③承诺不充分，具体内容有欠妥当得2分。 ④未提供得0分。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服务计划及承诺-4.供应商提供切实可行的保密措施及承诺，对其所获取的信息保密。</w:t>
            </w:r>
          </w:p>
        </w:tc>
        <w:tc>
          <w:tcPr>
            <w:tcW w:type="dxa" w:w="2492"/>
          </w:tcPr>
          <w:p>
            <w:pPr>
              <w:pStyle w:val="null3"/>
            </w:pPr>
            <w:r>
              <w:rPr/>
              <w:t>①承诺内容详尽全面，具体内容合理得当得8分；②承诺比较全面，具体内容比较合理得5分；③承诺不充分，具体内容有欠妥当得2分。④未提供得0分。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服务方案、人员表及供应商认为有必要提供的其他内容</w:t>
            </w:r>
          </w:p>
        </w:tc>
      </w:tr>
      <w:tr>
        <w:tc>
          <w:tcPr>
            <w:tcW w:type="dxa" w:w="831"/>
            <w:vMerge/>
          </w:tcPr>
          <w:p/>
        </w:tc>
        <w:tc>
          <w:tcPr>
            <w:tcW w:type="dxa" w:w="1661"/>
          </w:tcPr>
          <w:p>
            <w:pPr>
              <w:pStyle w:val="null3"/>
            </w:pPr>
            <w:r>
              <w:rPr/>
              <w:t>业绩-供应商具有（2021年1月至今，以合同签订的日期为准）类似项目业绩</w:t>
            </w:r>
          </w:p>
        </w:tc>
        <w:tc>
          <w:tcPr>
            <w:tcW w:type="dxa" w:w="2492"/>
          </w:tcPr>
          <w:p>
            <w:pPr>
              <w:pStyle w:val="null3"/>
            </w:pPr>
            <w:r>
              <w:rPr/>
              <w:t>供应商具有（2021年1月至今，以合同签订的日期为准）类似项目业绩，每提供1份计1.5分，满分3分。 注：响应文件中提供合同复印件加盖供应商公章。</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满足磋商文件要求且磋商报价最低的供应商的价格为磋商基准价，其价格分为满分。其他供应商的价格分统一按照下列公式计算： 磋商报价得分=（磋商基准价/磋商报价）×价格权值×100</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p>
            <w:pPr>
              <w:pStyle w:val="null3"/>
            </w:pPr>
            <w:r>
              <w:rPr/>
              <w:t>磋商报价表及分项报价表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详见附件：磋商报价表及分项报价表</w:t>
      </w:r>
    </w:p>
    <w:p>
      <w:pPr>
        <w:pStyle w:val="null3"/>
        <w:ind w:firstLine="960"/>
      </w:pPr>
      <w:r>
        <w:rPr/>
        <w:t>详见附件：服务方案、人员表及供应商认为有必要提供的其他内容</w:t>
      </w:r>
    </w:p>
    <w:p>
      <w:pPr>
        <w:pStyle w:val="null3"/>
        <w:ind w:firstLine="960"/>
      </w:pPr>
      <w:r>
        <w:rPr/>
        <w:t>详见附件：商务及服务要求偏离表</w:t>
      </w:r>
    </w:p>
    <w:p>
      <w:pPr>
        <w:pStyle w:val="null3"/>
        <w:ind w:firstLine="960"/>
      </w:pPr>
      <w:r>
        <w:rPr/>
        <w:t>详见附件：业绩一览表</w:t>
      </w:r>
    </w:p>
    <w:p>
      <w:pPr>
        <w:pStyle w:val="null3"/>
        <w:ind w:firstLine="960"/>
      </w:pPr>
      <w:r>
        <w:rPr/>
        <w:t>详见附件：资格响应表</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详见附件：合同模板.docx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