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HRP财务管理系统升级项目</w:t>
      </w:r>
    </w:p>
    <w:p>
      <w:pPr>
        <w:pStyle w:val="null3"/>
        <w:jc w:val="center"/>
        <w:outlineLvl w:val="2"/>
      </w:pPr>
      <w:r>
        <w:rPr>
          <w:sz w:val="28"/>
          <w:b/>
        </w:rPr>
        <w:t>采购项目编号：</w:t>
      </w:r>
      <w:r>
        <w:rPr>
          <w:sz w:val="28"/>
          <w:b/>
        </w:rPr>
        <w:t>SZT2024-SN-SC-ZC-FW-0344</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2024年04月29日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陕西省肿瘤医院</w:t>
      </w:r>
      <w:r>
        <w:rPr/>
        <w:t>委托，拟对</w:t>
      </w:r>
      <w:r>
        <w:rPr/>
        <w:t>HRP财务管理系统升级项目</w:t>
      </w:r>
      <w:r>
        <w:rPr/>
        <w:t>进行国内公开招标，兹邀请符合本次招标要求的供应商参加投标。</w:t>
      </w:r>
    </w:p>
    <w:p>
      <w:pPr>
        <w:pStyle w:val="null3"/>
        <w:outlineLvl w:val="2"/>
      </w:pPr>
      <w:r>
        <w:rPr>
          <w:sz w:val="28"/>
          <w:b/>
        </w:rPr>
        <w:t>一、采购项目编号：</w:t>
      </w:r>
      <w:r>
        <w:rPr>
          <w:sz w:val="28"/>
          <w:b/>
        </w:rPr>
        <w:t>SZT2024-SN-SC-ZC-FW-0344</w:t>
      </w:r>
    </w:p>
    <w:p>
      <w:pPr>
        <w:pStyle w:val="null3"/>
        <w:outlineLvl w:val="2"/>
      </w:pPr>
      <w:r>
        <w:rPr>
          <w:sz w:val="28"/>
          <w:b/>
        </w:rPr>
        <w:t>二、采购项目名称：</w:t>
      </w:r>
      <w:r>
        <w:rPr>
          <w:sz w:val="28"/>
          <w:b/>
        </w:rPr>
        <w:t>HRP财务管理系统升级项目</w:t>
      </w:r>
    </w:p>
    <w:p>
      <w:pPr>
        <w:pStyle w:val="null3"/>
        <w:outlineLvl w:val="2"/>
      </w:pPr>
      <w:r>
        <w:rPr>
          <w:sz w:val="28"/>
          <w:b/>
        </w:rPr>
        <w:t>三、招标项目简介</w:t>
      </w:r>
    </w:p>
    <w:p>
      <w:pPr>
        <w:pStyle w:val="null3"/>
        <w:ind w:firstLine="480"/>
      </w:pPr>
      <w:r>
        <w:rPr/>
        <w:t>HRP财务管理系统升级</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采购包1（HRP财务管理系统升级）：属于专门面向中小企业采购。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采购包1：588,650.00元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HRP财务管理系统升级</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588,650.00</w:t>
      </w:r>
    </w:p>
    <w:p>
      <w:pPr>
        <w:pStyle w:val="null3"/>
      </w:pPr>
      <w:r>
        <w:rPr/>
        <w:t>采购包最高限价（元）: 588,650.00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HRP财务管理系统升级项目</w:t>
            </w:r>
          </w:p>
        </w:tc>
        <w:tc>
          <w:tcPr>
            <w:tcW w:type="dxa" w:w="831"/>
          </w:tcPr>
          <w:p>
            <w:pPr>
              <w:pStyle w:val="null3"/>
              <w:jc w:val="right"/>
            </w:pPr>
            <w:r>
              <w:rPr/>
              <w:t>1.00</w:t>
            </w:r>
          </w:p>
        </w:tc>
        <w:tc>
          <w:tcPr>
            <w:tcW w:type="dxa" w:w="831"/>
          </w:tcPr>
          <w:p>
            <w:pPr>
              <w:pStyle w:val="null3"/>
              <w:jc w:val="right"/>
            </w:pPr>
            <w:r>
              <w:rPr/>
              <w:t>588,650.00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标的名称：HRP财务管理系统升级项目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345" w:after="330"/>
              <w:ind w:left="435"/>
              <w:jc w:val="center"/>
              <w:outlineLvl w:val="0"/>
            </w:pPr>
            <w:r>
              <w:rPr>
                <w:rFonts w:ascii="仿宋" w:hAnsi="仿宋" w:cs="仿宋" w:eastAsia="仿宋"/>
                <w:sz w:val="30"/>
                <w:b/>
              </w:rPr>
              <w:t>第一部分</w:t>
            </w:r>
            <w:r>
              <w:rPr>
                <w:rFonts w:ascii="仿宋" w:hAnsi="仿宋" w:cs="仿宋" w:eastAsia="仿宋"/>
                <w:sz w:val="30"/>
                <w:b/>
              </w:rPr>
              <w:t>项目调研</w:t>
            </w:r>
          </w:p>
          <w:p>
            <w:pPr>
              <w:pStyle w:val="null3"/>
              <w:spacing w:before="240" w:after="120"/>
              <w:jc w:val="both"/>
              <w:outlineLvl w:val="1"/>
            </w:pPr>
            <w:r>
              <w:rPr>
                <w:rFonts w:ascii="仿宋" w:hAnsi="仿宋" w:cs="仿宋" w:eastAsia="仿宋"/>
                <w:sz w:val="30"/>
                <w:b/>
              </w:rPr>
              <w:t>1 概述</w:t>
            </w:r>
          </w:p>
          <w:p>
            <w:pPr>
              <w:pStyle w:val="null3"/>
              <w:ind w:firstLine="480"/>
              <w:jc w:val="both"/>
            </w:pPr>
            <w:r>
              <w:rPr>
                <w:rFonts w:ascii="宋体" w:hAnsi="宋体" w:cs="宋体" w:eastAsia="宋体"/>
                <w:sz w:val="24"/>
                <w:color w:val="000000"/>
              </w:rPr>
              <w:t>为提升医院运营管理精细化与智能化，在前期移动报销的基础上增加薪酬在线管理及资产在线管理。增加业务覆盖的广度与深度，提升业务管理效率及满意度。</w:t>
            </w:r>
          </w:p>
          <w:p>
            <w:pPr>
              <w:pStyle w:val="null3"/>
              <w:spacing w:before="240" w:after="120"/>
              <w:jc w:val="both"/>
              <w:outlineLvl w:val="1"/>
            </w:pPr>
            <w:r>
              <w:rPr>
                <w:rFonts w:ascii="仿宋" w:hAnsi="仿宋" w:cs="仿宋" w:eastAsia="仿宋"/>
                <w:sz w:val="30"/>
                <w:b/>
              </w:rPr>
              <w:t>2 项目背景</w:t>
            </w:r>
          </w:p>
          <w:p>
            <w:pPr>
              <w:pStyle w:val="null3"/>
              <w:ind w:firstLine="560"/>
              <w:jc w:val="both"/>
            </w:pPr>
            <w:r>
              <w:rPr>
                <w:rFonts w:ascii="宋体" w:hAnsi="宋体" w:cs="宋体" w:eastAsia="宋体"/>
                <w:sz w:val="24"/>
                <w:color w:val="000000"/>
              </w:rPr>
              <w:t>贯彻财政部门要求，提高医院管理水平，健全医院运营管理体系。提高医疗、教学、科研、预防等核心业务及人、财、物供给效率，推动运营管理科学化、规范化，精细化。在原</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财务管理系统功能基础上进行本次升级，完善内部控制制度，建立覆盖医院经济和业务活动的内部控制管理体系，突出规范薪酬体系、固定资产管理体系，建立预算管理与付款流程的流程管控和制约机制，建立与本单位管理相适应的、权责一致、制衡有效、运行顺畅、执行有力的内部控制体系，规范内部权力运行、促进依法办事、推进廉政建设、保障事业发展并加强成本关键环节管控。</w:t>
            </w:r>
          </w:p>
          <w:p>
            <w:pPr>
              <w:pStyle w:val="null3"/>
              <w:ind w:firstLine="561"/>
              <w:jc w:val="both"/>
            </w:pPr>
            <w:r>
              <w:rPr>
                <w:rFonts w:ascii="宋体" w:hAnsi="宋体" w:cs="宋体" w:eastAsia="宋体"/>
                <w:sz w:val="24"/>
                <w:color w:val="000000"/>
              </w:rPr>
              <w:t xml:space="preserve"> </w:t>
            </w:r>
            <w:r>
              <w:rPr>
                <w:rFonts w:ascii="宋体" w:hAnsi="宋体" w:cs="宋体" w:eastAsia="宋体"/>
                <w:sz w:val="24"/>
                <w:color w:val="000000"/>
              </w:rPr>
              <w:t>医院现有</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财务管理系统功能描述</w:t>
            </w:r>
          </w:p>
          <w:tbl>
            <w:tblPr>
              <w:tblInd w:type="dxa" w:w="135"/>
              <w:tblBorders>
                <w:top w:val="none" w:color="000000" w:sz="4"/>
                <w:left w:val="none" w:color="000000" w:sz="4"/>
                <w:bottom w:val="none" w:color="000000" w:sz="4"/>
                <w:right w:val="none" w:color="000000" w:sz="4"/>
                <w:insideH w:val="none"/>
                <w:insideV w:val="none"/>
              </w:tblBorders>
            </w:tblPr>
            <w:tblGrid>
              <w:gridCol w:w="254"/>
              <w:gridCol w:w="603"/>
              <w:gridCol w:w="1690"/>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b/>
                    </w:rPr>
                    <w:t>模块</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both"/>
                  </w:pPr>
                  <w:r>
                    <w:rPr>
                      <w:rFonts w:ascii="仿宋" w:hAnsi="仿宋" w:cs="仿宋" w:eastAsia="仿宋"/>
                      <w:sz w:val="28"/>
                      <w:b/>
                    </w:rPr>
                    <w:t>子模块</w:t>
                  </w:r>
                </w:p>
              </w:tc>
              <w:tc>
                <w:tcPr>
                  <w:tcW w:type="dxa" w:w="1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b/>
                    </w:rPr>
                    <w:t>功能简介</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医院财务会计</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总账管理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基础的医院财务会计核算，纸质凭证附件查询翻阅不方便，没有电子化会计档案管理。</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出纳管理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现金日记账、银行日记账、银行对账、现金盘点、总账对账、资金报表。</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应付款管理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应付处理、采购发票审核、付款处理、挂账、付款、账龄分析，生成总账凭证数据。</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 w:hAnsi="仿宋" w:cs="仿宋" w:eastAsia="仿宋"/>
                      <w:sz w:val="24"/>
                    </w:rPr>
                    <w:t>UFO报表</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满足医院各类财务核算报表。</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BI智能报表分析</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PC端BI智能报表分析：基础财务分析、成本核算分析、临床数据分析、应收应付分析、固定资产分析、物资分析、人力分析、全院重点指标分析。</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收入接口</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接口系统通过建立中间数据库，实现与</w:t>
                  </w:r>
                  <w:r>
                    <w:rPr>
                      <w:rFonts w:ascii="仿宋" w:hAnsi="仿宋" w:cs="仿宋" w:eastAsia="仿宋"/>
                      <w:sz w:val="24"/>
                    </w:rPr>
                    <w:t>HIS系统数据的采集，将科室收入业务数据，按设置的凭证模板，生成对应的凭证。</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医院报账管理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网上报销系统只做到了医院员工个人报销、医院日常维修报销审批，没有供应商账期管理，没有采购与发票自动生成对公支付单的全支付管理。报销单据附件需要纸质打印没有电子化档案。</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物流管理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采购管理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对采购业务的全部流程进行管理，提供请购、采购订货、采购到货、采购入库、采购发票、采购结算的完整采购流程。</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库存管理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采购入库、材料出库、其他出入库、盘点管理等业务需要，提供仓库货位管理、批次管理、保质期管理、出库跟踪入库管理、可用量管理、序列号管理等全面的业务应用。</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 w:hAnsi="仿宋" w:cs="仿宋" w:eastAsia="仿宋"/>
                      <w:sz w:val="24"/>
                    </w:rPr>
                    <w:t>存货管理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rPr>
                    <w:t>核算医院的入库成本、出库成本、结余成本。提供按部门、按仓库、按存货核算功能。自动形成完整的存货账簿。</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高值耗材管理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针对高值耗材通过个体条码管理，加强管控，实现与供应商材料结算在系统中有账可查，对条码进行跟踪，查询具体的使用情况。</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物资申领平台</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医院各耗材使用科室可通过此平台，在线上完成耗材需求计划和耗材领用申请填报。</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HIS药品接口</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与</w:t>
                  </w:r>
                  <w:r>
                    <w:rPr>
                      <w:rFonts w:ascii="仿宋" w:hAnsi="仿宋" w:cs="仿宋" w:eastAsia="仿宋"/>
                      <w:sz w:val="24"/>
                    </w:rPr>
                    <w:t>HIS系统对接将HIS的药品入库、药品出库业务数据按照凭证模板生成对应的凭证。</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消毒供应接口</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与消毒供应系统对接，将该入库、出库业务数据按照凭证模板生成对应的凭证。</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合同管理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合同台账管理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合同台账管理，合同报表管理、合同执行、合同结算，无合同线上审批、会签、数据权限功能、不具备职能科室在线对合同的操作与管理。</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固定资产管理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资产卡片管理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资产卡片管理、资产增加、采购资产、</w:t>
                  </w:r>
                  <w:r>
                    <w:rPr>
                      <w:rFonts w:ascii="仿宋" w:hAnsi="仿宋" w:cs="仿宋" w:eastAsia="仿宋"/>
                      <w:sz w:val="24"/>
                    </w:rPr>
                    <w:t>RFID条码打印、</w:t>
                  </w:r>
                </w:p>
                <w:p>
                  <w:pPr>
                    <w:pStyle w:val="null3"/>
                    <w:jc w:val="both"/>
                  </w:pPr>
                  <w:r>
                    <w:rPr>
                      <w:rFonts w:ascii="仿宋" w:hAnsi="仿宋" w:cs="仿宋" w:eastAsia="仿宋"/>
                      <w:sz w:val="24"/>
                    </w:rPr>
                    <w:t>卡片变动、资产盘点、资产处置、计提折旧、期末处理、账表。科室资产明细、科室资产台账没有延伸到全院所有科室，资产的转移、处置仍是线下审批流程。需增加线上审批流程。</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RFID智能盘点</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通过条码技术对固定资产实物从购置、领用、转移、盘点、维修、报废等方面进行全方位准确监管。</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成本核算</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科室成本核算</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收入数据、成本数据、工作量数据、分摊设置、结构分析、同比分析、量本利分析、趋势分析。</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人力资源管理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薪资管理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工资核算、工资发放、生成总账凭证、报表查询。无薪资在线查询、不支持医院薪酬业务的一次下发，二次上报及多轮下发、多轮上报需求。需新增移动端查看薪资上报、薪资下发情况。</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预算管理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支出预算管理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财务支出预算管理：支出预算方案、支持预算编制支出预算没有下沉到科室，不支持预算编制</w:t>
                  </w:r>
                  <w:r>
                    <w:rPr>
                      <w:rFonts w:ascii="仿宋" w:hAnsi="仿宋" w:cs="仿宋" w:eastAsia="仿宋"/>
                      <w:sz w:val="24"/>
                    </w:rPr>
                    <w:t>“多上多下”上报流程、无移动端查看上报情况、预算执行情况，需新增政府采购预算管理。</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项目预算管理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财务项目预算管理，不支持预算编制</w:t>
                  </w:r>
                  <w:r>
                    <w:rPr>
                      <w:rFonts w:ascii="仿宋" w:hAnsi="仿宋" w:cs="仿宋" w:eastAsia="仿宋"/>
                      <w:sz w:val="24"/>
                    </w:rPr>
                    <w:t>“多上多下”上报流程、无移动端查看上报情况、预算执行情，需新增政府采购预算管理。</w:t>
                  </w:r>
                </w:p>
              </w:tc>
            </w:tr>
            <w:tr>
              <w:tc>
                <w:tcPr>
                  <w:tcW w:type="dxa" w:w="254"/>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收入预算管理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财务收入预算管理，不支持预算编制</w:t>
                  </w:r>
                  <w:r>
                    <w:rPr>
                      <w:rFonts w:ascii="仿宋" w:hAnsi="仿宋" w:cs="仿宋" w:eastAsia="仿宋"/>
                      <w:sz w:val="24"/>
                    </w:rPr>
                    <w:t>“多上多下”上报流程、无移动端查看上报情况、预算执行情况，需新增政府采购预算管理。</w:t>
                  </w:r>
                </w:p>
              </w:tc>
            </w:tr>
          </w:tbl>
          <w:p>
            <w:pPr>
              <w:pStyle w:val="null3"/>
              <w:ind w:firstLine="560"/>
              <w:jc w:val="both"/>
              <w:outlineLvl w:val="1"/>
            </w:pPr>
            <w:r>
              <w:rPr>
                <w:rFonts w:ascii="仿宋" w:hAnsi="仿宋" w:cs="仿宋" w:eastAsia="仿宋"/>
                <w:sz w:val="30"/>
                <w:b/>
              </w:rPr>
              <w:t>3 依据的法律法规、标准</w:t>
            </w:r>
          </w:p>
          <w:p>
            <w:pPr>
              <w:pStyle w:val="null3"/>
              <w:ind w:firstLine="480"/>
              <w:jc w:val="both"/>
            </w:pP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《国务院办公厅关于推动公立医院高质量发展的意见》（国办发〔</w:t>
            </w:r>
            <w:r>
              <w:rPr>
                <w:rFonts w:ascii="times new roman, times, serif" w:hAnsi="times new roman, times, serif" w:cs="times new roman, times, serif" w:eastAsia="times new roman, times, serif"/>
                <w:sz w:val="24"/>
                <w:color w:val="000000"/>
              </w:rPr>
              <w:t>2021</w:t>
            </w:r>
            <w:r>
              <w:rPr>
                <w:rFonts w:ascii="宋体" w:hAnsi="宋体" w:cs="宋体" w:eastAsia="宋体"/>
                <w:sz w:val="24"/>
                <w:color w:val="000000"/>
              </w:rPr>
              <w:t>〕</w:t>
            </w:r>
            <w:r>
              <w:rPr>
                <w:rFonts w:ascii="times new roman, times, serif" w:hAnsi="times new roman, times, serif" w:cs="times new roman, times, serif" w:eastAsia="times new roman, times, serif"/>
                <w:sz w:val="24"/>
                <w:color w:val="000000"/>
              </w:rPr>
              <w:t>18</w:t>
            </w:r>
            <w:r>
              <w:rPr>
                <w:rFonts w:ascii="宋体" w:hAnsi="宋体" w:cs="宋体" w:eastAsia="宋体"/>
                <w:sz w:val="24"/>
                <w:color w:val="000000"/>
              </w:rPr>
              <w:t>号）</w:t>
            </w:r>
          </w:p>
          <w:p>
            <w:pPr>
              <w:pStyle w:val="null3"/>
              <w:ind w:firstLine="480"/>
              <w:jc w:val="both"/>
            </w:pPr>
            <w:r>
              <w:rPr>
                <w:rFonts w:ascii="times new roman, times, serif" w:hAnsi="times new roman, times, serif" w:cs="times new roman, times, serif" w:eastAsia="times new roman, times, serif"/>
                <w:sz w:val="24"/>
                <w:color w:val="000000"/>
              </w:rPr>
              <w:t>(2)</w:t>
            </w:r>
            <w:r>
              <w:rPr>
                <w:rFonts w:ascii="宋体" w:hAnsi="宋体" w:cs="宋体" w:eastAsia="宋体"/>
                <w:sz w:val="24"/>
                <w:color w:val="000000"/>
              </w:rPr>
              <w:t>《公立医院高质量发展促进行动（</w:t>
            </w:r>
            <w:r>
              <w:rPr>
                <w:rFonts w:ascii="times new roman, times, serif" w:hAnsi="times new roman, times, serif" w:cs="times new roman, times, serif" w:eastAsia="times new roman, times, serif"/>
                <w:sz w:val="24"/>
                <w:color w:val="000000"/>
              </w:rPr>
              <w:t>2021-2025</w:t>
            </w:r>
            <w:r>
              <w:rPr>
                <w:rFonts w:ascii="宋体" w:hAnsi="宋体" w:cs="宋体" w:eastAsia="宋体"/>
                <w:sz w:val="24"/>
                <w:color w:val="000000"/>
              </w:rPr>
              <w:t>年）》 国家卫生健康委和国家中医药管理局联合印发</w:t>
            </w:r>
          </w:p>
          <w:p>
            <w:pPr>
              <w:pStyle w:val="null3"/>
              <w:ind w:firstLine="480"/>
              <w:jc w:val="both"/>
            </w:pPr>
            <w:r>
              <w:rPr>
                <w:rFonts w:ascii="times new roman, times, serif" w:hAnsi="times new roman, times, serif" w:cs="times new roman, times, serif" w:eastAsia="times new roman, times, serif"/>
                <w:sz w:val="24"/>
                <w:color w:val="000000"/>
              </w:rPr>
              <w:t>(3)</w:t>
            </w:r>
            <w:r>
              <w:rPr>
                <w:rFonts w:ascii="宋体" w:hAnsi="宋体" w:cs="宋体" w:eastAsia="宋体"/>
                <w:sz w:val="24"/>
                <w:color w:val="000000"/>
              </w:rPr>
              <w:t>《</w:t>
            </w:r>
            <w:r>
              <w:rPr>
                <w:rFonts w:ascii="宋体" w:hAnsi="宋体" w:cs="宋体" w:eastAsia="宋体"/>
                <w:sz w:val="24"/>
                <w:color w:val="000000"/>
              </w:rPr>
              <w:t>陕西省人民政府办公厅关于印发推动公立医院高质量发展实施方案的通知</w:t>
            </w:r>
            <w:r>
              <w:rPr>
                <w:rFonts w:ascii="宋体" w:hAnsi="宋体" w:cs="宋体" w:eastAsia="宋体"/>
                <w:sz w:val="24"/>
                <w:color w:val="000000"/>
              </w:rPr>
              <w:t>》陕政办发〔</w:t>
            </w:r>
            <w:r>
              <w:rPr>
                <w:rFonts w:ascii="times new roman, times, serif" w:hAnsi="times new roman, times, serif" w:cs="times new roman, times, serif" w:eastAsia="times new roman, times, serif"/>
                <w:sz w:val="24"/>
                <w:color w:val="000000"/>
              </w:rPr>
              <w:t>2022</w:t>
            </w:r>
            <w:r>
              <w:rPr>
                <w:rFonts w:ascii="宋体" w:hAnsi="宋体" w:cs="宋体" w:eastAsia="宋体"/>
                <w:sz w:val="24"/>
                <w:color w:val="000000"/>
              </w:rPr>
              <w:t>〕</w:t>
            </w:r>
            <w:r>
              <w:rPr>
                <w:rFonts w:ascii="times new roman, times, serif" w:hAnsi="times new roman, times, serif" w:cs="times new roman, times, serif" w:eastAsia="times new roman, times, serif"/>
                <w:sz w:val="24"/>
                <w:color w:val="000000"/>
              </w:rPr>
              <w:t>10</w:t>
            </w:r>
            <w:r>
              <w:rPr>
                <w:rFonts w:ascii="宋体" w:hAnsi="宋体" w:cs="宋体" w:eastAsia="宋体"/>
                <w:sz w:val="24"/>
                <w:color w:val="000000"/>
              </w:rPr>
              <w:t>号</w:t>
            </w:r>
          </w:p>
          <w:p>
            <w:pPr>
              <w:pStyle w:val="null3"/>
              <w:spacing w:before="240" w:after="120"/>
              <w:jc w:val="both"/>
              <w:outlineLvl w:val="1"/>
            </w:pPr>
            <w:r>
              <w:rPr>
                <w:rFonts w:ascii="仿宋" w:hAnsi="仿宋" w:cs="仿宋" w:eastAsia="仿宋"/>
                <w:sz w:val="30"/>
                <w:b/>
              </w:rPr>
              <w:t>4 预期目标</w:t>
            </w:r>
          </w:p>
          <w:p>
            <w:pPr>
              <w:pStyle w:val="null3"/>
              <w:ind w:firstLine="480"/>
              <w:jc w:val="both"/>
            </w:pPr>
            <w:r>
              <w:rPr>
                <w:rFonts w:ascii="宋体" w:hAnsi="宋体" w:cs="宋体" w:eastAsia="宋体"/>
                <w:sz w:val="24"/>
                <w:color w:val="000000"/>
              </w:rPr>
              <w:t>完成</w:t>
            </w:r>
            <w:r>
              <w:rPr>
                <w:rFonts w:ascii="宋体" w:hAnsi="宋体" w:cs="宋体" w:eastAsia="宋体"/>
                <w:sz w:val="24"/>
                <w:color w:val="000000"/>
              </w:rPr>
              <w:t>医院</w:t>
            </w:r>
            <w:r>
              <w:rPr>
                <w:rFonts w:ascii="宋体" w:hAnsi="宋体" w:cs="宋体" w:eastAsia="宋体"/>
                <w:sz w:val="24"/>
                <w:color w:val="000000"/>
              </w:rPr>
              <w:t>职能科室、业务科室对资产、物资、收支预算、采购预算、付款、分析、电子会计档案合同的操作与管理，职工对于奖金、薪资的管理，提升医院服务效率和满意度。</w:t>
            </w:r>
          </w:p>
          <w:p>
            <w:pPr>
              <w:pStyle w:val="null3"/>
              <w:spacing w:before="240" w:after="120"/>
              <w:jc w:val="both"/>
              <w:outlineLvl w:val="1"/>
            </w:pPr>
            <w:r>
              <w:rPr>
                <w:rFonts w:ascii="仿宋" w:hAnsi="仿宋" w:cs="仿宋" w:eastAsia="仿宋"/>
                <w:sz w:val="30"/>
                <w:b/>
              </w:rPr>
              <w:t>5 与医院现有信息系统</w:t>
            </w:r>
            <w:r>
              <w:rPr>
                <w:rFonts w:ascii="仿宋" w:hAnsi="仿宋" w:cs="仿宋" w:eastAsia="仿宋"/>
                <w:sz w:val="30"/>
                <w:b/>
              </w:rPr>
              <w:t>接口清单及内容</w:t>
            </w:r>
          </w:p>
          <w:tbl>
            <w:tblPr>
              <w:tblBorders>
                <w:top w:val="none" w:color="000000" w:sz="4"/>
                <w:left w:val="none" w:color="000000" w:sz="4"/>
                <w:bottom w:val="none" w:color="000000" w:sz="4"/>
                <w:right w:val="none" w:color="000000" w:sz="4"/>
                <w:insideH w:val="none"/>
                <w:insideV w:val="none"/>
              </w:tblBorders>
            </w:tblPr>
            <w:tblGrid>
              <w:gridCol w:w="214"/>
              <w:gridCol w:w="391"/>
              <w:gridCol w:w="278"/>
              <w:gridCol w:w="1124"/>
              <w:gridCol w:w="544"/>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系统名称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现有品牌</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对接内容概要</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备注</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财务系统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用友（</w:t>
                  </w:r>
                  <w:r>
                    <w:rPr>
                      <w:rFonts w:ascii="宋体" w:hAnsi="宋体" w:cs="宋体" w:eastAsia="宋体"/>
                      <w:sz w:val="21"/>
                      <w:color w:val="000000"/>
                    </w:rPr>
                    <w:t>v</w:t>
                  </w:r>
                  <w:r>
                    <w:rPr>
                      <w:rFonts w:ascii="宋体" w:hAnsi="宋体" w:cs="宋体" w:eastAsia="宋体"/>
                      <w:sz w:val="21"/>
                      <w:color w:val="000000"/>
                    </w:rPr>
                    <w:t>6.65</w:t>
                  </w:r>
                  <w:r>
                    <w:rPr>
                      <w:rFonts w:ascii="宋体" w:hAnsi="宋体" w:cs="宋体" w:eastAsia="宋体"/>
                      <w:sz w:val="21"/>
                      <w:color w:val="000000"/>
                    </w:rPr>
                    <w:t>）</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人员、科室、薪资项目，会计科目等基础数据、业务数据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报销系统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睿华（</w:t>
                  </w:r>
                  <w:r>
                    <w:rPr>
                      <w:rFonts w:ascii="宋体" w:hAnsi="宋体" w:cs="宋体" w:eastAsia="宋体"/>
                      <w:sz w:val="22"/>
                      <w:color w:val="000000"/>
                    </w:rPr>
                    <w:t>v1.0）</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业务单据流程，权限，审批等基础数据和业务数据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需完成单点登录</w:t>
                  </w:r>
                </w:p>
              </w:tc>
            </w:tr>
          </w:tbl>
          <w:p>
            <w:pPr>
              <w:pStyle w:val="null3"/>
              <w:ind w:firstLine="480"/>
              <w:jc w:val="both"/>
              <w:outlineLvl w:val="0"/>
            </w:pPr>
            <w:r>
              <w:rPr>
                <w:rFonts w:ascii="仿宋" w:hAnsi="仿宋" w:cs="仿宋" w:eastAsia="仿宋"/>
                <w:sz w:val="30"/>
              </w:rPr>
              <w:t>第二部分</w:t>
            </w:r>
            <w:r>
              <w:rPr>
                <w:rFonts w:ascii="仿宋" w:hAnsi="仿宋" w:cs="仿宋" w:eastAsia="仿宋"/>
                <w:sz w:val="30"/>
              </w:rPr>
              <w:t>项目采购内容</w:t>
            </w:r>
          </w:p>
          <w:p>
            <w:pPr>
              <w:pStyle w:val="null3"/>
              <w:ind w:firstLine="560"/>
              <w:jc w:val="both"/>
            </w:pPr>
            <w:r>
              <w:rPr>
                <w:rFonts w:ascii="宋体" w:hAnsi="宋体" w:cs="宋体" w:eastAsia="宋体"/>
                <w:sz w:val="24"/>
                <w:color w:val="000000"/>
              </w:rPr>
              <w:t>一、采购项目：陕西省肿瘤医院</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财务管理系统升级项目</w:t>
            </w:r>
          </w:p>
          <w:p>
            <w:pPr>
              <w:pStyle w:val="null3"/>
              <w:ind w:firstLine="560"/>
              <w:jc w:val="both"/>
            </w:pPr>
            <w:r>
              <w:rPr>
                <w:rFonts w:ascii="宋体" w:hAnsi="宋体" w:cs="宋体" w:eastAsia="宋体"/>
                <w:sz w:val="24"/>
                <w:color w:val="000000"/>
              </w:rPr>
              <w:t>二、数量：</w:t>
            </w:r>
            <w:r>
              <w:rPr>
                <w:rFonts w:ascii="times new roman, times, serif" w:hAnsi="times new roman, times, serif" w:cs="times new roman, times, serif" w:eastAsia="times new roman, times, serif"/>
                <w:sz w:val="24"/>
                <w:color w:val="000000"/>
              </w:rPr>
              <w:t>1</w:t>
            </w:r>
          </w:p>
          <w:p>
            <w:pPr>
              <w:pStyle w:val="null3"/>
              <w:ind w:firstLine="560"/>
              <w:jc w:val="both"/>
            </w:pPr>
            <w:r>
              <w:rPr>
                <w:rFonts w:ascii="宋体" w:hAnsi="宋体" w:cs="宋体" w:eastAsia="宋体"/>
                <w:sz w:val="24"/>
                <w:color w:val="000000"/>
              </w:rPr>
              <w:t>三、</w:t>
            </w:r>
            <w:r>
              <w:rPr>
                <w:rFonts w:ascii="宋体" w:hAnsi="宋体" w:cs="宋体" w:eastAsia="宋体"/>
                <w:sz w:val="24"/>
                <w:color w:val="000000"/>
              </w:rPr>
              <w:t>项目预算：</w:t>
            </w:r>
            <w:r>
              <w:rPr>
                <w:rFonts w:ascii="times new roman, times, serif" w:hAnsi="times new roman, times, serif" w:cs="times new roman, times, serif" w:eastAsia="times new roman, times, serif"/>
                <w:sz w:val="24"/>
                <w:color w:val="000000"/>
              </w:rPr>
              <w:t>58.865</w:t>
            </w:r>
            <w:r>
              <w:rPr>
                <w:rFonts w:ascii="宋体" w:hAnsi="宋体" w:cs="宋体" w:eastAsia="宋体"/>
                <w:sz w:val="24"/>
                <w:color w:val="000000"/>
              </w:rPr>
              <w:t>万元</w:t>
            </w:r>
          </w:p>
          <w:p>
            <w:pPr>
              <w:pStyle w:val="null3"/>
              <w:ind w:firstLine="560"/>
              <w:jc w:val="both"/>
            </w:pPr>
            <w:r>
              <w:rPr>
                <w:rFonts w:ascii="宋体" w:hAnsi="宋体" w:cs="宋体" w:eastAsia="宋体"/>
                <w:sz w:val="24"/>
                <w:color w:val="000000"/>
              </w:rPr>
              <w:t>四、质保期：</w:t>
            </w:r>
            <w:r>
              <w:rPr>
                <w:rFonts w:ascii="times new roman, times, serif" w:hAnsi="times new roman, times, serif" w:cs="times new roman, times, serif" w:eastAsia="times new roman, times, serif"/>
                <w:sz w:val="24"/>
                <w:color w:val="000000"/>
              </w:rPr>
              <w:t>3</w:t>
            </w:r>
            <w:r>
              <w:rPr>
                <w:rFonts w:ascii="宋体" w:hAnsi="宋体" w:cs="宋体" w:eastAsia="宋体"/>
                <w:sz w:val="24"/>
                <w:color w:val="000000"/>
              </w:rPr>
              <w:t>年</w:t>
            </w:r>
          </w:p>
          <w:p>
            <w:pPr>
              <w:pStyle w:val="null3"/>
              <w:ind w:firstLine="560"/>
              <w:jc w:val="both"/>
            </w:pPr>
            <w:r>
              <w:rPr>
                <w:rFonts w:ascii="宋体" w:hAnsi="宋体" w:cs="宋体" w:eastAsia="宋体"/>
                <w:sz w:val="24"/>
                <w:color w:val="000000"/>
              </w:rPr>
              <w:t>五、建设工期：</w:t>
            </w:r>
            <w:r>
              <w:rPr>
                <w:rFonts w:ascii="times new roman, times, serif" w:hAnsi="times new roman, times, serif" w:cs="times new roman, times, serif" w:eastAsia="times new roman, times, serif"/>
                <w:sz w:val="24"/>
                <w:color w:val="000000"/>
              </w:rPr>
              <w:t>6</w:t>
            </w:r>
            <w:r>
              <w:rPr>
                <w:rFonts w:ascii="宋体" w:hAnsi="宋体" w:cs="宋体" w:eastAsia="宋体"/>
                <w:sz w:val="24"/>
                <w:color w:val="000000"/>
              </w:rPr>
              <w:t>个月</w:t>
            </w:r>
          </w:p>
          <w:p>
            <w:pPr>
              <w:pStyle w:val="null3"/>
              <w:ind w:firstLine="560"/>
              <w:jc w:val="both"/>
            </w:pPr>
            <w:r>
              <w:rPr>
                <w:rFonts w:ascii="宋体" w:hAnsi="宋体" w:cs="宋体" w:eastAsia="宋体"/>
                <w:sz w:val="24"/>
                <w:color w:val="000000"/>
              </w:rPr>
              <w:t>六、验收方式：分为两个阶段验收，第一阶段验收：软、硬件功能部署调试完成后进行功能性验收。第二阶段验收：在功能性验收合格后，进行试运行阶段验收。</w:t>
            </w:r>
          </w:p>
          <w:p>
            <w:pPr>
              <w:pStyle w:val="null3"/>
              <w:ind w:firstLine="560"/>
              <w:jc w:val="both"/>
            </w:pPr>
            <w:r>
              <w:rPr>
                <w:rFonts w:ascii="宋体" w:hAnsi="宋体" w:cs="宋体" w:eastAsia="宋体"/>
                <w:sz w:val="24"/>
                <w:color w:val="000000"/>
              </w:rPr>
              <w:t>七、付款方式：两个阶段验收合格后，支付合同款项</w:t>
            </w:r>
            <w:r>
              <w:rPr>
                <w:rFonts w:ascii="times new roman, times, serif" w:hAnsi="times new roman, times, serif" w:cs="times new roman, times, serif" w:eastAsia="times new roman, times, serif"/>
                <w:sz w:val="24"/>
                <w:color w:val="000000"/>
              </w:rPr>
              <w:t>100%</w:t>
            </w:r>
            <w:r>
              <w:rPr>
                <w:rFonts w:ascii="宋体" w:hAnsi="宋体" w:cs="宋体" w:eastAsia="宋体"/>
                <w:sz w:val="24"/>
                <w:color w:val="000000"/>
              </w:rPr>
              <w:t>。</w:t>
            </w:r>
          </w:p>
          <w:p>
            <w:pPr>
              <w:pStyle w:val="null3"/>
              <w:ind w:firstLine="560"/>
              <w:jc w:val="both"/>
            </w:pPr>
            <w:r>
              <w:rPr>
                <w:rFonts w:ascii="宋体" w:hAnsi="宋体" w:cs="宋体" w:eastAsia="宋体"/>
                <w:sz w:val="24"/>
                <w:color w:val="000000"/>
              </w:rPr>
              <w:t>八、项目预算及模块清单：</w:t>
            </w:r>
          </w:p>
          <w:tbl>
            <w:tblPr>
              <w:tblBorders>
                <w:top w:val="none" w:color="000000" w:sz="4"/>
                <w:left w:val="none" w:color="000000" w:sz="4"/>
                <w:bottom w:val="none" w:color="000000" w:sz="4"/>
                <w:right w:val="none" w:color="000000" w:sz="4"/>
                <w:insideH w:val="none"/>
                <w:insideV w:val="none"/>
              </w:tblBorders>
            </w:tblPr>
            <w:tblGrid>
              <w:gridCol w:w="365"/>
              <w:gridCol w:w="1337"/>
              <w:gridCol w:w="851"/>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20"/>
                    <w:jc w:val="both"/>
                  </w:pPr>
                  <w:r>
                    <w:rPr>
                      <w:rFonts w:ascii="宋体" w:hAnsi="宋体" w:cs="宋体" w:eastAsia="宋体"/>
                      <w:sz w:val="24"/>
                      <w:color w:val="000000"/>
                    </w:rPr>
                    <w:t>陕西省肿瘤医院</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财务管理系统升级</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软件部分</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电子会计档案管理系统（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2</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固定资产在线管理系统（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3</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合同在线管理系统（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4</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预算上报管理系统（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5</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薪酬在线管理系统（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6</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政府采购预算管理模块（</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7</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医院综合管理全支付管理系统（</w:t>
                  </w: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硬件部分</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1</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高速扫描仪（台）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2</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高拍仪（台）</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rPr>
                    <w:t>4</w:t>
                  </w:r>
                </w:p>
              </w:tc>
            </w:tr>
          </w:tbl>
          <w:p>
            <w:pPr>
              <w:pStyle w:val="null3"/>
              <w:ind w:firstLine="560"/>
              <w:jc w:val="both"/>
              <w:outlineLvl w:val="0"/>
            </w:pPr>
            <w:r>
              <w:rPr>
                <w:rFonts w:ascii="仿宋" w:hAnsi="仿宋" w:cs="仿宋" w:eastAsia="仿宋"/>
                <w:sz w:val="30"/>
                <w:b/>
              </w:rPr>
              <w:t>第三部分</w:t>
            </w:r>
            <w:r>
              <w:rPr>
                <w:rFonts w:ascii="仿宋" w:hAnsi="仿宋" w:cs="仿宋" w:eastAsia="仿宋"/>
                <w:sz w:val="30"/>
                <w:b/>
              </w:rPr>
              <w:t>项目要求详细描述</w:t>
            </w:r>
          </w:p>
          <w:p>
            <w:pPr>
              <w:pStyle w:val="null3"/>
              <w:spacing w:before="240" w:after="120"/>
              <w:jc w:val="both"/>
              <w:outlineLvl w:val="1"/>
            </w:pPr>
            <w:r>
              <w:rPr>
                <w:rFonts w:ascii="仿宋" w:hAnsi="仿宋" w:cs="仿宋" w:eastAsia="仿宋"/>
                <w:sz w:val="30"/>
                <w:b/>
              </w:rPr>
              <w:t>1 基本要求</w:t>
            </w:r>
          </w:p>
          <w:p>
            <w:pPr>
              <w:pStyle w:val="null3"/>
              <w:ind w:firstLine="480"/>
              <w:jc w:val="both"/>
            </w:pPr>
            <w:r>
              <w:rPr>
                <w:rFonts w:ascii="宋体" w:hAnsi="宋体" w:cs="宋体" w:eastAsia="宋体"/>
                <w:sz w:val="24"/>
                <w:color w:val="000000"/>
              </w:rPr>
              <w:t>满足医院薪酬业务的一次下发，二次上报及多轮下发、多轮上报。提供符合医院要求的</w:t>
            </w:r>
            <w:r>
              <w:rPr>
                <w:rFonts w:ascii="times new roman, times, serif" w:hAnsi="times new roman, times, serif" w:cs="times new roman, times, serif" w:eastAsia="times new roman, times, serif"/>
                <w:sz w:val="24"/>
                <w:color w:val="000000"/>
              </w:rPr>
              <w:t>PC</w:t>
            </w:r>
            <w:r>
              <w:rPr>
                <w:rFonts w:ascii="宋体" w:hAnsi="宋体" w:cs="宋体" w:eastAsia="宋体"/>
                <w:sz w:val="24"/>
                <w:color w:val="000000"/>
              </w:rPr>
              <w:t>端、移动端操作程序。同时与医院工资系统对接，在线完成薪酬数据统一。向全院所有科室延申科室资产明细数据、资产台账数据。增加科室资产变动、资产报废在线单据，实现数据的实时动态统一。</w:t>
            </w:r>
          </w:p>
          <w:p>
            <w:pPr>
              <w:pStyle w:val="null3"/>
              <w:ind w:firstLine="480"/>
              <w:jc w:val="left"/>
              <w:outlineLvl w:val="1"/>
            </w:pPr>
            <w:r>
              <w:rPr>
                <w:rFonts w:ascii="仿宋" w:hAnsi="仿宋" w:cs="仿宋" w:eastAsia="仿宋"/>
                <w:sz w:val="30"/>
                <w:b/>
              </w:rPr>
              <w:t>2 总体要求</w:t>
            </w:r>
          </w:p>
          <w:p>
            <w:pPr>
              <w:pStyle w:val="null3"/>
              <w:ind w:firstLine="480"/>
              <w:jc w:val="both"/>
            </w:pPr>
            <w:r>
              <w:rPr>
                <w:rFonts w:ascii="宋体" w:hAnsi="宋体" w:cs="宋体" w:eastAsia="宋体"/>
                <w:sz w:val="24"/>
                <w:color w:val="000000"/>
              </w:rPr>
              <w:t>满足医院薪酬业务的一次下发，二次上报及多轮下发、多轮上报。提供符合医院要求的</w:t>
            </w:r>
            <w:r>
              <w:rPr>
                <w:rFonts w:ascii="times new roman, times, serif" w:hAnsi="times new roman, times, serif" w:cs="times new roman, times, serif" w:eastAsia="times new roman, times, serif"/>
                <w:sz w:val="24"/>
                <w:color w:val="000000"/>
              </w:rPr>
              <w:t>PC</w:t>
            </w:r>
            <w:r>
              <w:rPr>
                <w:rFonts w:ascii="宋体" w:hAnsi="宋体" w:cs="宋体" w:eastAsia="宋体"/>
                <w:sz w:val="24"/>
                <w:color w:val="000000"/>
              </w:rPr>
              <w:t>端、移动端操作程序。同时与医院工资系统对接，在线完成薪酬数据统一。方便业务科室在线进行数据流转与数据审批。减轻业务科室工作量，提升业务办事效率。达到医院</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业务向轻量级及智能化的发展。</w:t>
            </w:r>
          </w:p>
          <w:p>
            <w:pPr>
              <w:pStyle w:val="null3"/>
              <w:ind w:firstLine="480"/>
              <w:jc w:val="both"/>
            </w:pPr>
            <w:r>
              <w:rPr>
                <w:rFonts w:ascii="宋体" w:hAnsi="宋体" w:cs="宋体" w:eastAsia="宋体"/>
                <w:sz w:val="24"/>
                <w:color w:val="000000"/>
              </w:rPr>
              <w:t>为使医院资产管理流程更顺畅，业务、账务、实物数据更统一，固向全院所有科室延申科室资产明细数据、资产台账数据。增加科室资产变动、资产报废在线单据，实现数据的实时动态统一，单据的在线提交、审批和确认。完成数据与</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系统的在线交互，提升医院资产管理水平。</w:t>
            </w:r>
          </w:p>
          <w:p>
            <w:pPr>
              <w:pStyle w:val="null3"/>
              <w:jc w:val="both"/>
              <w:outlineLvl w:val="1"/>
            </w:pPr>
            <w:r>
              <w:rPr>
                <w:rFonts w:ascii="仿宋" w:hAnsi="仿宋" w:cs="仿宋" w:eastAsia="仿宋"/>
                <w:sz w:val="30"/>
                <w:b/>
              </w:rPr>
              <w:t>3 详细说明</w:t>
            </w:r>
          </w:p>
          <w:tbl>
            <w:tblPr>
              <w:tblInd w:type="dxa" w:w="90"/>
              <w:tblBorders>
                <w:top w:val="none" w:color="000000" w:sz="4"/>
                <w:left w:val="none" w:color="000000" w:sz="4"/>
                <w:bottom w:val="none" w:color="000000" w:sz="4"/>
                <w:right w:val="none" w:color="000000" w:sz="4"/>
                <w:insideH w:val="none"/>
                <w:insideV w:val="none"/>
              </w:tblBorders>
            </w:tblPr>
            <w:tblGrid>
              <w:gridCol w:w="179"/>
              <w:gridCol w:w="200"/>
              <w:gridCol w:w="230"/>
              <w:gridCol w:w="259"/>
              <w:gridCol w:w="1669"/>
            </w:tblGrid>
            <w:tr>
              <w:tc>
                <w:tcPr>
                  <w:tcW w:type="dxa" w:w="17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20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b/>
                      <w:color w:val="000000"/>
                    </w:rPr>
                    <w:t>系统名称</w:t>
                  </w:r>
                </w:p>
              </w:tc>
              <w:tc>
                <w:tcPr>
                  <w:tcW w:type="dxa" w:w="23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b/>
                      <w:color w:val="000000"/>
                    </w:rPr>
                    <w:t>模块</w:t>
                  </w:r>
                </w:p>
              </w:tc>
              <w:tc>
                <w:tcPr>
                  <w:tcW w:type="dxa" w:w="25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b/>
                      <w:color w:val="000000"/>
                    </w:rPr>
                    <w:t>功能点</w:t>
                  </w:r>
                </w:p>
              </w:tc>
              <w:tc>
                <w:tcPr>
                  <w:tcW w:type="dxa" w:w="166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b/>
                      <w:color w:val="000000"/>
                    </w:rPr>
                    <w:t>功能描述</w:t>
                  </w:r>
                </w:p>
              </w:tc>
            </w:tr>
            <w:tr>
              <w:tc>
                <w:tcPr>
                  <w:tcW w:type="dxa" w:w="179"/>
                  <w:vMerge/>
                  <w:tcBorders>
                    <w:top w:val="single" w:color="000000" w:sz="4"/>
                    <w:left w:val="singl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259"/>
                  <w:vMerge/>
                  <w:tcBorders>
                    <w:top w:val="single" w:color="000000" w:sz="4"/>
                    <w:left w:val="none" w:color="000000" w:sz="4"/>
                    <w:bottom w:val="single" w:color="000000" w:sz="4"/>
                    <w:right w:val="single" w:color="000000" w:sz="4"/>
                  </w:tcBorders>
                </w:tcPr>
                <w:p/>
              </w:tc>
              <w:tc>
                <w:tcPr>
                  <w:tcW w:type="dxa" w:w="1669"/>
                  <w:vMerge/>
                  <w:tcBorders>
                    <w:top w:val="single" w:color="000000" w:sz="4"/>
                    <w:left w:val="none" w:color="000000" w:sz="4"/>
                    <w:bottom w:val="single" w:color="000000" w:sz="4"/>
                    <w:right w:val="single" w:color="000000" w:sz="4"/>
                  </w:tcBorders>
                </w:tcPr>
                <w:p/>
              </w:tc>
            </w:tr>
            <w:tr>
              <w:tc>
                <w:tcPr>
                  <w:tcW w:type="dxa" w:w="17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8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实现医院对电子会计档案系统的使用业务需求，通过对会计档案版式文件和结构化数据进行归档处理，完成用户对档案的相关操作。</w:t>
                  </w:r>
                </w:p>
              </w:tc>
            </w:tr>
            <w:tr>
              <w:tc>
                <w:tcPr>
                  <w:tcW w:type="dxa" w:w="179"/>
                  <w:vMerge/>
                  <w:tcBorders>
                    <w:top w:val="none" w:color="000000" w:sz="4"/>
                    <w:left w:val="single" w:color="000000" w:sz="4"/>
                    <w:bottom w:val="single" w:color="000000" w:sz="4"/>
                    <w:right w:val="single" w:color="000000" w:sz="4"/>
                  </w:tcBorders>
                </w:tcPr>
                <w:p/>
              </w:tc>
              <w:tc>
                <w:tcPr>
                  <w:tcW w:type="dxa" w:w="20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电子会计档案管理系统</w:t>
                  </w: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档案管理</w:t>
                  </w:r>
                </w:p>
              </w:tc>
              <w:tc>
                <w:tcPr>
                  <w:tcW w:type="dxa" w:w="2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立卷</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归档设置全宗号、归档起始年月，建立归档目录、档号规则。并可根据医院情况，自定义目录。</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整理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可手工著录；系统引导完成装册。</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归档</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对已装册会计凭证，账簿，报表分配案卷号、档号、数字签名。</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档案利用</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档案查询</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可根据类型，范围，期间等信息对已归档资料进行档案查询。</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档案借阅</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非单位人员查阅档案提交申请，在线审批后开通查阅权限。</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统计展板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统计并展示各月归档文件数量，档案借阅次数。</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高级查询</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可实现跨组织跨期间查询，支持关键词、摘要等查询。</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借阅申请</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对跨组织申请查看、下载进行流程审批。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档案销毁</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移交申请</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档案可对外移交、对内移交，生成</w:t>
                  </w:r>
                  <w:r>
                    <w:rPr>
                      <w:rFonts w:ascii="宋体" w:hAnsi="宋体" w:cs="宋体" w:eastAsia="宋体"/>
                      <w:sz w:val="22"/>
                      <w:color w:val="000000"/>
                    </w:rPr>
                    <w:t>单位的会计档案移交清册，可导出单位归档案电子文件及元数据。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申请审批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有权限用户可查看详细申请单信息同时审批</w:t>
                  </w:r>
                  <w:r>
                    <w:rPr>
                      <w:rFonts w:ascii="宋体" w:hAnsi="宋体" w:cs="宋体" w:eastAsia="宋体"/>
                      <w:sz w:val="22"/>
                      <w:color w:val="000000"/>
                    </w:rPr>
                    <w:t>\驳回申请。</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档案鉴定</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对到保管期限的档案进行鉴定。</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档案销毁</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对鉴定后没有意义再进行保管的档案进行销毁。</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纸质档案</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档案上架</w:t>
                  </w:r>
                  <w:r>
                    <w:rPr>
                      <w:rFonts w:ascii="宋体" w:hAnsi="宋体" w:cs="宋体" w:eastAsia="宋体"/>
                      <w:sz w:val="22"/>
                      <w:color w:val="000000"/>
                    </w:rPr>
                    <w:t>/下架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对纸质档案提供上架</w:t>
                  </w:r>
                  <w:r>
                    <w:rPr>
                      <w:rFonts w:ascii="宋体" w:hAnsi="宋体" w:cs="宋体" w:eastAsia="宋体"/>
                      <w:sz w:val="22"/>
                      <w:color w:val="000000"/>
                    </w:rPr>
                    <w:t>/下架记录，记录电子档案对应纸质档案的存储位置。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档案外借</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纸质档案外部使用，填写外借记录，约定归还日期，允许外部使用。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档案归还</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纸质档案使用完毕，归还档案，超期未归还档案进行催还处理。</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清单管理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保管清单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对已归档的档案目录进行清单示例。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移交清单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对移交记录进行清单示例。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销毁清单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对销毁记录进行清单示例。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角色管理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分配和管理用户角色权限。</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管理、维护用户信息及角色。</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单位信息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管理和维护单位的基本信息。</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数据接口</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停用启用数据接口，处理上游财务系统的待归档数据。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日志管理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记录数据的处理情况，用户的登录情况等。</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流程管理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设置企业在不同的档案管理场景下，对不同申请进行操作通过、驳回等操作。</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1、系统应与现有HRP系统财务管理模财务凭证附件无缝对接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2、系统应与现有网上报销系统附件、发票同步。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3、系统应与现有HRP系统人员档案、部门档案同步。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4、系统需支持高拍仪、扫描仪快速扫描上传。</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固定资产在线管理系统</w:t>
                  </w:r>
                </w:p>
              </w:tc>
              <w:tc>
                <w:tcPr>
                  <w:tcW w:type="dxa" w:w="48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为使医院资产管理流程更顺畅，业务、账务、实物数据更统一，面</w:t>
                  </w:r>
                  <w:r>
                    <w:rPr>
                      <w:rFonts w:ascii="宋体" w:hAnsi="宋体" w:cs="宋体" w:eastAsia="宋体"/>
                      <w:sz w:val="22"/>
                      <w:color w:val="000000"/>
                    </w:rPr>
                    <w:t>向全院所有科室延伸科室资产明细数据、资产台账数据</w:t>
                  </w:r>
                  <w:r>
                    <w:rPr>
                      <w:rFonts w:ascii="宋体" w:hAnsi="宋体" w:cs="宋体" w:eastAsia="宋体"/>
                      <w:sz w:val="22"/>
                      <w:color w:val="000000"/>
                    </w:rPr>
                    <w:t>。增加科室资产</w:t>
                  </w:r>
                  <w:r>
                    <w:rPr>
                      <w:rFonts w:ascii="宋体" w:hAnsi="宋体" w:cs="宋体" w:eastAsia="宋体"/>
                      <w:sz w:val="22"/>
                      <w:color w:val="000000"/>
                    </w:rPr>
                    <w:t>变动、资产报废在线单据，支持数据的实时动态统一，单据的在线提交、审批和确认。完成数据与</w:t>
                  </w:r>
                  <w:r>
                    <w:rPr>
                      <w:rFonts w:ascii="宋体" w:hAnsi="宋体" w:cs="宋体" w:eastAsia="宋体"/>
                      <w:sz w:val="22"/>
                      <w:color w:val="000000"/>
                    </w:rPr>
                    <w:t>HRP 系统的在线交互。</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系统设置</w:t>
                  </w:r>
                  <w:r>
                    <w:rPr>
                      <w:rFonts w:ascii="宋体" w:hAnsi="宋体" w:cs="宋体" w:eastAsia="宋体"/>
                      <w:sz w:val="22"/>
                      <w:color w:val="000000"/>
                    </w:rPr>
                    <w:t>/用户管理</w:t>
                  </w:r>
                </w:p>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登录</w:t>
                  </w:r>
                  <w:r>
                    <w:rPr>
                      <w:rFonts w:ascii="宋体" w:hAnsi="宋体" w:cs="宋体" w:eastAsia="宋体"/>
                      <w:sz w:val="22"/>
                      <w:color w:val="000000"/>
                    </w:rPr>
                    <w:t>/注册</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用户通过不同的身份进行填写基本信息及账号信息进行账号的注册，注册成功后台审核，审核通过后进入登录页面进行账号登录；移动端院领导层需要</w:t>
                  </w:r>
                  <w:r>
                    <w:rPr>
                      <w:rFonts w:ascii="宋体" w:hAnsi="宋体" w:cs="宋体" w:eastAsia="宋体"/>
                      <w:sz w:val="22"/>
                      <w:color w:val="000000"/>
                    </w:rPr>
                    <w:t>CA电子签名授权后登录。</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部门管理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对人员、固定资产所在部门管理、部门授权、部门转移、部门变更。</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用户管理</w:t>
                  </w:r>
                </w:p>
                <w:p>
                  <w:pPr>
                    <w:pStyle w:val="null3"/>
                    <w:jc w:val="left"/>
                  </w:p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用户信息自动同步</w:t>
                  </w:r>
                  <w:r>
                    <w:rPr>
                      <w:rFonts w:ascii="宋体" w:hAnsi="宋体" w:cs="宋体" w:eastAsia="宋体"/>
                      <w:sz w:val="22"/>
                      <w:color w:val="000000"/>
                    </w:rPr>
                    <w:t>HRP系统中的人员档案包含人员基本信息（姓名、性别、部门、银行名称、银行账号、毕业院校、毕业日期、入职日期、出生日期、学历、专业、手机号、身份证号、岗位、角色、组织架构）。</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角色管理</w:t>
                  </w:r>
                </w:p>
                <w:p>
                  <w:pPr>
                    <w:pStyle w:val="null3"/>
                    <w:ind w:firstLine="280"/>
                    <w:jc w:val="left"/>
                  </w:p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提供严格的安全及权限管理体系，规范管理角色及用户权限，能够根据业务需要灵活地设定每项功能的操作权限和数据访问权限；利用功能权限及数据权限按需要划分不同区域，控制不同权限内部员工只能访问相关的应用，保护核心数据不被篡改，充分保障系统数据的安全性、可靠性。</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审批流管理</w:t>
                  </w:r>
                </w:p>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审批流设置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系统需满足各类业务单据的审批流自定义设置，并且能查看到审批情况、对审批信息有推送、提醒、接受功能；</w:t>
                  </w:r>
                </w:p>
                <w:p>
                  <w:pPr>
                    <w:pStyle w:val="null3"/>
                    <w:jc w:val="left"/>
                  </w:pPr>
                  <w:r>
                    <w:rPr>
                      <w:rFonts w:ascii="宋体" w:hAnsi="宋体" w:cs="宋体" w:eastAsia="宋体"/>
                      <w:sz w:val="22"/>
                      <w:color w:val="000000"/>
                    </w:rPr>
                    <w:t>审批需调用现有网上报销系统</w:t>
                  </w:r>
                  <w:r>
                    <w:rPr>
                      <w:rFonts w:ascii="宋体" w:hAnsi="宋体" w:cs="宋体" w:eastAsia="宋体"/>
                      <w:sz w:val="22"/>
                      <w:color w:val="000000"/>
                    </w:rPr>
                    <w:t>CA电子签名。</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资产台账管理</w:t>
                  </w:r>
                </w:p>
                <w:p>
                  <w:pPr>
                    <w:pStyle w:val="null3"/>
                    <w:jc w:val="center"/>
                  </w:p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资产台账查询</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实现资产卡片日常查询功能，支持卡片使用科室查询、管理科室查询、资产类别查询。</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资产卡片支持多资金来源、多部门使用查询。</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实现对资产管理数据统计查询及报表分析。</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资产转移管理</w:t>
                  </w:r>
                </w:p>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资产转移管理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实现资产的部门转移管理，支持需求部门发起在库资产申请，由归口部门审核后进行转移、可配置审批流。</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资产处置管理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▲资产处置管理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实现资产的报废处置管理，支持需求部门发起在库资产处置申请，由归口部门审核后进行处置，可配置审批流。</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资产移交管理</w:t>
                  </w:r>
                </w:p>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资产移交管理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实现资产管理部门领导层变动后固定资产交接；固定资产移交部门统计提交本部门管理资产数量、本部门使用资产数量，线上审批移交给资产接收部门。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系统要求</w:t>
                  </w:r>
                </w:p>
                <w:p>
                  <w:pPr>
                    <w:pStyle w:val="null3"/>
                    <w:jc w:val="center"/>
                  </w:p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1、应为 B/S、C/S 架构相结合并支持移动端的应用，方便科室使用与维护。</w:t>
                  </w:r>
                  <w:r>
                    <w:br/>
                  </w:r>
                  <w:r>
                    <w:rPr>
                      <w:rFonts w:ascii="宋体" w:hAnsi="宋体" w:cs="宋体" w:eastAsia="宋体"/>
                      <w:sz w:val="22"/>
                      <w:color w:val="000000"/>
                    </w:rPr>
                    <w:t>2、应与现有 HRP 系统资产物流、资产卡片模块数据无缝对接。</w:t>
                  </w:r>
                  <w:r>
                    <w:br/>
                  </w:r>
                  <w:r>
                    <w:rPr>
                      <w:rFonts w:ascii="宋体" w:hAnsi="宋体" w:cs="宋体" w:eastAsia="宋体"/>
                      <w:sz w:val="22"/>
                      <w:color w:val="000000"/>
                    </w:rPr>
                    <w:t>3、系统应与现有 HRP 系统人员、部门、资产、权限同步，保证数据及权限的一致性。</w:t>
                  </w:r>
                  <w:r>
                    <w:br/>
                  </w:r>
                  <w:r>
                    <w:rPr>
                      <w:rFonts w:ascii="宋体" w:hAnsi="宋体" w:cs="宋体" w:eastAsia="宋体"/>
                      <w:sz w:val="22"/>
                      <w:color w:val="000000"/>
                    </w:rPr>
                    <w:t>4、系统需满足各类业务单据的审批流自定义设置，并且能查看到审批情况；调用现有网上报销平台CA电子签名。</w:t>
                  </w:r>
                  <w:r>
                    <w:br/>
                  </w:r>
                  <w:r>
                    <w:rPr>
                      <w:rFonts w:ascii="宋体" w:hAnsi="宋体" w:cs="宋体" w:eastAsia="宋体"/>
                      <w:sz w:val="22"/>
                      <w:color w:val="000000"/>
                    </w:rPr>
                    <w:t>5、建立覆盖管理者、使用者、职能科室的全生命周期资产管理平台。</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合同在线管理系统</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在线创建、审批、签署和存档合同，使合同处理过程更加快捷和便利，与医院相关经济事项共享合同信息，根据合同内容控制医院各项经济业务，使医院业务有据可依，有据可查。方便职能科室对合同业务操作与管理。</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合同起草</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实现根据不同合同类别（服务、采购、工程）设置合同模板。</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台账管理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按照合同类型、单位、部门、时间、金额等等条件筛选。</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多维度生成合同明细报表、合同汇总表。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实现按条件导出报表功能。</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实现按条件在线打印报表。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合同对方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对供应商资质、开户信息、开票信息、收件信息维护。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合同执行各个环节记录随时了解；</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历史签约情况、款项、发票、进度一键查看。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收付款管理</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合同计划收付款</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根据合同计划收付款，可分多次不同比例金额建立计划。</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根据计划付款金额到执行日期自动提醒，合同金额完成比例、执行情况是否逾期</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合同实际收付款</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根据合同实际收付款，可分多次不同比例金额进行操作。</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每笔金额执行之后可对剩余金额进行核销。</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发票管理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发票管理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已开票量、未开票量统计。</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合同提醒</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合同提醒</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合同到期的计划收款、到期的计划付款。</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合同待处理实际付款、实际收款。</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合同标的物的到期提醒。</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合同到期提醒。</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客户、供应商、合同审批提醒。</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合同提醒代办、有多少代办工作明细化。</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272B33"/>
                    </w:rPr>
                    <w:t>流程审批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合同审批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系统需满足各类业务单据的审批流自定义设置，并且能查看到审批情况、对审批信息有推送、提醒、接受功能。</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1、系统应为 B/S、C/S 架构相结合并实现移动端的应用，方便科室使用与维护。</w:t>
                  </w:r>
                  <w:r>
                    <w:br/>
                  </w:r>
                  <w:r>
                    <w:rPr>
                      <w:rFonts w:ascii="宋体" w:hAnsi="宋体" w:cs="宋体" w:eastAsia="宋体"/>
                      <w:sz w:val="22"/>
                      <w:color w:val="000000"/>
                    </w:rPr>
                    <w:t>2、系统应与现有 HRP系统采购、应付模块、出纳模块数据无缝对接。</w:t>
                  </w:r>
                  <w:r>
                    <w:br/>
                  </w:r>
                  <w:r>
                    <w:rPr>
                      <w:rFonts w:ascii="宋体" w:hAnsi="宋体" w:cs="宋体" w:eastAsia="宋体"/>
                      <w:sz w:val="22"/>
                      <w:color w:val="000000"/>
                    </w:rPr>
                    <w:t>3、系统应与现有 HRP 系统人员、供应商，保证数据及权限的一致性。</w:t>
                  </w:r>
                  <w:r>
                    <w:br/>
                  </w:r>
                  <w:r>
                    <w:rPr>
                      <w:rFonts w:ascii="宋体" w:hAnsi="宋体" w:cs="宋体" w:eastAsia="宋体"/>
                      <w:sz w:val="22"/>
                      <w:color w:val="000000"/>
                    </w:rPr>
                    <w:t>4、系统需实现各类业务单据的审批流自定义设置，并且能查看到审批情况。</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预算上报管理系统</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科室预算管理是预算管理模块的深化应用</w:t>
                  </w:r>
                  <w:r>
                    <w:rPr>
                      <w:rFonts w:ascii="宋体" w:hAnsi="宋体" w:cs="宋体" w:eastAsia="宋体"/>
                      <w:sz w:val="22"/>
                      <w:color w:val="000000"/>
                    </w:rPr>
                    <w:t>。旨在使预算管理由财务部单独管理升级为全院各科室预算管理</w:t>
                  </w:r>
                  <w:r>
                    <w:rPr>
                      <w:rFonts w:ascii="宋体" w:hAnsi="宋体" w:cs="宋体" w:eastAsia="宋体"/>
                      <w:sz w:val="22"/>
                      <w:color w:val="000000"/>
                    </w:rPr>
                    <w:t>。是在医院战略目标的指引下，</w:t>
                  </w:r>
                  <w:r>
                    <w:rPr>
                      <w:rFonts w:ascii="宋体" w:hAnsi="宋体" w:cs="宋体" w:eastAsia="宋体"/>
                      <w:sz w:val="22"/>
                      <w:color w:val="000000"/>
                    </w:rPr>
                    <w:t>通过预算编制、执行、控制、考评与激励等一系列活动，优化医院的资</w:t>
                  </w:r>
                  <w:r>
                    <w:rPr>
                      <w:rFonts w:ascii="宋体" w:hAnsi="宋体" w:cs="宋体" w:eastAsia="宋体"/>
                      <w:sz w:val="22"/>
                      <w:color w:val="000000"/>
                    </w:rPr>
                    <w:t>源配置，全方位地调动医院各个层面员工的积极性，全面提高医院管理水平和经营效率，实现医院价值的最大化。</w:t>
                  </w:r>
                  <w:r>
                    <w:br/>
                  </w:r>
                  <w:r>
                    <w:rPr>
                      <w:rFonts w:ascii="宋体" w:hAnsi="宋体" w:cs="宋体" w:eastAsia="宋体"/>
                      <w:sz w:val="22"/>
                      <w:color w:val="000000"/>
                    </w:rPr>
                    <w:t>构建集中的科室预算管理平台，建立统一的预算管理方案，包括预</w:t>
                  </w:r>
                  <w:r>
                    <w:rPr>
                      <w:rFonts w:ascii="宋体" w:hAnsi="宋体" w:cs="宋体" w:eastAsia="宋体"/>
                      <w:sz w:val="22"/>
                      <w:color w:val="000000"/>
                    </w:rPr>
                    <w:t>算组织（预算管理委员会、职能科室、业务科室、项目单元）</w:t>
                  </w:r>
                  <w:r>
                    <w:rPr>
                      <w:rFonts w:ascii="宋体" w:hAnsi="宋体" w:cs="宋体" w:eastAsia="宋体"/>
                      <w:sz w:val="22"/>
                      <w:color w:val="000000"/>
                    </w:rPr>
                    <w:t>、预算的</w:t>
                  </w:r>
                  <w:r>
                    <w:rPr>
                      <w:rFonts w:ascii="宋体" w:hAnsi="宋体" w:cs="宋体" w:eastAsia="宋体"/>
                      <w:sz w:val="22"/>
                      <w:color w:val="000000"/>
                    </w:rPr>
                    <w:t>内容、预算项目、预算编制的方法、预算的编制审批过程和预算控制程</w:t>
                  </w:r>
                  <w:r>
                    <w:rPr>
                      <w:rFonts w:ascii="宋体" w:hAnsi="宋体" w:cs="宋体" w:eastAsia="宋体"/>
                      <w:sz w:val="22"/>
                      <w:color w:val="000000"/>
                    </w:rPr>
                    <w:t>度和方式。完成年度目标确定、预算编制、预算执行与控制、预算分析与调整全流程管理。</w:t>
                  </w:r>
                  <w:r>
                    <w:br/>
                  </w:r>
                  <w:r>
                    <w:rPr>
                      <w:rFonts w:ascii="宋体" w:hAnsi="宋体" w:cs="宋体" w:eastAsia="宋体"/>
                      <w:sz w:val="22"/>
                      <w:color w:val="000000"/>
                    </w:rPr>
                    <w:t>实现预算与财务系统、成本系统、业务系统集成应用，</w:t>
                  </w:r>
                  <w:r>
                    <w:rPr>
                      <w:rFonts w:ascii="宋体" w:hAnsi="宋体" w:cs="宋体" w:eastAsia="宋体"/>
                      <w:sz w:val="22"/>
                      <w:color w:val="000000"/>
                    </w:rPr>
                    <w:t>以预算数据</w:t>
                  </w:r>
                  <w:r>
                    <w:rPr>
                      <w:rFonts w:ascii="宋体" w:hAnsi="宋体" w:cs="宋体" w:eastAsia="宋体"/>
                      <w:sz w:val="22"/>
                      <w:color w:val="000000"/>
                    </w:rPr>
                    <w:t>作为业务系统执行过程中的控制依据</w:t>
                  </w:r>
                  <w:r>
                    <w:rPr>
                      <w:rFonts w:ascii="宋体" w:hAnsi="宋体" w:cs="宋体" w:eastAsia="宋体"/>
                      <w:sz w:val="22"/>
                      <w:color w:val="000000"/>
                    </w:rPr>
                    <w:t>。预算获取业务系统执行数据，完</w:t>
                  </w:r>
                  <w:r>
                    <w:rPr>
                      <w:rFonts w:ascii="宋体" w:hAnsi="宋体" w:cs="宋体" w:eastAsia="宋体"/>
                      <w:sz w:val="22"/>
                      <w:color w:val="000000"/>
                    </w:rPr>
                    <w:t>成预算核销</w:t>
                  </w:r>
                  <w:r>
                    <w:rPr>
                      <w:rFonts w:ascii="宋体" w:hAnsi="宋体" w:cs="宋体" w:eastAsia="宋体"/>
                      <w:sz w:val="22"/>
                      <w:color w:val="000000"/>
                    </w:rPr>
                    <w:t>。根据预算数据和实际执行情况进行预算分析，对整个预算管理过程给予客观的评价，并成为下一年预算管理的依据</w:t>
                  </w:r>
                  <w:r>
                    <w:rPr>
                      <w:rFonts w:ascii="宋体" w:hAnsi="宋体" w:cs="宋体" w:eastAsia="宋体"/>
                      <w:sz w:val="22"/>
                      <w:color w:val="000000"/>
                    </w:rPr>
                    <w:t>。每年年底至次年年末，是预算编制时期，各科室可以利用系统对预算进行编制，也</w:t>
                  </w:r>
                  <w:r>
                    <w:rPr>
                      <w:rFonts w:ascii="宋体" w:hAnsi="宋体" w:cs="宋体" w:eastAsia="宋体"/>
                      <w:sz w:val="22"/>
                      <w:color w:val="000000"/>
                    </w:rPr>
                    <w:t>可以将已经核定的预算数据，直接录入或导入预算系统。系统满足</w:t>
                  </w:r>
                  <w:r>
                    <w:rPr>
                      <w:rFonts w:ascii="宋体" w:hAnsi="宋体" w:cs="宋体" w:eastAsia="宋体"/>
                      <w:sz w:val="22"/>
                      <w:color w:val="000000"/>
                    </w:rPr>
                    <w:t>EXCEL外部数据导入和手工输入数据。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系统设置</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个人信息配置</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个人中心界面设置账号信息，密码配置，默认登录界面。</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权限管理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管理员账号可以在此添加新用户，设置角色，所属部门等权限。</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预算上报管理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部门预算主体对应</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部门与预算的主体设置对照，科室填完预算数据后上传</w:t>
                  </w:r>
                  <w:r>
                    <w:rPr>
                      <w:rFonts w:ascii="宋体" w:hAnsi="宋体" w:cs="宋体" w:eastAsia="宋体"/>
                      <w:sz w:val="22"/>
                      <w:color w:val="000000"/>
                    </w:rPr>
                    <w:t>HRP 生成对应的预算主体数据。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预算方案对应</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填报预算时系统走的方案，包含单主体，单归口，主体</w:t>
                  </w:r>
                  <w:r>
                    <w:rPr>
                      <w:rFonts w:ascii="宋体" w:hAnsi="宋体" w:cs="宋体" w:eastAsia="宋体"/>
                      <w:sz w:val="22"/>
                      <w:color w:val="000000"/>
                    </w:rPr>
                    <w:t>+归口三种方式，填报时根据实际需求按照支出项目去一一对应。</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支出项目对应方案</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支出项目同预算方案关联，设置之后在选择支出项目系统会自动带出预算方案。</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预算流程定义</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设置支出项目填报后走的流程，通常是主体</w:t>
                  </w:r>
                  <w:r>
                    <w:rPr>
                      <w:rFonts w:ascii="宋体" w:hAnsi="宋体" w:cs="宋体" w:eastAsia="宋体"/>
                      <w:sz w:val="22"/>
                      <w:color w:val="000000"/>
                    </w:rPr>
                    <w:t>-归口-院方。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预算上报任务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设置下发填报任务（按年度）</w:t>
                  </w:r>
                  <w:r>
                    <w:rPr>
                      <w:rFonts w:ascii="宋体" w:hAnsi="宋体" w:cs="宋体" w:eastAsia="宋体"/>
                      <w:sz w:val="22"/>
                      <w:color w:val="000000"/>
                    </w:rPr>
                    <w:t>，其中可选择哪些科室填报，设置后开启任务后各科室可填报当年的预算事项。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部门预算事项上报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各科室上报（下年）的预算事项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部门预算上报列表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各科室上报事项数据展示。</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事项归集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将科室上报的具体事项由各归口进行具体支出项目对照，完成后生成本年预算数据，开始科室填报。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科室填报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上报类型不同有多个单据，科室进入后对支出项目金额进行修改审核提交。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归口填报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归口科室对所管辖的支出项目进行审核。</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院方填报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院方对主体和归口提交的支出项目进行修改审核。</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主体预算调整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调整主体预算数据。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归口预算调整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调整归口预算数据。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全院填报统计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按照支出项目统计科室填报的数据，可点开具体金额查看事项明细。</w:t>
                  </w:r>
                  <w:r>
                    <w:rPr>
                      <w:rFonts w:ascii="宋体" w:hAnsi="宋体" w:cs="宋体" w:eastAsia="宋体"/>
                      <w:sz w:val="22"/>
                      <w:color w:val="000000"/>
                    </w:rPr>
                    <w:t>按照事项统计科室填报的数据，包括在其中增删修改过的事项，所有明细一一展开。</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科室执行统计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科室可以看到预算数据与当前按月份，季度，年统计的预算执行金额及分析。</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全院执行统计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统计全院的预算数据与执行额，执行率的报表。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传入</w:t>
                  </w:r>
                  <w:r>
                    <w:rPr>
                      <w:rFonts w:ascii="宋体" w:hAnsi="宋体" w:cs="宋体" w:eastAsia="宋体"/>
                      <w:sz w:val="22"/>
                      <w:color w:val="000000"/>
                    </w:rPr>
                    <w:t>HRP系统</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将支出预算、收入预算上报数据传入</w:t>
                  </w:r>
                  <w:r>
                    <w:rPr>
                      <w:rFonts w:ascii="宋体" w:hAnsi="宋体" w:cs="宋体" w:eastAsia="宋体"/>
                      <w:sz w:val="22"/>
                      <w:color w:val="000000"/>
                    </w:rPr>
                    <w:t>HRP系统。</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1、系统应为 B/S、C/S 架构相结合，方便科室使用与维护。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2、系统应与现有 HRP系统支出预算、收入预算无缝对接。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3、系统应实现多种预算方案的上报，比如：主体+归口+项目、主体+项目、归口+项目。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4、系统应与现有 HRP系统人员档案、主体权限、预算项目、归口、预算方案同步。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5、系统应最少满足二上二下的预算上报流程。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6、系统应满足各预算主体预算项目权限的设置。保证各科室只能看到自己上报的预算项目。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7、系统应实现科室审批、归口审批、预算管理委员会审批功能。且科室能查看到审批情况。</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8、系统需实现预算调整单据的申请与审批，并完成预算调整。与HRP系统预算调整单据的同步。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9、科室可实时查看预算执行情况，提供科室预算执行统计分析表。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10、满足医院支出、收入预算的全面预算上报及实时过程监控。</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11、建立覆盖管理者、科室、归口统一的预算上报、编制、执行、分析平台。</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薪酬在线管理系统</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满足医院薪酬业务的一次下发，二次上报及多轮下发、多轮上报。提供符合医院要求的</w:t>
                  </w:r>
                  <w:r>
                    <w:rPr>
                      <w:rFonts w:ascii="宋体" w:hAnsi="宋体" w:cs="宋体" w:eastAsia="宋体"/>
                      <w:sz w:val="22"/>
                      <w:color w:val="000000"/>
                    </w:rPr>
                    <w:t>PC端、移动端操作程序。同时与医院工资系统对接，在线完成薪酬数据统一。</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系统设置</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消息模板设置</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设置消息提醒信息内容。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薪资项目管理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设置下发和上报的薪资项目，该薪资项取数来源与现有</w:t>
                  </w:r>
                  <w:r>
                    <w:rPr>
                      <w:rFonts w:ascii="宋体" w:hAnsi="宋体" w:cs="宋体" w:eastAsia="宋体"/>
                      <w:sz w:val="22"/>
                      <w:color w:val="000000"/>
                    </w:rPr>
                    <w:t>HRP系统薪资管理模块。</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工资条目设置管理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设置工资项目排列顺序，手机薪资项目查询显示顺序。</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薪酬在线管理系统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▲薪资发放任务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设置下发填报任务（按月），其中可选择任务上报类型（科室上报、中层干部填报、其他奖金上报）；选项需要上报的工资项目（夜班费、加班费、奖励绩效、其他）。</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w:t>
                  </w:r>
                  <w:r>
                    <w:rPr>
                      <w:rFonts w:ascii="宋体" w:hAnsi="宋体" w:cs="宋体" w:eastAsia="宋体"/>
                      <w:sz w:val="22"/>
                      <w:color w:val="000000"/>
                    </w:rPr>
                    <w:t>薪资发放额度</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根据薪资发放任务、薪资项目、为各个科室编写发放金额，可单个科室发放、批量科室统一发放。</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w:t>
                  </w:r>
                  <w:r>
                    <w:rPr>
                      <w:rFonts w:ascii="宋体" w:hAnsi="宋体" w:cs="宋体" w:eastAsia="宋体"/>
                      <w:sz w:val="22"/>
                      <w:color w:val="000000"/>
                    </w:rPr>
                    <w:t>科室薪资上报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科室薪资填报人员根据消息提醒填报本科室薪资金额情况。</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薪资上报查询</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科室填报人员查看本科填报情况。</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薪资管理科室查看全院薪资上报情况。</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w:t>
                  </w:r>
                  <w:r>
                    <w:rPr>
                      <w:rFonts w:ascii="宋体" w:hAnsi="宋体" w:cs="宋体" w:eastAsia="宋体"/>
                      <w:sz w:val="22"/>
                      <w:color w:val="000000"/>
                    </w:rPr>
                    <w:t>薪资上报统计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按照上报任务统计已上报多少科室未上报多少科室、防止有遗漏科室。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中层干部奖金绩效</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医院中层干部奖金绩效发放。</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其他奖金编制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特殊的奖金绩效编制（援藏、援外、公费学习）</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其他奖金上报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其他奖金绩效上报。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薪资上报整理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薪资管理科室根据上报数据按照科室、人员汇总写入</w:t>
                  </w:r>
                  <w:r>
                    <w:rPr>
                      <w:rFonts w:ascii="宋体" w:hAnsi="宋体" w:cs="宋体" w:eastAsia="宋体"/>
                      <w:sz w:val="22"/>
                      <w:color w:val="000000"/>
                    </w:rPr>
                    <w:t>HRP系统薪资模块。</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薪资统计表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按照月、季度、年度统计科室薪资上报数据。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1、系统应为 B/S、C/S 架构相结合并实现移动端的应用，方便科室使用与维护。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2、系统应与现有HRP系统薪资模块无缝对接。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3、系统应满足多种薪资奖金方案的上报。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4、系统应与现有HRP系统人员档案、部门档案、薪资项目同步。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5、系统应实现多轮下发、多轮上报。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6、提供科室薪资填报统计分析表。</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政府采购预算管理模块</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采购预算根据</w:t>
                  </w:r>
                  <w:r>
                    <w:rPr>
                      <w:rFonts w:ascii="宋体" w:hAnsi="宋体" w:cs="宋体" w:eastAsia="宋体"/>
                      <w:sz w:val="22"/>
                      <w:color w:val="000000"/>
                    </w:rPr>
                    <w:t>“多上多下”流程完成采购预算上报编制，通过预算任务、预算项目自动生成政府采购预算项目库。</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采购预算上报任务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采购预算上报任务</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设置上报任务（按年度），其中可选择哪些科室填报，设置后开启任务后各科室可填报当年的预算事项。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采购预算上报</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采购预算上报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归口科室上报（下年）的政府采购预算事项。</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填报采购预算项目名称、是否政府采购、资金来源（财政资金、科研资金、自由资金）、预算金额。</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科室填报</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采购预算科室任务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归口科室根据采购预算上报任务生成科室预算任务。</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采购科室填报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归口科室进入后对采购预算项目金额进行修改审核提交。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科室根据</w:t>
                  </w:r>
                  <w:r>
                    <w:rPr>
                      <w:rFonts w:ascii="宋体" w:hAnsi="宋体" w:cs="宋体" w:eastAsia="宋体"/>
                      <w:sz w:val="22"/>
                      <w:color w:val="000000"/>
                    </w:rPr>
                    <w:t>“多上多下”流程完成采购预算上报编制。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院方填报</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采购预算院方填报</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院方对主体和归口提交的支出项目进行修改审核。</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院方根据</w:t>
                  </w:r>
                  <w:r>
                    <w:rPr>
                      <w:rFonts w:ascii="宋体" w:hAnsi="宋体" w:cs="宋体" w:eastAsia="宋体"/>
                      <w:sz w:val="22"/>
                      <w:color w:val="000000"/>
                    </w:rPr>
                    <w:t>“多上多下”流程完成采购预算上报编制。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政府采购项目库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政府采购项目库</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由项目属性、资金来源自动生产政府采购项目库。</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报表</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报表分析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政府采购项目统计分析表。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医院采购项目统计分析表。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采购预算执行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采购预算执行</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与采购管理、合同管理互联互通。</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1、系统应为 B/S、C/S 架构相结合，方便科室使用与维护。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2、系统应与现有 HRP系统支出预算、收入预算无缝对接。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3、系统应满足多种预算方案的上报，比如：主体+归口+项目、主体+项目、归口+项目。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4、系统应与现有 HRP系统人员档案、主体权限、预算项目、归口、预算方案同步。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5、系统应最少实现二上二下的预算上报流程。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6、系统应实现各预算主体预算项目权限的设置。保证各科室只能看到自己上报的预算项目。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7、系统应实现科室审批、归口审批、预算管理委员会审批功能。且科室能查看到审批情况。</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8、科室可实时查看预算执行情况，提供科室预算执行统计分析表。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9、满足医院采购预算的全面预算上报及实时过程监控。</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医院综合管理全支付管理系统</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系统概述：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 xml:space="preserve">  </w:t>
                  </w:r>
                  <w:r>
                    <w:rPr>
                      <w:rFonts w:ascii="宋体" w:hAnsi="宋体" w:cs="宋体" w:eastAsia="宋体"/>
                      <w:sz w:val="22"/>
                      <w:color w:val="000000"/>
                    </w:rPr>
                    <w:t>满足医院对公支付需求，通过对供应商账期管理由采购以及发票自动生成对公支付单，与供应商余额做关联，提示、预警、控制。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系统设置</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供应商档案</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同步</w:t>
                  </w:r>
                  <w:r>
                    <w:rPr>
                      <w:rFonts w:ascii="宋体" w:hAnsi="宋体" w:cs="宋体" w:eastAsia="宋体"/>
                      <w:sz w:val="22"/>
                      <w:color w:val="000000"/>
                    </w:rPr>
                    <w:t>HRP供应档案（ 供应商名称、供应商开户行、收款人帐号）。</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部门档案</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同步</w:t>
                  </w:r>
                  <w:r>
                    <w:rPr>
                      <w:rFonts w:ascii="宋体" w:hAnsi="宋体" w:cs="宋体" w:eastAsia="宋体"/>
                      <w:sz w:val="22"/>
                      <w:color w:val="000000"/>
                    </w:rPr>
                    <w:t>HRP部门档案。</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挂账期间设置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按照自然月期间设置挂账单位。</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支付类型设置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药品款、卫生材料款、其他物资款、低值易耗品款。</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科目对应设置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支付科目设置（应付科目、资产科目）。</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凭证模板设置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按照单据类别、科目设置对应凭证模板。</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权限设置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利用功能权限及数据权限按需要划分不同区域，控制不同权限内部员工只能访问相关的应用。</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审批设置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系统需满足各类业务单据的审批流自定义设置，并且能查看到审批情况、对审批信息有推送、提醒、接受功能。</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结算方式</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现金、银行。</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供应商余额控制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提示、预警、控制。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汇总类型</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带量采购、挂付、直付。</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挂账申请单</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单据基本信息</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color w:val="000000"/>
                    </w:rPr>
                    <w:t>供应商采购入库时间、供应商名称、供应商开户行、收款人帐号、金额（根据付款明细汇总）、付款类型可选择（药品款、卫生材料款、其他物资款、低值易耗品款）、对应科目、供应商余额、汇总类型。</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挂账明细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入库单号、入库金额、物资明细（取</w:t>
                  </w:r>
                  <w:r>
                    <w:rPr>
                      <w:rFonts w:ascii="宋体" w:hAnsi="宋体" w:cs="宋体" w:eastAsia="宋体"/>
                      <w:sz w:val="22"/>
                      <w:color w:val="000000"/>
                    </w:rPr>
                    <w:t>HRP系统入库单信息）。</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单据附件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上传附件（通过高拍仪、高速扫描仪批量上传单据附件）。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挂账付款单</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付款单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由挂账申请单审批完成后自动生成付款单。</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付款明细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付款金额明细。</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单据附件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通过高拍仪、高速扫描仪批量上传单据附件。</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OCR发票识别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对供应商开具的发票做批量自助识别校验。</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生成凭证</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单据生成凭证传入</w:t>
                  </w:r>
                  <w:r>
                    <w:rPr>
                      <w:rFonts w:ascii="宋体" w:hAnsi="宋体" w:cs="宋体" w:eastAsia="宋体"/>
                      <w:sz w:val="22"/>
                      <w:color w:val="000000"/>
                    </w:rPr>
                    <w:t>HRP系统。</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系统要求</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1、系统应为 B/S、C/S 架构相结合并实现移动端的应用，方便科室使用与维护。</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2、系统应与现有 HRP系统总账模块、采购模块、库存模块无缝对接。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3、系统应与现有 HRP系统人员档案、供应商档案、部门档案同步。</w:t>
                  </w:r>
                </w:p>
              </w:tc>
            </w:tr>
            <w:tr>
              <w:tc>
                <w:tcPr>
                  <w:tcW w:type="dxa" w:w="179"/>
                  <w:vMerge/>
                  <w:tcBorders>
                    <w:top w:val="none" w:color="000000" w:sz="4"/>
                    <w:left w:val="singl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4、系统需满足各类业务单据的审批流自定义设置，并且能查看到审批情况；调用现有网上报销平台CA电子签名。</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硬件设备</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功能</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参数</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高速扫描仪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快速扫描发票、单据附件上传</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产品类型：馈纸式双面彩色扫描仪</w:t>
                  </w:r>
                  <w:r>
                    <w:br/>
                  </w:r>
                  <w:r>
                    <w:rPr>
                      <w:rFonts w:ascii="宋体" w:hAnsi="宋体" w:cs="宋体" w:eastAsia="宋体"/>
                      <w:sz w:val="22"/>
                      <w:color w:val="000000"/>
                    </w:rPr>
                    <w:t>扫描速度：</w:t>
                  </w:r>
                  <w:r>
                    <w:rPr>
                      <w:rFonts w:ascii="宋体" w:hAnsi="宋体" w:cs="宋体" w:eastAsia="宋体"/>
                      <w:sz w:val="22"/>
                      <w:color w:val="000000"/>
                    </w:rPr>
                    <w:t>35ppm/70ipm* (200/300dpi黑白/灰度/彩色)</w:t>
                  </w:r>
                  <w:r>
                    <w:br/>
                  </w:r>
                  <w:r>
                    <w:rPr>
                      <w:rFonts w:ascii="宋体" w:hAnsi="宋体" w:cs="宋体" w:eastAsia="宋体"/>
                      <w:sz w:val="22"/>
                      <w:color w:val="000000"/>
                    </w:rPr>
                    <w:t>光学分辨率：</w:t>
                  </w:r>
                  <w:r>
                    <w:rPr>
                      <w:rFonts w:ascii="宋体" w:hAnsi="宋体" w:cs="宋体" w:eastAsia="宋体"/>
                      <w:sz w:val="22"/>
                      <w:color w:val="000000"/>
                    </w:rPr>
                    <w:t>600 x 600dpi</w:t>
                  </w:r>
                  <w:r>
                    <w:br/>
                  </w:r>
                  <w:r>
                    <w:rPr>
                      <w:rFonts w:ascii="宋体" w:hAnsi="宋体" w:cs="宋体" w:eastAsia="宋体"/>
                      <w:sz w:val="22"/>
                      <w:color w:val="000000"/>
                    </w:rPr>
                    <w:t>像素深度：输入：</w:t>
                  </w:r>
                  <w:r>
                    <w:rPr>
                      <w:rFonts w:ascii="宋体" w:hAnsi="宋体" w:cs="宋体" w:eastAsia="宋体"/>
                      <w:sz w:val="22"/>
                      <w:color w:val="000000"/>
                    </w:rPr>
                    <w:t>10位/8位</w:t>
                  </w:r>
                  <w:r>
                    <w:br/>
                  </w:r>
                  <w:r>
                    <w:rPr>
                      <w:rFonts w:ascii="宋体" w:hAnsi="宋体" w:cs="宋体" w:eastAsia="宋体"/>
                      <w:sz w:val="22"/>
                      <w:color w:val="000000"/>
                    </w:rPr>
                    <w:t>文档尺寸：最小</w:t>
                  </w:r>
                  <w:r>
                    <w:rPr>
                      <w:rFonts w:ascii="宋体" w:hAnsi="宋体" w:cs="宋体" w:eastAsia="宋体"/>
                      <w:sz w:val="22"/>
                      <w:color w:val="000000"/>
                    </w:rPr>
                    <w:t>约</w:t>
                  </w:r>
                  <w:r>
                    <w:rPr>
                      <w:rFonts w:ascii="宋体" w:hAnsi="宋体" w:cs="宋体" w:eastAsia="宋体"/>
                      <w:sz w:val="22"/>
                      <w:color w:val="000000"/>
                    </w:rPr>
                    <w:t>50 × 50mm 最大约 215 × 6100mm</w:t>
                  </w:r>
                  <w:r>
                    <w:br/>
                  </w:r>
                  <w:r>
                    <w:rPr>
                      <w:rFonts w:ascii="宋体" w:hAnsi="宋体" w:cs="宋体" w:eastAsia="宋体"/>
                      <w:sz w:val="22"/>
                      <w:color w:val="000000"/>
                    </w:rPr>
                    <w:t>长纸扫描：约</w:t>
                  </w:r>
                  <w:r>
                    <w:rPr>
                      <w:rFonts w:ascii="宋体" w:hAnsi="宋体" w:cs="宋体" w:eastAsia="宋体"/>
                      <w:sz w:val="22"/>
                      <w:color w:val="000000"/>
                    </w:rPr>
                    <w:t>6100mm</w:t>
                  </w:r>
                  <w:r>
                    <w:br/>
                  </w:r>
                  <w:r>
                    <w:rPr>
                      <w:rFonts w:ascii="宋体" w:hAnsi="宋体" w:cs="宋体" w:eastAsia="宋体"/>
                      <w:sz w:val="22"/>
                      <w:color w:val="000000"/>
                    </w:rPr>
                    <w:t>纸张厚度：</w:t>
                  </w:r>
                  <w:r>
                    <w:rPr>
                      <w:rFonts w:ascii="宋体" w:hAnsi="宋体" w:cs="宋体" w:eastAsia="宋体"/>
                      <w:sz w:val="22"/>
                      <w:color w:val="000000"/>
                    </w:rPr>
                    <w:t>25g/m</w:t>
                  </w:r>
                  <w:r>
                    <w:rPr>
                      <w:rFonts w:ascii="宋体" w:hAnsi="宋体" w:cs="宋体" w:eastAsia="宋体"/>
                      <w:sz w:val="22"/>
                      <w:color w:val="000000"/>
                      <w:vertAlign w:val="superscript"/>
                    </w:rPr>
                    <w:t>2</w:t>
                  </w:r>
                  <w:r>
                    <w:rPr>
                      <w:rFonts w:ascii="宋体" w:hAnsi="宋体" w:cs="宋体" w:eastAsia="宋体"/>
                      <w:sz w:val="22"/>
                      <w:color w:val="000000"/>
                    </w:rPr>
                    <w:t xml:space="preserve"> </w:t>
                  </w:r>
                  <w:r>
                    <w:rPr>
                      <w:rFonts w:ascii="宋体" w:hAnsi="宋体" w:cs="宋体" w:eastAsia="宋体"/>
                      <w:sz w:val="22"/>
                      <w:color w:val="000000"/>
                    </w:rPr>
                    <w:t>~ 415g/m</w:t>
                  </w:r>
                  <w:r>
                    <w:rPr>
                      <w:rFonts w:ascii="宋体" w:hAnsi="宋体" w:cs="宋体" w:eastAsia="宋体"/>
                      <w:sz w:val="22"/>
                      <w:color w:val="000000"/>
                      <w:vertAlign w:val="superscript"/>
                    </w:rPr>
                    <w:t>2</w:t>
                  </w:r>
                  <w:r>
                    <w:br/>
                  </w:r>
                  <w:r>
                    <w:rPr>
                      <w:rFonts w:ascii="宋体" w:hAnsi="宋体" w:cs="宋体" w:eastAsia="宋体"/>
                      <w:sz w:val="22"/>
                      <w:color w:val="000000"/>
                    </w:rPr>
                    <w:t>进纸器容量不少于</w:t>
                  </w:r>
                  <w:r>
                    <w:rPr>
                      <w:rFonts w:ascii="宋体" w:hAnsi="宋体" w:cs="宋体" w:eastAsia="宋体"/>
                      <w:sz w:val="22"/>
                      <w:color w:val="000000"/>
                    </w:rPr>
                    <w:t xml:space="preserve">50页 </w:t>
                  </w:r>
                  <w:r>
                    <w:br/>
                  </w:r>
                  <w:r>
                    <w:rPr>
                      <w:rFonts w:ascii="宋体" w:hAnsi="宋体" w:cs="宋体" w:eastAsia="宋体"/>
                      <w:sz w:val="22"/>
                      <w:color w:val="000000"/>
                    </w:rPr>
                    <w:t>日扫描量不低于</w:t>
                  </w:r>
                  <w:r>
                    <w:rPr>
                      <w:rFonts w:ascii="宋体" w:hAnsi="宋体" w:cs="宋体" w:eastAsia="宋体"/>
                      <w:sz w:val="22"/>
                      <w:color w:val="000000"/>
                    </w:rPr>
                    <w:t>4,000页</w:t>
                  </w:r>
                  <w:r>
                    <w:br/>
                  </w:r>
                  <w:r>
                    <w:rPr>
                      <w:rFonts w:ascii="宋体" w:hAnsi="宋体" w:cs="宋体" w:eastAsia="宋体"/>
                      <w:sz w:val="22"/>
                      <w:color w:val="000000"/>
                    </w:rPr>
                    <w:t>实现</w:t>
                  </w:r>
                  <w:r>
                    <w:rPr>
                      <w:rFonts w:ascii="宋体" w:hAnsi="宋体" w:cs="宋体" w:eastAsia="宋体"/>
                      <w:sz w:val="22"/>
                      <w:color w:val="000000"/>
                    </w:rPr>
                    <w:t>OCR识别</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高拍仪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拍照发票、单据附件上传</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满足各规格文档的高拍、扫描像素</w:t>
                  </w:r>
                  <w:r>
                    <w:rPr>
                      <w:rFonts w:ascii="宋体" w:hAnsi="宋体" w:cs="宋体" w:eastAsia="宋体"/>
                      <w:sz w:val="22"/>
                      <w:color w:val="000000"/>
                    </w:rPr>
                    <w:t>&gt;1800万像素，满足A3、A4扫描,支持OCR识别，支持扫描速度&lt;2秒,支持正反面合成自动拆剪纠偏，一键去底色</w:t>
                  </w:r>
                </w:p>
              </w:tc>
            </w:tr>
          </w:tbl>
          <w:p>
            <w:pPr>
              <w:pStyle w:val="null3"/>
              <w:jc w:val="both"/>
            </w:pPr>
            <w:r>
              <w:rPr>
                <w:rFonts w:ascii="宋体" w:hAnsi="宋体" w:cs="宋体" w:eastAsia="宋体"/>
                <w:sz w:val="24"/>
                <w:color w:val="000000"/>
              </w:rPr>
              <w:t>系统需支持</w:t>
            </w:r>
          </w:p>
          <w:p>
            <w:pPr>
              <w:pStyle w:val="null3"/>
              <w:ind w:firstLine="480"/>
              <w:jc w:val="both"/>
            </w:pPr>
            <w:r>
              <w:rPr>
                <w:rFonts w:ascii="times new roman, times, serif" w:hAnsi="times new roman, times, serif" w:cs="times new roman, times, serif" w:eastAsia="times new roman, times, serif"/>
                <w:sz w:val="24"/>
                <w:color w:val="000000"/>
              </w:rPr>
              <w:t>1</w:t>
            </w:r>
            <w:r>
              <w:rPr>
                <w:rFonts w:ascii="宋体" w:hAnsi="宋体" w:cs="宋体" w:eastAsia="宋体"/>
                <w:sz w:val="24"/>
                <w:color w:val="000000"/>
              </w:rPr>
              <w:t>、系统需同时</w:t>
            </w:r>
            <w:r>
              <w:rPr>
                <w:rFonts w:ascii="宋体" w:hAnsi="宋体" w:cs="宋体" w:eastAsia="宋体"/>
                <w:sz w:val="22"/>
                <w:color w:val="000000"/>
              </w:rPr>
              <w:t>实现</w:t>
            </w:r>
            <w:r>
              <w:rPr>
                <w:rFonts w:ascii="times new roman, times, serif" w:hAnsi="times new roman, times, serif" w:cs="times new roman, times, serif" w:eastAsia="times new roman, times, serif"/>
                <w:sz w:val="24"/>
                <w:color w:val="000000"/>
              </w:rPr>
              <w:t>PC</w:t>
            </w:r>
            <w:r>
              <w:rPr>
                <w:rFonts w:ascii="宋体" w:hAnsi="宋体" w:cs="宋体" w:eastAsia="宋体"/>
                <w:sz w:val="24"/>
                <w:color w:val="000000"/>
              </w:rPr>
              <w:t>端、移动端，</w:t>
            </w:r>
            <w:r>
              <w:rPr>
                <w:rFonts w:ascii="times new roman, times, serif" w:hAnsi="times new roman, times, serif" w:cs="times new roman, times, serif" w:eastAsia="times new roman, times, serif"/>
                <w:sz w:val="24"/>
                <w:color w:val="000000"/>
              </w:rPr>
              <w:t>PC</w:t>
            </w:r>
            <w:r>
              <w:rPr>
                <w:rFonts w:ascii="宋体" w:hAnsi="宋体" w:cs="宋体" w:eastAsia="宋体"/>
                <w:sz w:val="24"/>
                <w:color w:val="000000"/>
              </w:rPr>
              <w:t>端业务都能同时</w:t>
            </w:r>
            <w:r>
              <w:rPr>
                <w:rFonts w:ascii="宋体" w:hAnsi="宋体" w:cs="宋体" w:eastAsia="宋体"/>
                <w:sz w:val="22"/>
                <w:color w:val="000000"/>
              </w:rPr>
              <w:t>实现</w:t>
            </w:r>
            <w:r>
              <w:rPr>
                <w:rFonts w:ascii="宋体" w:hAnsi="宋体" w:cs="宋体" w:eastAsia="宋体"/>
                <w:sz w:val="24"/>
                <w:color w:val="000000"/>
              </w:rPr>
              <w:t>移动端应用，客户可自由选择移动端操作和</w:t>
            </w:r>
            <w:r>
              <w:rPr>
                <w:rFonts w:ascii="times new roman, times, serif" w:hAnsi="times new roman, times, serif" w:cs="times new roman, times, serif" w:eastAsia="times new roman, times, serif"/>
                <w:sz w:val="24"/>
                <w:color w:val="000000"/>
              </w:rPr>
              <w:t>PC</w:t>
            </w:r>
            <w:r>
              <w:rPr>
                <w:rFonts w:ascii="宋体" w:hAnsi="宋体" w:cs="宋体" w:eastAsia="宋体"/>
                <w:sz w:val="24"/>
                <w:color w:val="000000"/>
              </w:rPr>
              <w:t>端操作。</w:t>
            </w:r>
          </w:p>
          <w:p>
            <w:pPr>
              <w:pStyle w:val="null3"/>
              <w:ind w:firstLine="480"/>
              <w:jc w:val="both"/>
            </w:pPr>
            <w:r>
              <w:rPr>
                <w:rFonts w:ascii="times new roman, times, serif" w:hAnsi="times new roman, times, serif" w:cs="times new roman, times, serif" w:eastAsia="times new roman, times, serif"/>
                <w:sz w:val="24"/>
                <w:color w:val="000000"/>
              </w:rPr>
              <w:t>2</w:t>
            </w:r>
            <w:r>
              <w:rPr>
                <w:rFonts w:ascii="宋体" w:hAnsi="宋体" w:cs="宋体" w:eastAsia="宋体"/>
                <w:sz w:val="24"/>
                <w:color w:val="000000"/>
              </w:rPr>
              <w:t>、系统需</w:t>
            </w:r>
            <w:r>
              <w:rPr>
                <w:rFonts w:ascii="宋体" w:hAnsi="宋体" w:cs="宋体" w:eastAsia="宋体"/>
                <w:sz w:val="22"/>
                <w:color w:val="000000"/>
              </w:rPr>
              <w:t>实现</w:t>
            </w:r>
            <w:r>
              <w:rPr>
                <w:rFonts w:ascii="宋体" w:hAnsi="宋体" w:cs="宋体" w:eastAsia="宋体"/>
                <w:sz w:val="24"/>
                <w:color w:val="000000"/>
              </w:rPr>
              <w:t>灵活审批流配置，也满足复杂审批流设置。</w:t>
            </w:r>
          </w:p>
          <w:p>
            <w:pPr>
              <w:pStyle w:val="null3"/>
              <w:ind w:firstLine="480"/>
              <w:jc w:val="left"/>
            </w:pPr>
            <w:r>
              <w:rPr>
                <w:rFonts w:ascii="times new roman, times, serif" w:hAnsi="times new roman, times, serif" w:cs="times new roman, times, serif" w:eastAsia="times new roman, times, serif"/>
                <w:sz w:val="24"/>
                <w:color w:val="000000"/>
              </w:rPr>
              <w:t>3</w:t>
            </w:r>
            <w:r>
              <w:rPr>
                <w:rFonts w:ascii="宋体" w:hAnsi="宋体" w:cs="宋体" w:eastAsia="宋体"/>
                <w:sz w:val="24"/>
                <w:color w:val="000000"/>
              </w:rPr>
              <w:t>、系统需支持电子签名或签章、消息提醒、消息订阅，满足</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财务系统线上审批要求。医院具备电子签名、电子签章功能软件及硬件时，必须按医院要求与电子签名、电子签章软件及硬件对接，不再另外收取对接费用，</w:t>
            </w:r>
          </w:p>
          <w:p>
            <w:pPr>
              <w:pStyle w:val="null3"/>
              <w:ind w:firstLine="480"/>
              <w:jc w:val="both"/>
            </w:pPr>
            <w:r>
              <w:rPr>
                <w:rFonts w:ascii="times new roman, times, serif" w:hAnsi="times new roman, times, serif" w:cs="times new roman, times, serif" w:eastAsia="times new roman, times, serif"/>
                <w:sz w:val="24"/>
                <w:color w:val="000000"/>
              </w:rPr>
              <w:t>4</w:t>
            </w:r>
            <w:r>
              <w:rPr>
                <w:rFonts w:ascii="宋体" w:hAnsi="宋体" w:cs="宋体" w:eastAsia="宋体"/>
                <w:sz w:val="24"/>
                <w:color w:val="000000"/>
              </w:rPr>
              <w:t>、系统需满足简单与复杂权限设置功能，支持角色批量设置权限。</w:t>
            </w:r>
          </w:p>
          <w:p>
            <w:pPr>
              <w:pStyle w:val="null3"/>
              <w:ind w:firstLine="480"/>
              <w:jc w:val="both"/>
            </w:pPr>
            <w:r>
              <w:rPr>
                <w:rFonts w:ascii="times new roman, times, serif" w:hAnsi="times new roman, times, serif" w:cs="times new roman, times, serif" w:eastAsia="times new roman, times, serif"/>
                <w:sz w:val="24"/>
                <w:color w:val="000000"/>
              </w:rPr>
              <w:t>5</w:t>
            </w:r>
            <w:r>
              <w:rPr>
                <w:rFonts w:ascii="宋体" w:hAnsi="宋体" w:cs="宋体" w:eastAsia="宋体"/>
                <w:sz w:val="24"/>
                <w:color w:val="000000"/>
              </w:rPr>
              <w:t>、系统必须与现有</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系统数据统一并能同步。</w:t>
            </w:r>
          </w:p>
          <w:p>
            <w:pPr>
              <w:pStyle w:val="null3"/>
              <w:ind w:firstLine="480"/>
              <w:jc w:val="both"/>
            </w:pPr>
            <w:r>
              <w:rPr>
                <w:rFonts w:ascii="times new roman, times, serif" w:hAnsi="times new roman, times, serif" w:cs="times new roman, times, serif" w:eastAsia="times new roman, times, serif"/>
                <w:sz w:val="24"/>
                <w:color w:val="000000"/>
              </w:rPr>
              <w:t>6</w:t>
            </w:r>
            <w:r>
              <w:rPr>
                <w:rFonts w:ascii="宋体" w:hAnsi="宋体" w:cs="宋体" w:eastAsia="宋体"/>
                <w:sz w:val="24"/>
                <w:color w:val="000000"/>
              </w:rPr>
              <w:t>、系统必须与现有</w:t>
            </w:r>
            <w:r>
              <w:rPr>
                <w:rFonts w:ascii="times new roman, times, serif" w:hAnsi="times new roman, times, serif" w:cs="times new roman, times, serif" w:eastAsia="times new roman, times, serif"/>
                <w:sz w:val="24"/>
                <w:color w:val="000000"/>
              </w:rPr>
              <w:t>HRP</w:t>
            </w:r>
            <w:r>
              <w:rPr>
                <w:rFonts w:ascii="宋体" w:hAnsi="宋体" w:cs="宋体" w:eastAsia="宋体"/>
                <w:sz w:val="24"/>
                <w:color w:val="000000"/>
              </w:rPr>
              <w:t>系统业务数据统一并能同步。</w:t>
            </w:r>
          </w:p>
          <w:p>
            <w:pPr>
              <w:pStyle w:val="null3"/>
              <w:ind w:firstLine="480"/>
              <w:jc w:val="both"/>
            </w:pPr>
            <w:r>
              <w:rPr>
                <w:rFonts w:ascii="times new roman, times, serif" w:hAnsi="times new roman, times, serif" w:cs="times new roman, times, serif" w:eastAsia="times new roman, times, serif"/>
                <w:sz w:val="24"/>
                <w:color w:val="000000"/>
              </w:rPr>
              <w:t>7</w:t>
            </w:r>
            <w:r>
              <w:rPr>
                <w:rFonts w:ascii="宋体" w:hAnsi="宋体" w:cs="宋体" w:eastAsia="宋体"/>
                <w:sz w:val="24"/>
                <w:color w:val="000000"/>
              </w:rPr>
              <w:t>、系统需满足客户业务需求变更的灵活开发功能。</w:t>
            </w:r>
          </w:p>
          <w:p>
            <w:pPr>
              <w:pStyle w:val="null3"/>
              <w:ind w:left="1200"/>
              <w:jc w:val="left"/>
            </w:pPr>
            <w:r>
              <w:rPr>
                <w:rFonts w:ascii="times new roman, times, serif" w:hAnsi="times new roman, times, serif" w:cs="times new roman, times, serif" w:eastAsia="times new roman, times, serif"/>
                <w:sz w:val="24"/>
                <w:color w:val="000000"/>
              </w:rPr>
              <w:t>8</w:t>
            </w:r>
            <w:r>
              <w:rPr>
                <w:rFonts w:ascii="宋体" w:hAnsi="宋体" w:cs="宋体" w:eastAsia="宋体"/>
                <w:sz w:val="24"/>
                <w:color w:val="000000"/>
              </w:rPr>
              <w:t>、系统必须满足与现有</w:t>
            </w:r>
            <w:r>
              <w:rPr>
                <w:rFonts w:ascii="times new roman, times, serif" w:hAnsi="times new roman, times, serif" w:cs="times new roman, times, serif" w:eastAsia="times new roman, times, serif"/>
                <w:sz w:val="24"/>
                <w:color w:val="000000"/>
              </w:rPr>
              <w:t>OA</w:t>
            </w:r>
            <w:r>
              <w:rPr>
                <w:rFonts w:ascii="宋体" w:hAnsi="宋体" w:cs="宋体" w:eastAsia="宋体"/>
                <w:sz w:val="24"/>
                <w:color w:val="000000"/>
              </w:rPr>
              <w:t>系统对接可在移动端使用。</w:t>
            </w:r>
          </w:p>
          <w:p>
            <w:pPr>
              <w:pStyle w:val="null3"/>
              <w:ind w:left="1200"/>
              <w:jc w:val="left"/>
            </w:pPr>
            <w:r>
              <w:rPr>
                <w:rFonts w:ascii="times new roman, times, serif" w:hAnsi="times new roman, times, serif" w:cs="times new roman, times, serif" w:eastAsia="times new roman, times, serif"/>
                <w:sz w:val="24"/>
              </w:rPr>
              <w:t>9</w:t>
            </w:r>
            <w:r>
              <w:rPr>
                <w:rFonts w:ascii="宋体" w:hAnsi="宋体" w:cs="宋体" w:eastAsia="宋体"/>
                <w:sz w:val="24"/>
              </w:rPr>
              <w:t>、本次新建系统应与原有系统无缝对接。</w:t>
            </w:r>
          </w:p>
          <w:p>
            <w:pPr>
              <w:pStyle w:val="null3"/>
              <w:spacing w:before="240" w:after="120"/>
              <w:jc w:val="both"/>
              <w:outlineLvl w:val="1"/>
            </w:pPr>
            <w:r>
              <w:rPr>
                <w:rFonts w:ascii="仿宋" w:hAnsi="仿宋" w:cs="仿宋" w:eastAsia="仿宋"/>
                <w:sz w:val="30"/>
                <w:b/>
              </w:rPr>
              <w:t>4 互联互通</w:t>
            </w:r>
            <w:r>
              <w:rPr>
                <w:rFonts w:ascii="仿宋" w:hAnsi="仿宋" w:cs="仿宋" w:eastAsia="仿宋"/>
                <w:sz w:val="30"/>
                <w:b/>
              </w:rPr>
              <w:t>及项目建设要求</w:t>
            </w:r>
          </w:p>
          <w:p>
            <w:pPr>
              <w:pStyle w:val="null3"/>
              <w:ind w:firstLine="560"/>
              <w:jc w:val="both"/>
            </w:pPr>
            <w:r>
              <w:rPr>
                <w:rFonts w:ascii="宋体" w:hAnsi="宋体" w:cs="宋体" w:eastAsia="宋体"/>
                <w:sz w:val="24"/>
                <w:color w:val="000000"/>
              </w:rPr>
              <w:t>陕西省肿瘤医院</w:t>
            </w:r>
            <w:r>
              <w:rPr>
                <w:rFonts w:ascii="宋体" w:hAnsi="宋体" w:cs="宋体" w:eastAsia="宋体"/>
                <w:sz w:val="24"/>
                <w:color w:val="000000"/>
              </w:rPr>
              <w:t>HRP财务管理系统升级项目与我院财务系统，报销系统，实现无缝联接，产生的相应费用都由投标方承担，实现全院共享数据、互联互通，保证系统的稳定性和安全性。满足互联互通及网络安全要求，为响应国家对医院信息化建设要求，提高信息化水平，进而推进医院信息化互联互通，完善信息安全防护体系，保障远程医疗需要，本次项目实施承诺满足以下条款：</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1）全国医院信息化建设标准与规范（试行）（2018年版）相关要求。</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2）国家规定的以网络安全法和网络安全等级保护2.0为建设依据和标准,达到“国家信息安全等级保护制度”三级要求。</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3）电子病历系统应用水平分级评价标准（2020年版）5级标准相关要求。</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4）国家医疗健康信息医院信息互联互通标准化成熟度测评方案（2020年版）5级乙等相关要求。</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5）医院智慧服务分级评估标准体系（试行）（2019年版）3级标准对应的相关要求。</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6）项目建设并在终验合格之后，自终验合格日期起，质保期为3年。</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7）按照第1到第5项以及医院实际的个性化需求，所涉及到的与医院其他业务系统及硬件设备对接产生的接口开发、接口更改、数据提取等工作，均免费为医院开发和实施。包括但不限于免费提供电子病历评级（4、5级）、医院智慧服务(3级)、互联互通（五乙）等申报、评级工作，同时系统具有分级权限管理功能。</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8）其它未列出的与本系统有关的规范和标准，投标方有义务主动向我院提供。第1到5项及其他未列出的与本系统有关的规范和标准均应为项目采购期时的最新有效版本。</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9）系统部署需配合院方所要求的国产化、安可、信创的适配工作。</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10）系统可在目前通用的各类操作系统环境安装：包括windowsXP、windows7（32位、64位）、windows10（32位、64位）及以上操作系统，兼容如IE、Firefox、Chrome、360、Safari等浏览器的最低版本；支持移动端移动端系统；系统服务端可在物理服务器及超融合虚拟机安装部署，投标方应明确系统需要的硬件环境，必须遵循医院的统筹安排。</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11）提供服务器、数据库的部署、容灾以及应急措施。</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12）系统知识库、数据库、数据字典需无条件对医院开放。</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13）针对未来会出现的系统迁移、数据库迁移，应标方需给出明确解决方案，并提供应急预案。</w:t>
            </w:r>
          </w:p>
          <w:p>
            <w:pPr>
              <w:pStyle w:val="null3"/>
              <w:ind w:firstLine="560"/>
              <w:jc w:val="both"/>
            </w:pPr>
            <w:r>
              <w:rPr>
                <w:rFonts w:ascii="宋体" w:hAnsi="宋体" w:cs="宋体" w:eastAsia="宋体"/>
                <w:sz w:val="24"/>
                <w:color w:val="000000"/>
              </w:rPr>
              <w:t>（</w:t>
            </w:r>
            <w:r>
              <w:rPr>
                <w:rFonts w:ascii="宋体" w:hAnsi="宋体" w:cs="宋体" w:eastAsia="宋体"/>
                <w:sz w:val="24"/>
                <w:color w:val="000000"/>
              </w:rPr>
              <w:t>14）项目实施人员具有相关项目实施经验，完成医院对实施内容的个性化需求，实施阶段提供不少于2名工程师服务。接到院方通知后，30分钟内电话响应，2小时内到达现场，严重故障48小时内解决。</w:t>
            </w:r>
          </w:p>
          <w:p>
            <w:pPr>
              <w:pStyle w:val="null3"/>
              <w:jc w:val="both"/>
            </w:pPr>
            <w:r>
              <w:rPr>
                <w:rFonts w:ascii="宋体" w:hAnsi="宋体" w:cs="宋体" w:eastAsia="宋体"/>
                <w:sz w:val="28"/>
                <w:color w:val="000000"/>
              </w:rPr>
              <w:t>（</w:t>
            </w:r>
            <w:r>
              <w:rPr>
                <w:rFonts w:ascii="宋体" w:hAnsi="宋体" w:cs="宋体" w:eastAsia="宋体"/>
                <w:sz w:val="28"/>
                <w:color w:val="000000"/>
              </w:rPr>
              <w:t>15）本项目预留合同总价8%费用，用于与其他软件系统及硬件设备厂商可能产生的互联互通或对接费用。</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6个月</w:t>
      </w:r>
    </w:p>
    <w:p>
      <w:pPr>
        <w:pStyle w:val="null3"/>
        <w:outlineLvl w:val="3"/>
      </w:pPr>
      <w:r>
        <w:rPr>
          <w:sz w:val="24"/>
          <w:b/>
        </w:rPr>
        <w:t>3.3.2服务地点</w:t>
      </w:r>
    </w:p>
    <w:p>
      <w:pPr>
        <w:pStyle w:val="null3"/>
      </w:pPr>
      <w:r>
        <w:rPr/>
        <w:t>采购包1：</w:t>
      </w:r>
    </w:p>
    <w:p>
      <w:pPr>
        <w:pStyle w:val="null3"/>
      </w:pPr>
      <w:r>
        <w:rPr/>
        <w:t>陕西省肿瘤医院</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两个阶段验收合格后，支付合同款项100%。</w:t>
      </w:r>
      <w:r>
        <w:rPr/>
        <w:t xml:space="preserve"> ，达到付款条件起 </w:t>
      </w:r>
      <w:r>
        <w:rPr/>
        <w:t>30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付款方式</w:t>
            </w:r>
          </w:p>
        </w:tc>
        <w:tc>
          <w:tcPr>
            <w:tcW w:type="dxa" w:w="3322"/>
          </w:tcPr>
          <w:p>
            <w:pPr>
              <w:pStyle w:val="null3"/>
            </w:pPr>
            <w:r>
              <w:rPr/>
              <w:t>两个阶段验收合格后，支付合同款项100%。</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6个月</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3年</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升级方案</w:t>
            </w:r>
          </w:p>
        </w:tc>
        <w:tc>
          <w:tcPr>
            <w:tcW w:type="dxa" w:w="2492"/>
          </w:tcPr>
          <w:p>
            <w:pPr>
              <w:pStyle w:val="null3"/>
            </w:pPr>
            <w:r>
              <w:rPr/>
              <w:t>供应商提供投标产品的升级方案，至少包含：1、产品的稳定性；2、数据的开放性和兼容性；3、提供完整的开发过程支持等。 方案各项内容全面详细、阐述条理清晰、技术先进、功能配置合理，能有效保障本项目实施得9分，每有一项缺项扣3分，每有一处内容存在缺陷，扣1分，扣完为止。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技术指标和配置</w:t>
            </w:r>
          </w:p>
        </w:tc>
        <w:tc>
          <w:tcPr>
            <w:tcW w:type="dxa" w:w="2492"/>
          </w:tcPr>
          <w:p>
            <w:pPr>
              <w:pStyle w:val="null3"/>
            </w:pPr>
            <w:r>
              <w:rPr/>
              <w:t>根据招标文件要求认真审核响应文件中技术参数响应和提供的佐证材料。投标产品的基本功能、产品技术参数和配置完全满足或优于招标文件要求的，得满分18分；其中“▲”标注参数为重要技术参数。每负偏离一项扣2分，直至本项扣完为止；非“▲”参数为一般参数，每负偏离一项扣1分，直至本项扣完为止。 注：带“▲”参数需提供功能截图等证明材料并加盖公章。</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方案针对本项目实施提出：1、重点、难点分析并给出相应的解决方案；2、应急保障措施；3、进度安排、质量保证及验收方案的描述；4、保证与医院现有业务系统的对接等内容。 方案各项内容全面详细、阐述条理清晰详尽、符合本项目采购需求、能有效保障本项目实施的得12分，每有一个缺项扣3分，每有一处内容存在缺陷，扣1分，扣完为止。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对接方案</w:t>
            </w:r>
          </w:p>
        </w:tc>
        <w:tc>
          <w:tcPr>
            <w:tcW w:type="dxa" w:w="2492"/>
          </w:tcPr>
          <w:p>
            <w:pPr>
              <w:pStyle w:val="null3"/>
            </w:pPr>
            <w:r>
              <w:rPr/>
              <w:t>供应商提供针对本项目的对接方案，方案针对本项目实施提出：1、所响应的内容能够支持目前通用的各类操作系统环境，提供具体可行的兼容方案;2、供应商针对本项目系统迁移、数据库迁移等，有具体可行的解决方案;3、有切实可行的信息安全防护体系，全面保证采购人系统安全等。 方案各项内容全面详细、阐述条理清晰详尽、符合本项目采购需求、能有效保障本项目实施的得9分，每有一个缺项扣3分，每有一处内容存在缺陷，扣1分，扣完为止。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 1、质量控制方法和措施、流程，控制重点思路清晰明确得5分； 2、质量控制方法和措施内容简单、流程繁琐得3分； 3、质量控制措施内容无针对性，有缺陷得1分；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拟派项目负责人具有相关行业2年以上从业经验，提供项目经理简历表。（需对从业经验有具体描述内容，描述内容不符或无具体描述内容此项不得分。）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团队其他配备人员</w:t>
            </w:r>
          </w:p>
        </w:tc>
        <w:tc>
          <w:tcPr>
            <w:tcW w:type="dxa" w:w="2492"/>
          </w:tcPr>
          <w:p>
            <w:pPr>
              <w:pStyle w:val="null3"/>
            </w:pPr>
            <w:r>
              <w:rPr/>
              <w:t>供应商结合项目实际情况提供针对本项目的团队（除项目负责人外）配备方案，内容包括：1、人员配备齐全、结构合理，安排计划及分配工作情况表，计划科学合理有针对性；2、人员配备能力完备等；3、内控制度：具有管理组织机构、问责机制、监督机制、自查制度。 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提供针对本项目提供售后服务方案，内容包含：1.售后服务内容；2.故障服务管理方案；3.应急方案。 方案内容全面详细、阐述条理清晰，能有效保障本项目实施得6分，每有一项缺项扣2分，每有一处内容存在缺陷，扣1分，扣完为止。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培训服务方案</w:t>
            </w:r>
          </w:p>
        </w:tc>
        <w:tc>
          <w:tcPr>
            <w:tcW w:type="dxa" w:w="2492"/>
          </w:tcPr>
          <w:p>
            <w:pPr>
              <w:pStyle w:val="null3"/>
            </w:pPr>
            <w:r>
              <w:rPr/>
              <w:t>供应商提供针对本项目的培训服务方案，内容包括：1.培训采购人指定的操作和维修人员；2.培训内容应包括所提供产品的原理和技术性能、操作维护方法、安装调试、排除故障等各个方面。 方案内容全面详细、阐述条理清晰、配置合理，能有效保障本项目实施得4分，每有一项缺项扣2分，每有一处内容存在缺陷，扣1分，扣完为止。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供应商提供针对本项目的重难点分析及合理化建议。 1、内容合理、阐述条理清晰得4分； 2、内容未贴合项目实际情况进行论述得3分； 3、方案内容有缺陷、表述前后不一致、套用其他项目方案或与项目需求匹配性差得1分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提供2021年1月1日以来类似项目合同，每提供一个得2分，满分10分。以合同签订日期为准，提供合同（至少包含合同首页、金额、签字盖章页等）复印件加盖公章。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满足招标文件要求且投标价格最低的投标报价为评标基准价，其价格分为满分。其他供应商的价格分统一按照下列公式计算：投标报价得分=（评标基准价/投标报价）×投标报价总分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详见附件：商务及技术偏离表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