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outlineLvl w:val="1"/>
        <w:rPr>
          <w:rFonts w:hint="eastAsia" w:ascii="宋体" w:hAnsi="宋体" w:eastAsia="宋体" w:cs="宋体"/>
          <w:sz w:val="36"/>
          <w:szCs w:val="36"/>
          <w:highlight w:val="none"/>
          <w:lang w:bidi="ar-SA"/>
        </w:rPr>
      </w:pPr>
      <w:r>
        <w:rPr>
          <w:rFonts w:hint="eastAsia" w:ascii="宋体" w:hAnsi="宋体" w:eastAsia="宋体" w:cs="宋体"/>
          <w:b/>
          <w:sz w:val="36"/>
          <w:highlight w:val="none"/>
        </w:rPr>
        <w:t>拟签订采购合同文本</w:t>
      </w:r>
    </w:p>
    <w:p>
      <w:pPr>
        <w:spacing w:before="120" w:line="360" w:lineRule="auto"/>
        <w:jc w:val="center"/>
        <w:outlineLvl w:val="9"/>
        <w:rPr>
          <w:rFonts w:hint="eastAsia" w:ascii="宋体" w:hAnsi="宋体" w:eastAsia="宋体" w:cs="宋体"/>
          <w:b/>
          <w:bCs/>
          <w:sz w:val="36"/>
          <w:szCs w:val="36"/>
          <w:highlight w:val="none"/>
          <w:lang w:bidi="ar-SA"/>
        </w:rPr>
      </w:pPr>
    </w:p>
    <w:p>
      <w:pPr>
        <w:spacing w:before="120" w:line="360" w:lineRule="auto"/>
        <w:jc w:val="center"/>
        <w:outlineLvl w:val="9"/>
        <w:rPr>
          <w:rFonts w:hint="eastAsia" w:ascii="宋体" w:hAnsi="宋体" w:eastAsia="宋体" w:cs="宋体"/>
          <w:b/>
          <w:bCs/>
          <w:sz w:val="44"/>
          <w:szCs w:val="44"/>
          <w:highlight w:val="none"/>
          <w:lang w:bidi="ar-SA"/>
        </w:rPr>
      </w:pPr>
      <w:r>
        <w:rPr>
          <w:rFonts w:hint="eastAsia" w:ascii="宋体" w:hAnsi="宋体" w:eastAsia="宋体" w:cs="宋体"/>
          <w:b/>
          <w:bCs/>
          <w:sz w:val="36"/>
          <w:szCs w:val="36"/>
          <w:highlight w:val="none"/>
          <w:lang w:bidi="ar-SA"/>
        </w:rPr>
        <w:t>（参考格式）</w:t>
      </w:r>
    </w:p>
    <w:p>
      <w:pPr>
        <w:keepNext w:val="0"/>
        <w:keepLines w:val="0"/>
        <w:pageBreakBefore w:val="0"/>
        <w:widowControl w:val="0"/>
        <w:kinsoku/>
        <w:wordWrap/>
        <w:overflowPunct/>
        <w:topLinePunct w:val="0"/>
        <w:autoSpaceDE/>
        <w:autoSpaceDN/>
        <w:bidi w:val="0"/>
        <w:adjustRightInd/>
        <w:spacing w:line="360" w:lineRule="auto"/>
        <w:ind w:firstLine="1084" w:firstLineChars="300"/>
        <w:jc w:val="right"/>
        <w:textAlignment w:val="auto"/>
        <w:rPr>
          <w:rStyle w:val="11"/>
          <w:rFonts w:hint="eastAsia" w:ascii="宋体" w:hAnsi="宋体" w:eastAsia="宋体" w:cs="宋体"/>
          <w:bCs/>
          <w:color w:val="auto"/>
          <w:sz w:val="44"/>
          <w:szCs w:val="44"/>
          <w:highlight w:val="none"/>
          <w:lang w:val="en-US" w:eastAsia="zh-CN"/>
        </w:rPr>
      </w:pPr>
      <w:r>
        <w:rPr>
          <w:rStyle w:val="11"/>
          <w:rFonts w:hint="eastAsia" w:ascii="宋体" w:hAnsi="宋体" w:eastAsia="宋体" w:cs="宋体"/>
          <w:color w:val="auto"/>
          <w:sz w:val="36"/>
          <w:szCs w:val="36"/>
          <w:highlight w:val="none"/>
        </w:rPr>
        <w:t>合同编号：</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Style w:val="13"/>
          <w:rFonts w:hint="eastAsia" w:ascii="宋体" w:hAnsi="宋体" w:eastAsia="宋体" w:cs="宋体"/>
          <w:b/>
          <w:bCs/>
          <w:color w:val="auto"/>
          <w:sz w:val="5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Style w:val="13"/>
          <w:rFonts w:hint="eastAsia" w:ascii="宋体" w:hAnsi="宋体" w:eastAsia="宋体" w:cs="宋体"/>
          <w:b/>
          <w:bCs/>
          <w:color w:val="auto"/>
          <w:sz w:val="52"/>
          <w:szCs w:val="7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Style w:val="13"/>
          <w:rFonts w:hint="eastAsia" w:ascii="宋体" w:hAnsi="宋体" w:eastAsia="宋体" w:cs="宋体"/>
          <w:b/>
          <w:bCs/>
          <w:color w:val="auto"/>
          <w:sz w:val="52"/>
          <w:szCs w:val="72"/>
          <w:highlight w:val="none"/>
          <w:lang w:val="en-US" w:eastAsia="zh-CN"/>
        </w:rPr>
      </w:pPr>
      <w:r>
        <w:rPr>
          <w:rStyle w:val="13"/>
          <w:rFonts w:hint="eastAsia" w:ascii="宋体" w:hAnsi="宋体" w:eastAsia="宋体" w:cs="宋体"/>
          <w:b/>
          <w:bCs/>
          <w:color w:val="auto"/>
          <w:sz w:val="52"/>
          <w:szCs w:val="72"/>
          <w:highlight w:val="none"/>
          <w:lang w:val="en-US" w:eastAsia="zh-CN"/>
        </w:rPr>
        <w:t>项目名称：</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Style w:val="13"/>
          <w:rFonts w:hint="eastAsia" w:ascii="宋体" w:hAnsi="宋体" w:eastAsia="宋体" w:cs="宋体"/>
          <w:b/>
          <w:bCs/>
          <w:color w:val="auto"/>
          <w:sz w:val="52"/>
          <w:szCs w:val="72"/>
          <w:highlight w:val="none"/>
          <w:lang w:val="en-US" w:eastAsia="zh-CN"/>
        </w:rPr>
      </w:pPr>
    </w:p>
    <w:p>
      <w:pPr>
        <w:keepNext w:val="0"/>
        <w:keepLines w:val="0"/>
        <w:pageBreakBefore w:val="0"/>
        <w:widowControl w:val="0"/>
        <w:kinsoku/>
        <w:wordWrap/>
        <w:overflowPunct/>
        <w:topLinePunct w:val="0"/>
        <w:autoSpaceDE/>
        <w:autoSpaceDN/>
        <w:bidi w:val="0"/>
        <w:adjustRightInd/>
        <w:spacing w:line="360" w:lineRule="auto"/>
        <w:jc w:val="center"/>
        <w:textAlignment w:val="auto"/>
        <w:rPr>
          <w:rStyle w:val="13"/>
          <w:rFonts w:hint="eastAsia" w:ascii="宋体" w:hAnsi="宋体" w:eastAsia="宋体" w:cs="宋体"/>
          <w:b/>
          <w:bCs/>
          <w:color w:val="auto"/>
          <w:sz w:val="72"/>
          <w:szCs w:val="144"/>
          <w:highlight w:val="none"/>
        </w:rPr>
      </w:pPr>
      <w:r>
        <w:rPr>
          <w:rStyle w:val="13"/>
          <w:rFonts w:hint="eastAsia" w:ascii="宋体" w:hAnsi="宋体" w:eastAsia="宋体" w:cs="宋体"/>
          <w:b/>
          <w:bCs/>
          <w:color w:val="auto"/>
          <w:sz w:val="72"/>
          <w:szCs w:val="144"/>
          <w:highlight w:val="none"/>
        </w:rPr>
        <w:t>货物类采购合同</w:t>
      </w:r>
    </w:p>
    <w:p>
      <w:pPr>
        <w:pStyle w:val="14"/>
        <w:keepNext w:val="0"/>
        <w:keepLines w:val="0"/>
        <w:pageBreakBefore w:val="0"/>
        <w:widowControl w:val="0"/>
        <w:kinsoku/>
        <w:wordWrap/>
        <w:overflowPunct/>
        <w:topLinePunct w:val="0"/>
        <w:autoSpaceDE/>
        <w:autoSpaceDN/>
        <w:bidi w:val="0"/>
        <w:adjustRightInd/>
        <w:spacing w:after="0" w:line="360" w:lineRule="auto"/>
        <w:ind w:firstLine="0" w:firstLineChars="0"/>
        <w:textAlignment w:val="auto"/>
        <w:rPr>
          <w:rFonts w:hint="eastAsia" w:ascii="宋体" w:hAnsi="宋体" w:eastAsia="宋体" w:cs="宋体"/>
          <w:color w:val="auto"/>
          <w:sz w:val="32"/>
          <w:szCs w:val="32"/>
          <w:highlight w:val="none"/>
        </w:rPr>
      </w:pPr>
    </w:p>
    <w:p>
      <w:pPr>
        <w:pStyle w:val="14"/>
        <w:keepNext w:val="0"/>
        <w:keepLines w:val="0"/>
        <w:pageBreakBefore w:val="0"/>
        <w:widowControl w:val="0"/>
        <w:kinsoku/>
        <w:wordWrap/>
        <w:overflowPunct/>
        <w:topLinePunct w:val="0"/>
        <w:autoSpaceDE/>
        <w:autoSpaceDN/>
        <w:bidi w:val="0"/>
        <w:adjustRightInd/>
        <w:spacing w:after="0" w:line="360" w:lineRule="auto"/>
        <w:ind w:firstLine="0" w:firstLineChars="0"/>
        <w:textAlignment w:val="auto"/>
        <w:rPr>
          <w:rFonts w:hint="eastAsia" w:ascii="宋体" w:hAnsi="宋体" w:eastAsia="宋体" w:cs="宋体"/>
          <w:color w:val="auto"/>
          <w:sz w:val="32"/>
          <w:szCs w:val="32"/>
          <w:highlight w:val="none"/>
        </w:rPr>
      </w:pPr>
    </w:p>
    <w:p>
      <w:pPr>
        <w:pStyle w:val="14"/>
        <w:keepNext w:val="0"/>
        <w:keepLines w:val="0"/>
        <w:pageBreakBefore w:val="0"/>
        <w:widowControl w:val="0"/>
        <w:kinsoku/>
        <w:wordWrap/>
        <w:overflowPunct/>
        <w:topLinePunct w:val="0"/>
        <w:autoSpaceDE/>
        <w:autoSpaceDN/>
        <w:bidi w:val="0"/>
        <w:adjustRightInd/>
        <w:spacing w:after="0" w:line="360" w:lineRule="auto"/>
        <w:ind w:firstLine="0" w:firstLineChars="0"/>
        <w:textAlignment w:val="auto"/>
        <w:rPr>
          <w:rFonts w:hint="eastAsia" w:ascii="宋体" w:hAnsi="宋体" w:eastAsia="宋体" w:cs="宋体"/>
          <w:color w:val="auto"/>
          <w:sz w:val="32"/>
          <w:szCs w:val="32"/>
          <w:highlight w:val="none"/>
        </w:rPr>
      </w:pPr>
    </w:p>
    <w:p>
      <w:pPr>
        <w:pStyle w:val="14"/>
        <w:keepNext w:val="0"/>
        <w:keepLines w:val="0"/>
        <w:pageBreakBefore w:val="0"/>
        <w:widowControl w:val="0"/>
        <w:kinsoku/>
        <w:wordWrap/>
        <w:overflowPunct/>
        <w:topLinePunct w:val="0"/>
        <w:autoSpaceDE/>
        <w:autoSpaceDN/>
        <w:bidi w:val="0"/>
        <w:adjustRightInd/>
        <w:spacing w:after="0" w:line="360" w:lineRule="auto"/>
        <w:ind w:firstLine="0" w:firstLineChars="0"/>
        <w:textAlignment w:val="auto"/>
        <w:rPr>
          <w:rFonts w:hint="eastAsia" w:ascii="宋体" w:hAnsi="宋体" w:eastAsia="宋体" w:cs="宋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Style w:val="11"/>
          <w:rFonts w:hint="eastAsia" w:ascii="宋体" w:hAnsi="宋体" w:eastAsia="宋体" w:cs="宋体"/>
          <w:bCs/>
          <w:color w:val="auto"/>
          <w:kern w:val="0"/>
          <w:sz w:val="36"/>
          <w:szCs w:val="36"/>
          <w:highlight w:val="none"/>
        </w:rPr>
      </w:pPr>
      <w:r>
        <w:rPr>
          <w:rStyle w:val="11"/>
          <w:rFonts w:hint="eastAsia" w:ascii="宋体" w:hAnsi="宋体" w:eastAsia="宋体" w:cs="宋体"/>
          <w:bCs/>
          <w:color w:val="auto"/>
          <w:kern w:val="0"/>
          <w:sz w:val="36"/>
          <w:szCs w:val="36"/>
          <w:highlight w:val="none"/>
        </w:rPr>
        <w:t>甲方：陕西省第二人民医院</w:t>
      </w:r>
    </w:p>
    <w:p>
      <w:pPr>
        <w:keepNext w:val="0"/>
        <w:keepLines w:val="0"/>
        <w:pageBreakBefore w:val="0"/>
        <w:widowControl w:val="0"/>
        <w:kinsoku/>
        <w:wordWrap/>
        <w:overflowPunct/>
        <w:topLinePunct w:val="0"/>
        <w:autoSpaceDE/>
        <w:autoSpaceDN/>
        <w:bidi w:val="0"/>
        <w:adjustRightInd/>
        <w:snapToGrid w:val="0"/>
        <w:spacing w:line="360" w:lineRule="auto"/>
        <w:ind w:firstLine="2168" w:firstLineChars="600"/>
        <w:jc w:val="both"/>
        <w:textAlignment w:val="auto"/>
        <w:rPr>
          <w:rStyle w:val="11"/>
          <w:rFonts w:hint="eastAsia" w:ascii="宋体" w:hAnsi="宋体" w:eastAsia="宋体" w:cs="宋体"/>
          <w:bCs/>
          <w:color w:val="auto"/>
          <w:kern w:val="0"/>
          <w:sz w:val="36"/>
          <w:szCs w:val="36"/>
          <w:highlight w:val="none"/>
          <w:lang w:val="en-US" w:eastAsia="zh-CN"/>
        </w:rPr>
      </w:pPr>
      <w:r>
        <w:rPr>
          <w:rStyle w:val="11"/>
          <w:rFonts w:hint="eastAsia" w:ascii="宋体" w:hAnsi="宋体" w:eastAsia="宋体" w:cs="宋体"/>
          <w:bCs/>
          <w:color w:val="auto"/>
          <w:kern w:val="0"/>
          <w:sz w:val="36"/>
          <w:szCs w:val="36"/>
          <w:highlight w:val="none"/>
        </w:rPr>
        <w:t>乙方：</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Style w:val="11"/>
          <w:rFonts w:hint="eastAsia" w:ascii="宋体" w:hAnsi="宋体" w:eastAsia="宋体" w:cs="宋体"/>
          <w:bCs/>
          <w:color w:val="auto"/>
          <w:kern w:val="0"/>
          <w:sz w:val="36"/>
          <w:szCs w:val="36"/>
          <w:highlight w:val="none"/>
        </w:rPr>
      </w:pPr>
    </w:p>
    <w:p>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Style w:val="11"/>
          <w:rFonts w:hint="eastAsia" w:ascii="宋体" w:hAnsi="宋体" w:eastAsia="宋体" w:cs="宋体"/>
          <w:bCs/>
          <w:color w:val="auto"/>
          <w:kern w:val="0"/>
          <w:sz w:val="36"/>
          <w:szCs w:val="36"/>
          <w:highlight w:val="none"/>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Style w:val="11"/>
          <w:rFonts w:hint="eastAsia" w:ascii="宋体" w:hAnsi="宋体" w:eastAsia="宋体" w:cs="宋体"/>
          <w:bCs/>
          <w:color w:val="auto"/>
          <w:kern w:val="0"/>
          <w:sz w:val="36"/>
          <w:szCs w:val="36"/>
          <w:highlight w:val="none"/>
        </w:rPr>
      </w:pPr>
      <w:r>
        <w:rPr>
          <w:rStyle w:val="11"/>
          <w:rFonts w:hint="eastAsia" w:ascii="宋体" w:hAnsi="宋体" w:eastAsia="宋体" w:cs="宋体"/>
          <w:bCs/>
          <w:color w:val="auto"/>
          <w:kern w:val="0"/>
          <w:sz w:val="36"/>
          <w:szCs w:val="36"/>
          <w:highlight w:val="none"/>
        </w:rPr>
        <w:t>日期：</w:t>
      </w:r>
      <w:r>
        <w:rPr>
          <w:rStyle w:val="11"/>
          <w:rFonts w:hint="eastAsia" w:ascii="宋体" w:hAnsi="宋体" w:eastAsia="宋体" w:cs="宋体"/>
          <w:bCs/>
          <w:color w:val="auto"/>
          <w:kern w:val="0"/>
          <w:sz w:val="36"/>
          <w:szCs w:val="36"/>
          <w:highlight w:val="none"/>
          <w:lang w:val="en-US" w:eastAsia="zh-CN"/>
        </w:rPr>
        <w:t xml:space="preserve">     </w:t>
      </w:r>
      <w:r>
        <w:rPr>
          <w:rStyle w:val="11"/>
          <w:rFonts w:hint="eastAsia" w:ascii="宋体" w:hAnsi="宋体" w:eastAsia="宋体" w:cs="宋体"/>
          <w:bCs/>
          <w:color w:val="auto"/>
          <w:kern w:val="0"/>
          <w:sz w:val="36"/>
          <w:szCs w:val="36"/>
          <w:highlight w:val="none"/>
        </w:rPr>
        <w:t>年</w:t>
      </w:r>
      <w:r>
        <w:rPr>
          <w:rStyle w:val="11"/>
          <w:rFonts w:hint="eastAsia" w:ascii="宋体" w:hAnsi="宋体" w:eastAsia="宋体" w:cs="宋体"/>
          <w:bCs/>
          <w:color w:val="auto"/>
          <w:kern w:val="0"/>
          <w:sz w:val="36"/>
          <w:szCs w:val="36"/>
          <w:highlight w:val="none"/>
          <w:lang w:val="en-US" w:eastAsia="zh-CN"/>
        </w:rPr>
        <w:t xml:space="preserve">  </w:t>
      </w:r>
      <w:r>
        <w:rPr>
          <w:rStyle w:val="11"/>
          <w:rFonts w:hint="eastAsia" w:ascii="宋体" w:hAnsi="宋体" w:eastAsia="宋体" w:cs="宋体"/>
          <w:bCs/>
          <w:color w:val="auto"/>
          <w:kern w:val="0"/>
          <w:sz w:val="36"/>
          <w:szCs w:val="36"/>
          <w:highlight w:val="none"/>
        </w:rPr>
        <w:t>月</w:t>
      </w:r>
      <w:r>
        <w:rPr>
          <w:rStyle w:val="11"/>
          <w:rFonts w:hint="eastAsia" w:ascii="宋体" w:hAnsi="宋体" w:eastAsia="宋体" w:cs="宋体"/>
          <w:bCs/>
          <w:color w:val="auto"/>
          <w:kern w:val="0"/>
          <w:sz w:val="36"/>
          <w:szCs w:val="36"/>
          <w:highlight w:val="none"/>
          <w:lang w:val="en-US" w:eastAsia="zh-CN"/>
        </w:rPr>
        <w:t xml:space="preserve">   </w:t>
      </w:r>
      <w:r>
        <w:rPr>
          <w:rStyle w:val="11"/>
          <w:rFonts w:hint="eastAsia" w:ascii="宋体" w:hAnsi="宋体" w:eastAsia="宋体" w:cs="宋体"/>
          <w:bCs/>
          <w:color w:val="auto"/>
          <w:kern w:val="0"/>
          <w:sz w:val="36"/>
          <w:szCs w:val="36"/>
          <w:highlight w:val="none"/>
        </w:rPr>
        <w:t>日</w:t>
      </w:r>
    </w:p>
    <w:p>
      <w:pPr>
        <w:rPr>
          <w:rStyle w:val="11"/>
          <w:rFonts w:hint="eastAsia" w:ascii="宋体" w:hAnsi="宋体" w:eastAsia="宋体" w:cs="宋体"/>
          <w:bCs/>
          <w:color w:val="auto"/>
          <w:kern w:val="0"/>
          <w:sz w:val="36"/>
          <w:szCs w:val="36"/>
          <w:highlight w:val="none"/>
        </w:rPr>
      </w:pPr>
      <w:r>
        <w:rPr>
          <w:rStyle w:val="11"/>
          <w:rFonts w:hint="eastAsia" w:ascii="宋体" w:hAnsi="宋体" w:eastAsia="宋体" w:cs="宋体"/>
          <w:bCs/>
          <w:color w:val="auto"/>
          <w:kern w:val="0"/>
          <w:sz w:val="36"/>
          <w:szCs w:val="36"/>
          <w:highlight w:val="none"/>
        </w:rPr>
        <w:br w:type="page"/>
      </w:r>
    </w:p>
    <w:p>
      <w:pPr>
        <w:keepNext w:val="0"/>
        <w:keepLines w:val="0"/>
        <w:pageBreakBefore w:val="0"/>
        <w:widowControl w:val="0"/>
        <w:kinsoku/>
        <w:topLinePunct w:val="0"/>
        <w:bidi w:val="0"/>
        <w:jc w:val="center"/>
        <w:rPr>
          <w:rStyle w:val="13"/>
          <w:rFonts w:hint="eastAsia" w:ascii="宋体" w:hAnsi="宋体" w:eastAsia="宋体" w:cs="宋体"/>
          <w:b/>
          <w:color w:val="auto"/>
          <w:sz w:val="24"/>
          <w:highlight w:val="none"/>
        </w:rPr>
      </w:pPr>
      <w:r>
        <w:rPr>
          <w:rStyle w:val="13"/>
          <w:rFonts w:hint="eastAsia" w:ascii="宋体" w:hAnsi="宋体" w:eastAsia="宋体" w:cs="宋体"/>
          <w:b/>
          <w:color w:val="auto"/>
          <w:sz w:val="30"/>
          <w:szCs w:val="30"/>
          <w:highlight w:val="none"/>
          <w:u w:val="single"/>
          <w:lang w:val="en-US" w:eastAsia="zh-CN"/>
        </w:rPr>
        <w:t xml:space="preserve">                                </w:t>
      </w:r>
      <w:r>
        <w:rPr>
          <w:rStyle w:val="13"/>
          <w:rFonts w:hint="eastAsia" w:ascii="宋体" w:hAnsi="宋体" w:eastAsia="宋体" w:cs="宋体"/>
          <w:b/>
          <w:color w:val="auto"/>
          <w:sz w:val="30"/>
          <w:szCs w:val="30"/>
          <w:highlight w:val="none"/>
        </w:rPr>
        <w:t>采购合同</w:t>
      </w:r>
    </w:p>
    <w:p>
      <w:pPr>
        <w:keepNext w:val="0"/>
        <w:keepLines w:val="0"/>
        <w:pageBreakBefore w:val="0"/>
        <w:widowControl w:val="0"/>
        <w:kinsoku/>
        <w:overflowPunct/>
        <w:topLinePunct w:val="0"/>
        <w:autoSpaceDE/>
        <w:autoSpaceDN/>
        <w:bidi w:val="0"/>
        <w:spacing w:line="360" w:lineRule="auto"/>
        <w:rPr>
          <w:rStyle w:val="13"/>
          <w:rFonts w:hint="eastAsia" w:ascii="宋体" w:hAnsi="宋体" w:eastAsia="宋体" w:cs="宋体"/>
          <w:color w:val="auto"/>
          <w:sz w:val="24"/>
          <w:highlight w:val="none"/>
          <w:u w:val="single"/>
        </w:rPr>
      </w:pPr>
      <w:r>
        <w:rPr>
          <w:rStyle w:val="13"/>
          <w:rFonts w:hint="eastAsia" w:ascii="宋体" w:hAnsi="宋体" w:eastAsia="宋体" w:cs="宋体"/>
          <w:b/>
          <w:color w:val="auto"/>
          <w:sz w:val="24"/>
          <w:highlight w:val="none"/>
        </w:rPr>
        <w:t>甲方：陕西省第二人民医院</w:t>
      </w:r>
    </w:p>
    <w:p>
      <w:pPr>
        <w:keepNext w:val="0"/>
        <w:keepLines w:val="0"/>
        <w:pageBreakBefore w:val="0"/>
        <w:widowControl w:val="0"/>
        <w:kinsoku/>
        <w:overflowPunct/>
        <w:topLinePunct w:val="0"/>
        <w:autoSpaceDE/>
        <w:autoSpaceDN/>
        <w:bidi w:val="0"/>
        <w:spacing w:line="360" w:lineRule="auto"/>
        <w:rPr>
          <w:rFonts w:hint="eastAsia" w:ascii="宋体" w:hAnsi="宋体" w:eastAsia="宋体" w:cs="宋体"/>
          <w:b/>
          <w:bCs/>
          <w:color w:val="auto"/>
          <w:sz w:val="24"/>
          <w:highlight w:val="none"/>
          <w:lang w:val="en-US" w:eastAsia="zh-CN"/>
        </w:rPr>
      </w:pPr>
      <w:r>
        <w:rPr>
          <w:rStyle w:val="13"/>
          <w:rFonts w:hint="eastAsia" w:ascii="宋体" w:hAnsi="宋体" w:eastAsia="宋体" w:cs="宋体"/>
          <w:b/>
          <w:bCs/>
          <w:color w:val="auto"/>
          <w:sz w:val="24"/>
          <w:highlight w:val="none"/>
        </w:rPr>
        <w:t>乙方：</w:t>
      </w:r>
      <w:r>
        <w:rPr>
          <w:rStyle w:val="13"/>
          <w:rFonts w:hint="eastAsia" w:ascii="宋体" w:hAnsi="宋体" w:eastAsia="宋体" w:cs="宋体"/>
          <w:b/>
          <w:bCs/>
          <w:color w:val="auto"/>
          <w:sz w:val="24"/>
          <w:highlight w:val="none"/>
          <w:u w:val="single"/>
          <w:lang w:val="en-US" w:eastAsia="zh-CN"/>
        </w:rPr>
        <w:t xml:space="preserve">                     </w:t>
      </w:r>
    </w:p>
    <w:p>
      <w:pPr>
        <w:keepNext w:val="0"/>
        <w:keepLines w:val="0"/>
        <w:pageBreakBefore w:val="0"/>
        <w:widowControl w:val="0"/>
        <w:kinsoku/>
        <w:overflowPunct/>
        <w:topLinePunct w:val="0"/>
        <w:autoSpaceDE/>
        <w:autoSpaceDN/>
        <w:bidi w:val="0"/>
        <w:spacing w:line="360" w:lineRule="auto"/>
        <w:ind w:firstLine="720" w:firstLineChars="300"/>
        <w:rPr>
          <w:rStyle w:val="13"/>
          <w:rFonts w:hint="eastAsia" w:ascii="宋体" w:hAnsi="宋体" w:eastAsia="宋体" w:cs="宋体"/>
          <w:color w:val="auto"/>
          <w:sz w:val="24"/>
          <w:highlight w:val="none"/>
        </w:rPr>
      </w:pPr>
      <w:r>
        <w:rPr>
          <w:rFonts w:hint="eastAsia" w:ascii="宋体" w:hAnsi="宋体" w:eastAsia="宋体" w:cs="宋体"/>
          <w:color w:val="auto"/>
          <w:sz w:val="24"/>
          <w:highlight w:val="none"/>
          <w:u w:val="single"/>
          <w:lang w:val="en-US" w:eastAsia="zh-CN"/>
        </w:rPr>
        <w:t>（项目名称）</w:t>
      </w:r>
      <w:r>
        <w:rPr>
          <w:rStyle w:val="13"/>
          <w:rFonts w:hint="eastAsia" w:ascii="宋体" w:hAnsi="宋体" w:eastAsia="宋体" w:cs="宋体"/>
          <w:color w:val="auto"/>
          <w:sz w:val="24"/>
          <w:highlight w:val="none"/>
        </w:rPr>
        <w:t>，在</w:t>
      </w:r>
      <w:r>
        <w:rPr>
          <w:rStyle w:val="13"/>
          <w:rFonts w:hint="eastAsia" w:ascii="宋体" w:hAnsi="宋体" w:eastAsia="宋体" w:cs="宋体"/>
          <w:color w:val="auto"/>
          <w:sz w:val="24"/>
          <w:highlight w:val="none"/>
          <w:u w:val="single"/>
        </w:rPr>
        <w:t>陕西省财政厅政府采购管理处</w:t>
      </w:r>
      <w:r>
        <w:rPr>
          <w:rStyle w:val="13"/>
          <w:rFonts w:hint="eastAsia" w:ascii="宋体" w:hAnsi="宋体" w:eastAsia="宋体" w:cs="宋体"/>
          <w:color w:val="auto"/>
          <w:sz w:val="24"/>
          <w:highlight w:val="none"/>
        </w:rPr>
        <w:t>的监督管理下，由</w:t>
      </w:r>
      <w:r>
        <w:rPr>
          <w:rFonts w:hint="eastAsia" w:ascii="宋体" w:hAnsi="宋体" w:eastAsia="宋体" w:cs="宋体"/>
          <w:color w:val="auto"/>
          <w:spacing w:val="2"/>
          <w:sz w:val="24"/>
          <w:highlight w:val="none"/>
          <w:u w:val="single"/>
        </w:rPr>
        <w:t>陕西省第二人民医院</w:t>
      </w:r>
      <w:r>
        <w:rPr>
          <w:rStyle w:val="13"/>
          <w:rFonts w:hint="eastAsia" w:ascii="宋体" w:hAnsi="宋体" w:eastAsia="宋体" w:cs="宋体"/>
          <w:color w:val="auto"/>
          <w:sz w:val="24"/>
          <w:highlight w:val="none"/>
        </w:rPr>
        <w:t>组织采购，选定</w:t>
      </w:r>
      <w:r>
        <w:rPr>
          <w:rStyle w:val="13"/>
          <w:rFonts w:hint="eastAsia" w:ascii="宋体" w:hAnsi="宋体" w:eastAsia="宋体" w:cs="宋体"/>
          <w:color w:val="auto"/>
          <w:sz w:val="24"/>
          <w:highlight w:val="none"/>
          <w:u w:val="single"/>
          <w:lang w:val="en-US" w:eastAsia="zh-CN"/>
        </w:rPr>
        <w:t xml:space="preserve">                   </w:t>
      </w:r>
      <w:r>
        <w:rPr>
          <w:rStyle w:val="13"/>
          <w:rFonts w:hint="eastAsia" w:ascii="宋体" w:hAnsi="宋体" w:eastAsia="宋体" w:cs="宋体"/>
          <w:color w:val="auto"/>
          <w:sz w:val="24"/>
          <w:highlight w:val="none"/>
          <w:u w:val="single"/>
        </w:rPr>
        <w:t xml:space="preserve"> </w:t>
      </w:r>
      <w:r>
        <w:rPr>
          <w:rStyle w:val="13"/>
          <w:rFonts w:hint="eastAsia" w:ascii="宋体" w:hAnsi="宋体" w:eastAsia="宋体" w:cs="宋体"/>
          <w:color w:val="auto"/>
          <w:sz w:val="24"/>
          <w:highlight w:val="none"/>
        </w:rPr>
        <w:t>(以下简称乙方）为该项目成交供应商，设备全称：</w:t>
      </w:r>
      <w:r>
        <w:rPr>
          <w:rStyle w:val="13"/>
          <w:rFonts w:hint="eastAsia" w:ascii="宋体" w:hAnsi="宋体" w:eastAsia="宋体" w:cs="宋体"/>
          <w:color w:val="auto"/>
          <w:sz w:val="24"/>
          <w:highlight w:val="none"/>
          <w:u w:val="single"/>
          <w:lang w:val="en-US" w:eastAsia="zh-CN"/>
        </w:rPr>
        <w:t xml:space="preserve">            </w:t>
      </w:r>
      <w:r>
        <w:rPr>
          <w:rStyle w:val="13"/>
          <w:rFonts w:hint="eastAsia" w:ascii="宋体" w:hAnsi="宋体" w:eastAsia="宋体" w:cs="宋体"/>
          <w:color w:val="auto"/>
          <w:sz w:val="24"/>
          <w:highlight w:val="none"/>
        </w:rPr>
        <w:t>。依据《中华人民共和国民法典》和《中华人民共和国政府采购法》，经甲、乙双方共同协商，按下述条款和条件签署本合同。</w:t>
      </w:r>
    </w:p>
    <w:p>
      <w:pPr>
        <w:keepNext w:val="0"/>
        <w:keepLines w:val="0"/>
        <w:pageBreakBefore w:val="0"/>
        <w:widowControl w:val="0"/>
        <w:numPr>
          <w:ilvl w:val="0"/>
          <w:numId w:val="1"/>
        </w:numPr>
        <w:kinsoku/>
        <w:overflowPunct/>
        <w:topLinePunct w:val="0"/>
        <w:autoSpaceDE/>
        <w:autoSpaceDN/>
        <w:bidi w:val="0"/>
        <w:spacing w:line="360" w:lineRule="auto"/>
        <w:rPr>
          <w:rStyle w:val="13"/>
          <w:rFonts w:hint="eastAsia" w:ascii="宋体" w:hAnsi="宋体" w:eastAsia="宋体" w:cs="宋体"/>
          <w:b/>
          <w:color w:val="auto"/>
          <w:sz w:val="24"/>
          <w:highlight w:val="none"/>
        </w:rPr>
      </w:pPr>
      <w:r>
        <w:rPr>
          <w:rStyle w:val="13"/>
          <w:rFonts w:hint="eastAsia" w:ascii="宋体" w:hAnsi="宋体" w:eastAsia="宋体" w:cs="宋体"/>
          <w:b/>
          <w:color w:val="auto"/>
          <w:sz w:val="24"/>
          <w:highlight w:val="none"/>
        </w:rPr>
        <w:t>合同内容</w:t>
      </w:r>
    </w:p>
    <w:p>
      <w:pPr>
        <w:keepNext w:val="0"/>
        <w:keepLines w:val="0"/>
        <w:pageBreakBefore w:val="0"/>
        <w:widowControl w:val="0"/>
        <w:kinsoku/>
        <w:overflowPunct/>
        <w:topLinePunct w:val="0"/>
        <w:autoSpaceDE/>
        <w:autoSpaceDN/>
        <w:bidi w:val="0"/>
        <w:spacing w:line="360" w:lineRule="auto"/>
        <w:ind w:firstLine="480" w:firstLineChars="200"/>
        <w:jc w:val="left"/>
        <w:rPr>
          <w:rFonts w:hint="eastAsia" w:ascii="宋体" w:hAnsi="宋体" w:eastAsia="宋体" w:cs="宋体"/>
          <w:color w:val="auto"/>
          <w:highlight w:val="none"/>
        </w:rPr>
      </w:pPr>
      <w:r>
        <w:rPr>
          <w:rStyle w:val="13"/>
          <w:rFonts w:hint="eastAsia" w:ascii="宋体" w:hAnsi="宋体" w:eastAsia="宋体" w:cs="宋体"/>
          <w:color w:val="auto"/>
          <w:sz w:val="24"/>
          <w:highlight w:val="none"/>
        </w:rPr>
        <w:t>乙方负责按照合同确定的设备名称、规格型号、数量、产地、配置内容及技术标准组织供货（具体采购项目见本合同），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pPr>
        <w:keepNext w:val="0"/>
        <w:keepLines w:val="0"/>
        <w:pageBreakBefore w:val="0"/>
        <w:widowControl w:val="0"/>
        <w:numPr>
          <w:ilvl w:val="0"/>
          <w:numId w:val="1"/>
        </w:numPr>
        <w:kinsoku/>
        <w:overflowPunct/>
        <w:topLinePunct w:val="0"/>
        <w:autoSpaceDE/>
        <w:autoSpaceDN/>
        <w:bidi w:val="0"/>
        <w:spacing w:line="360" w:lineRule="auto"/>
        <w:rPr>
          <w:rStyle w:val="13"/>
          <w:rFonts w:hint="eastAsia" w:ascii="宋体" w:hAnsi="宋体" w:eastAsia="宋体" w:cs="宋体"/>
          <w:b/>
          <w:color w:val="auto"/>
          <w:sz w:val="24"/>
          <w:highlight w:val="none"/>
        </w:rPr>
      </w:pPr>
      <w:r>
        <w:rPr>
          <w:rStyle w:val="13"/>
          <w:rFonts w:hint="eastAsia" w:ascii="宋体" w:hAnsi="宋体" w:eastAsia="宋体" w:cs="宋体"/>
          <w:b/>
          <w:color w:val="auto"/>
          <w:sz w:val="24"/>
          <w:highlight w:val="none"/>
        </w:rPr>
        <w:t>合同价格</w:t>
      </w:r>
    </w:p>
    <w:tbl>
      <w:tblPr>
        <w:tblStyle w:val="8"/>
        <w:tblW w:w="5441" w:type="pct"/>
        <w:jc w:val="center"/>
        <w:tblLayout w:type="fixed"/>
        <w:tblCellMar>
          <w:top w:w="0" w:type="dxa"/>
          <w:left w:w="28" w:type="dxa"/>
          <w:bottom w:w="0" w:type="dxa"/>
          <w:right w:w="28" w:type="dxa"/>
        </w:tblCellMar>
      </w:tblPr>
      <w:tblGrid>
        <w:gridCol w:w="729"/>
        <w:gridCol w:w="1563"/>
        <w:gridCol w:w="1980"/>
        <w:gridCol w:w="1829"/>
        <w:gridCol w:w="618"/>
        <w:gridCol w:w="1167"/>
        <w:gridCol w:w="1214"/>
      </w:tblGrid>
      <w:tr>
        <w:tblPrEx>
          <w:tblCellMar>
            <w:top w:w="0" w:type="dxa"/>
            <w:left w:w="28" w:type="dxa"/>
            <w:bottom w:w="0" w:type="dxa"/>
            <w:right w:w="28" w:type="dxa"/>
          </w:tblCellMar>
        </w:tblPrEx>
        <w:trPr>
          <w:trHeight w:val="226" w:hRule="atLeast"/>
          <w:jc w:val="center"/>
        </w:trPr>
        <w:tc>
          <w:tcPr>
            <w:tcW w:w="400" w:type="pct"/>
            <w:tcBorders>
              <w:top w:val="single" w:color="auto" w:sz="6" w:space="0"/>
              <w:left w:val="single" w:color="auto" w:sz="6" w:space="0"/>
              <w:bottom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858" w:type="pct"/>
            <w:tcBorders>
              <w:top w:val="single" w:color="auto" w:sz="6" w:space="0"/>
              <w:left w:val="single" w:color="auto" w:sz="6" w:space="0"/>
              <w:bottom w:val="single" w:color="auto" w:sz="6"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名称</w:t>
            </w:r>
          </w:p>
        </w:tc>
        <w:tc>
          <w:tcPr>
            <w:tcW w:w="1087" w:type="pct"/>
            <w:tcBorders>
              <w:top w:val="single" w:color="auto" w:sz="6" w:space="0"/>
              <w:left w:val="single" w:color="auto" w:sz="6" w:space="0"/>
              <w:bottom w:val="single" w:color="auto" w:sz="6"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型号和规格</w:t>
            </w:r>
          </w:p>
        </w:tc>
        <w:tc>
          <w:tcPr>
            <w:tcW w:w="1004" w:type="pct"/>
            <w:tcBorders>
              <w:top w:val="single" w:color="auto" w:sz="6" w:space="0"/>
              <w:left w:val="single" w:color="auto" w:sz="6" w:space="0"/>
              <w:bottom w:val="single" w:color="auto" w:sz="6"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原产地及制造厂名</w:t>
            </w:r>
          </w:p>
        </w:tc>
        <w:tc>
          <w:tcPr>
            <w:tcW w:w="339" w:type="pct"/>
            <w:tcBorders>
              <w:top w:val="single" w:color="auto" w:sz="6" w:space="0"/>
              <w:left w:val="single" w:color="auto" w:sz="6" w:space="0"/>
              <w:bottom w:val="single" w:color="auto" w:sz="6"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数量</w:t>
            </w:r>
          </w:p>
        </w:tc>
        <w:tc>
          <w:tcPr>
            <w:tcW w:w="641" w:type="pct"/>
            <w:tcBorders>
              <w:top w:val="single" w:color="auto" w:sz="6" w:space="0"/>
              <w:left w:val="single" w:color="auto" w:sz="6" w:space="0"/>
              <w:bottom w:val="single" w:color="auto" w:sz="6"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单价（元）</w:t>
            </w:r>
          </w:p>
        </w:tc>
        <w:tc>
          <w:tcPr>
            <w:tcW w:w="667" w:type="pct"/>
            <w:tcBorders>
              <w:top w:val="single" w:color="auto" w:sz="6" w:space="0"/>
              <w:left w:val="single" w:color="auto" w:sz="6" w:space="0"/>
              <w:bottom w:val="single" w:color="auto" w:sz="6"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总价（元）</w:t>
            </w:r>
          </w:p>
        </w:tc>
      </w:tr>
      <w:tr>
        <w:tblPrEx>
          <w:tblCellMar>
            <w:top w:w="0" w:type="dxa"/>
            <w:left w:w="28" w:type="dxa"/>
            <w:bottom w:w="0" w:type="dxa"/>
            <w:right w:w="28" w:type="dxa"/>
          </w:tblCellMar>
        </w:tblPrEx>
        <w:trPr>
          <w:trHeight w:val="646" w:hRule="atLeast"/>
          <w:jc w:val="center"/>
        </w:trPr>
        <w:tc>
          <w:tcPr>
            <w:tcW w:w="400" w:type="pct"/>
            <w:tcBorders>
              <w:top w:val="single" w:color="auto" w:sz="6" w:space="0"/>
              <w:left w:val="single" w:color="auto" w:sz="6" w:space="0"/>
              <w:bottom w:val="single" w:color="auto" w:sz="4" w:space="0"/>
            </w:tcBorders>
            <w:noWrap/>
            <w:vAlign w:val="center"/>
          </w:tcPr>
          <w:p>
            <w:pPr>
              <w:keepNext w:val="0"/>
              <w:keepLines w:val="0"/>
              <w:pageBreakBefore w:val="0"/>
              <w:widowControl w:val="0"/>
              <w:kinsoku/>
              <w:overflowPunct/>
              <w:topLinePunct w:val="0"/>
              <w:autoSpaceDE/>
              <w:autoSpaceDN/>
              <w:bidi w:val="0"/>
              <w:adjustRightInd w:val="0"/>
              <w:snapToGrid w:val="0"/>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 w:type="pct"/>
            <w:tcBorders>
              <w:top w:val="single" w:color="auto" w:sz="6" w:space="0"/>
              <w:left w:val="single" w:color="auto" w:sz="6" w:space="0"/>
              <w:bottom w:val="single" w:color="auto" w:sz="4"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val="en-US" w:eastAsia="zh-CN"/>
              </w:rPr>
              <w:t xml:space="preserve"> </w:t>
            </w:r>
          </w:p>
        </w:tc>
        <w:tc>
          <w:tcPr>
            <w:tcW w:w="1087" w:type="pct"/>
            <w:tcBorders>
              <w:top w:val="single" w:color="auto" w:sz="6" w:space="0"/>
              <w:left w:val="single" w:color="auto" w:sz="6" w:space="0"/>
              <w:bottom w:val="single" w:color="auto" w:sz="4"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val="en-US" w:eastAsia="zh-CN"/>
              </w:rPr>
              <w:t xml:space="preserve"> </w:t>
            </w:r>
          </w:p>
        </w:tc>
        <w:tc>
          <w:tcPr>
            <w:tcW w:w="1004" w:type="pct"/>
            <w:tcBorders>
              <w:top w:val="single" w:color="auto" w:sz="6" w:space="0"/>
              <w:left w:val="single" w:color="auto" w:sz="6" w:space="0"/>
              <w:bottom w:val="single" w:color="auto" w:sz="4"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val="en-US" w:eastAsia="zh-CN"/>
              </w:rPr>
              <w:t xml:space="preserve"> </w:t>
            </w:r>
          </w:p>
        </w:tc>
        <w:tc>
          <w:tcPr>
            <w:tcW w:w="339" w:type="pct"/>
            <w:tcBorders>
              <w:top w:val="single" w:color="auto" w:sz="6" w:space="0"/>
              <w:left w:val="single" w:color="auto" w:sz="6" w:space="0"/>
              <w:bottom w:val="single" w:color="auto" w:sz="4"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val="en-US" w:eastAsia="zh-CN"/>
              </w:rPr>
              <w:t xml:space="preserve"> </w:t>
            </w:r>
          </w:p>
        </w:tc>
        <w:tc>
          <w:tcPr>
            <w:tcW w:w="641" w:type="pct"/>
            <w:tcBorders>
              <w:top w:val="single" w:color="auto" w:sz="6" w:space="0"/>
              <w:left w:val="single" w:color="auto" w:sz="6" w:space="0"/>
              <w:bottom w:val="single" w:color="auto" w:sz="4"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val="en-US" w:eastAsia="zh-CN"/>
              </w:rPr>
              <w:t xml:space="preserve"> </w:t>
            </w:r>
          </w:p>
        </w:tc>
        <w:tc>
          <w:tcPr>
            <w:tcW w:w="667" w:type="pct"/>
            <w:tcBorders>
              <w:top w:val="single" w:color="auto" w:sz="6" w:space="0"/>
              <w:left w:val="single" w:color="auto" w:sz="6" w:space="0"/>
              <w:bottom w:val="single" w:color="auto" w:sz="4" w:space="0"/>
              <w:right w:val="single" w:color="auto" w:sz="6" w:space="0"/>
            </w:tcBorders>
            <w:noWrap/>
            <w:vAlign w:val="center"/>
          </w:tcPr>
          <w:p>
            <w:pPr>
              <w:keepNext w:val="0"/>
              <w:keepLines w:val="0"/>
              <w:pageBreakBefore w:val="0"/>
              <w:widowControl w:val="0"/>
              <w:kinsoku/>
              <w:overflowPunct/>
              <w:topLinePunct w:val="0"/>
              <w:autoSpaceDE/>
              <w:autoSpaceDN/>
              <w:bidi w:val="0"/>
              <w:spacing w:line="0" w:lineRule="atLeast"/>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val="en-US" w:eastAsia="zh-CN"/>
              </w:rPr>
              <w:t xml:space="preserve"> </w:t>
            </w:r>
          </w:p>
        </w:tc>
      </w:tr>
      <w:tr>
        <w:tblPrEx>
          <w:tblCellMar>
            <w:top w:w="0" w:type="dxa"/>
            <w:left w:w="28" w:type="dxa"/>
            <w:bottom w:w="0" w:type="dxa"/>
            <w:right w:w="28" w:type="dxa"/>
          </w:tblCellMar>
        </w:tblPrEx>
        <w:trPr>
          <w:trHeight w:val="90" w:hRule="atLeast"/>
          <w:jc w:val="center"/>
        </w:trPr>
        <w:tc>
          <w:tcPr>
            <w:tcW w:w="400" w:type="pct"/>
            <w:tcBorders>
              <w:top w:val="single" w:color="auto" w:sz="4" w:space="0"/>
              <w:left w:val="single" w:color="auto" w:sz="6" w:space="0"/>
              <w:bottom w:val="single" w:color="auto" w:sz="4" w:space="0"/>
              <w:right w:val="single" w:color="auto" w:sz="4" w:space="0"/>
            </w:tcBorders>
            <w:noWrap/>
            <w:vAlign w:val="center"/>
          </w:tcPr>
          <w:p>
            <w:pPr>
              <w:keepNext w:val="0"/>
              <w:keepLines w:val="0"/>
              <w:pageBreakBefore w:val="0"/>
              <w:widowControl w:val="0"/>
              <w:kinsoku/>
              <w:overflowPunct/>
              <w:topLinePunct w:val="0"/>
              <w:autoSpaceDE/>
              <w:autoSpaceDN/>
              <w:bidi w:val="0"/>
              <w:adjustRightInd w:val="0"/>
              <w:snapToGrid w:val="0"/>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合计</w:t>
            </w:r>
          </w:p>
          <w:p>
            <w:pPr>
              <w:keepNext w:val="0"/>
              <w:keepLines w:val="0"/>
              <w:pageBreakBefore w:val="0"/>
              <w:widowControl w:val="0"/>
              <w:kinsoku/>
              <w:overflowPunct/>
              <w:topLinePunct w:val="0"/>
              <w:autoSpaceDE/>
              <w:autoSpaceDN/>
              <w:bidi w:val="0"/>
              <w:adjustRightInd w:val="0"/>
              <w:snapToGrid w:val="0"/>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总价</w:t>
            </w:r>
          </w:p>
        </w:tc>
        <w:tc>
          <w:tcPr>
            <w:tcW w:w="4599" w:type="pct"/>
            <w:gridSpan w:val="6"/>
            <w:tcBorders>
              <w:top w:val="single" w:color="auto" w:sz="4" w:space="0"/>
              <w:left w:val="single" w:color="auto" w:sz="6" w:space="0"/>
              <w:bottom w:val="single" w:color="auto" w:sz="4" w:space="0"/>
              <w:right w:val="single" w:color="auto" w:sz="4" w:space="0"/>
            </w:tcBorders>
            <w:noWrap/>
            <w:vAlign w:val="center"/>
          </w:tcPr>
          <w:p>
            <w:pPr>
              <w:keepNext w:val="0"/>
              <w:keepLines w:val="0"/>
              <w:pageBreakBefore w:val="0"/>
              <w:widowControl w:val="0"/>
              <w:kinsoku/>
              <w:overflowPunct/>
              <w:topLinePunct w:val="0"/>
              <w:autoSpaceDE/>
              <w:autoSpaceDN/>
              <w:bidi w:val="0"/>
              <w:adjustRightInd w:val="0"/>
              <w:snapToGrid w:val="0"/>
              <w:spacing w:line="0" w:lineRule="atLeast"/>
              <w:jc w:val="left"/>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（小写）：</w:t>
            </w:r>
            <w:r>
              <w:rPr>
                <w:rFonts w:hint="eastAsia" w:ascii="宋体" w:hAnsi="宋体" w:eastAsia="宋体" w:cs="宋体"/>
                <w:b/>
                <w:bCs/>
                <w:color w:val="auto"/>
                <w:sz w:val="24"/>
                <w:highlight w:val="none"/>
                <w:lang w:val="en-US" w:eastAsia="zh-CN"/>
              </w:rPr>
              <w:t xml:space="preserve"> </w:t>
            </w:r>
          </w:p>
          <w:p>
            <w:pPr>
              <w:keepNext w:val="0"/>
              <w:keepLines w:val="0"/>
              <w:pageBreakBefore w:val="0"/>
              <w:widowControl w:val="0"/>
              <w:kinsoku/>
              <w:overflowPunct/>
              <w:topLinePunct w:val="0"/>
              <w:autoSpaceDE/>
              <w:autoSpaceDN/>
              <w:bidi w:val="0"/>
              <w:adjustRightInd w:val="0"/>
              <w:snapToGrid w:val="0"/>
              <w:spacing w:line="0" w:lineRule="atLeast"/>
              <w:jc w:val="left"/>
              <w:rPr>
                <w:rFonts w:hint="eastAsia" w:ascii="宋体" w:hAnsi="宋体" w:eastAsia="宋体" w:cs="宋体"/>
                <w:color w:val="auto"/>
                <w:sz w:val="24"/>
                <w:highlight w:val="none"/>
                <w:lang w:val="en-US" w:eastAsia="zh-CN"/>
              </w:rPr>
            </w:pPr>
            <w:r>
              <w:rPr>
                <w:rFonts w:hint="eastAsia" w:ascii="宋体" w:hAnsi="宋体" w:eastAsia="宋体" w:cs="宋体"/>
                <w:b/>
                <w:bCs/>
                <w:color w:val="auto"/>
                <w:sz w:val="24"/>
                <w:highlight w:val="none"/>
              </w:rPr>
              <w:t>（大写）：</w:t>
            </w:r>
            <w:r>
              <w:rPr>
                <w:rFonts w:hint="eastAsia" w:ascii="宋体" w:hAnsi="宋体" w:eastAsia="宋体" w:cs="宋体"/>
                <w:b/>
                <w:bCs/>
                <w:color w:val="auto"/>
                <w:sz w:val="24"/>
                <w:highlight w:val="none"/>
                <w:lang w:val="en-US" w:eastAsia="zh-CN"/>
              </w:rPr>
              <w:t xml:space="preserve"> </w:t>
            </w:r>
          </w:p>
        </w:tc>
      </w:tr>
    </w:tbl>
    <w:p>
      <w:pPr>
        <w:keepNext w:val="0"/>
        <w:keepLines w:val="0"/>
        <w:pageBreakBefore w:val="0"/>
        <w:widowControl w:val="0"/>
        <w:kinsoku/>
        <w:overflowPunct/>
        <w:topLinePunct w:val="0"/>
        <w:autoSpaceDE/>
        <w:autoSpaceDN/>
        <w:bidi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w:t>
      </w:r>
      <w:r>
        <w:rPr>
          <w:rFonts w:hint="eastAsia" w:ascii="宋体" w:hAnsi="宋体" w:eastAsia="宋体" w:cs="宋体"/>
          <w:b/>
          <w:bCs/>
          <w:color w:val="auto"/>
          <w:sz w:val="24"/>
          <w:highlight w:val="none"/>
        </w:rPr>
        <w:t>合同总价款为人民币（大写）</w:t>
      </w:r>
      <w:r>
        <w:rPr>
          <w:rFonts w:hint="eastAsia" w:ascii="宋体" w:hAnsi="宋体" w:eastAsia="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rPr>
        <w:t>(小写：</w:t>
      </w:r>
      <w:r>
        <w:rPr>
          <w:rFonts w:hint="eastAsia" w:ascii="宋体" w:hAnsi="宋体" w:eastAsia="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rPr>
        <w:t>元)。</w:t>
      </w:r>
    </w:p>
    <w:p>
      <w:pPr>
        <w:keepNext w:val="0"/>
        <w:keepLines w:val="0"/>
        <w:pageBreakBefore w:val="0"/>
        <w:widowControl w:val="0"/>
        <w:kinsoku/>
        <w:overflowPunct/>
        <w:topLinePunct w:val="0"/>
        <w:autoSpaceDE/>
        <w:autoSpaceDN/>
        <w:bidi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（二）合同总价包括：货物费、税金、运输费（含装卸、保险费）、仓储保管费、安装调试费、检测验收费及其它费用。</w:t>
      </w:r>
    </w:p>
    <w:p>
      <w:pPr>
        <w:keepNext w:val="0"/>
        <w:keepLines w:val="0"/>
        <w:pageBreakBefore w:val="0"/>
        <w:widowControl w:val="0"/>
        <w:kinsoku/>
        <w:overflowPunct/>
        <w:topLinePunct w:val="0"/>
        <w:autoSpaceDE/>
        <w:autoSpaceDN/>
        <w:bidi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（三）合同总价一次性包死，不受市场价格变化因素的影响。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baseline"/>
        <w:rPr>
          <w:rStyle w:val="13"/>
          <w:rFonts w:hint="eastAsia" w:ascii="宋体" w:hAnsi="宋体" w:eastAsia="宋体" w:cs="宋体"/>
          <w:b/>
          <w:color w:val="auto"/>
          <w:sz w:val="24"/>
          <w:highlight w:val="none"/>
        </w:rPr>
      </w:pPr>
      <w:r>
        <w:rPr>
          <w:rStyle w:val="13"/>
          <w:rFonts w:hint="eastAsia" w:ascii="宋体" w:hAnsi="宋体" w:eastAsia="宋体" w:cs="宋体"/>
          <w:b/>
          <w:color w:val="auto"/>
          <w:sz w:val="24"/>
          <w:highlight w:val="none"/>
        </w:rPr>
        <w:t>合同款项支付</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2" w:firstLineChars="200"/>
        <w:textAlignment w:val="baseline"/>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付款方式：</w:t>
      </w:r>
      <w:r>
        <w:rPr>
          <w:rFonts w:hint="eastAsia" w:ascii="宋体" w:hAnsi="宋体" w:eastAsia="宋体" w:cs="宋体"/>
          <w:b w:val="0"/>
          <w:bCs w:val="0"/>
          <w:color w:val="auto"/>
          <w:sz w:val="24"/>
          <w:highlight w:val="none"/>
        </w:rPr>
        <w:t>合同签订后，乙方设备送达甲方指定地点，货到安装调试正常运行满30天后，甲方设备器械科组织验收，验收合格后由乙方开具全额发票给甲方，甲方收到乙方出具的全额发票后，达到付款条件起</w:t>
      </w:r>
      <w:r>
        <w:rPr>
          <w:rFonts w:hint="eastAsia" w:ascii="宋体" w:hAnsi="宋体" w:eastAsia="宋体" w:cs="宋体"/>
          <w:b w:val="0"/>
          <w:bCs w:val="0"/>
          <w:color w:val="auto"/>
          <w:sz w:val="24"/>
          <w:highlight w:val="none"/>
          <w:lang w:val="en-US" w:eastAsia="zh-CN"/>
        </w:rPr>
        <w:t>30</w:t>
      </w:r>
      <w:r>
        <w:rPr>
          <w:rFonts w:hint="eastAsia" w:ascii="宋体" w:hAnsi="宋体" w:eastAsia="宋体" w:cs="宋体"/>
          <w:b w:val="0"/>
          <w:bCs w:val="0"/>
          <w:color w:val="auto"/>
          <w:sz w:val="24"/>
          <w:highlight w:val="none"/>
        </w:rPr>
        <w:t xml:space="preserve">日内，支付合同总金额的 </w:t>
      </w:r>
      <w:r>
        <w:rPr>
          <w:rFonts w:hint="eastAsia" w:ascii="宋体" w:hAnsi="宋体" w:eastAsia="宋体" w:cs="宋体"/>
          <w:b w:val="0"/>
          <w:bCs w:val="0"/>
          <w:color w:val="auto"/>
          <w:sz w:val="24"/>
          <w:highlight w:val="none"/>
          <w:lang w:val="en-US" w:eastAsia="zh-CN"/>
        </w:rPr>
        <w:t>100</w:t>
      </w:r>
      <w:r>
        <w:rPr>
          <w:rFonts w:hint="eastAsia" w:ascii="宋体" w:hAnsi="宋体" w:eastAsia="宋体" w:cs="宋体"/>
          <w:b w:val="0"/>
          <w:bCs w:val="0"/>
          <w:color w:val="auto"/>
          <w:sz w:val="24"/>
          <w:highlight w:val="none"/>
        </w:rPr>
        <w:t>.00%</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baseline"/>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2、结算方式：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验收合格后甲方应填写采购项目验收单，乙方需向甲方提供《中标通知书》、采购合同、发票、资金支付申请表等材料与甲方结算。</w:t>
      </w:r>
    </w:p>
    <w:p>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0" w:firstLineChars="175"/>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甲方开票信息：</w:t>
      </w:r>
    </w:p>
    <w:p>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0" w:firstLineChars="175"/>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单位名称：陕西省第二人民医院</w:t>
      </w:r>
    </w:p>
    <w:p>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0" w:firstLineChars="175"/>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纳税人识别号：126100004352008966</w:t>
      </w:r>
    </w:p>
    <w:p>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0" w:firstLineChars="175"/>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地址：西安市新城区尚勤路3号</w:t>
      </w:r>
    </w:p>
    <w:p>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0" w:firstLineChars="175"/>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账号：103208587582</w:t>
      </w:r>
    </w:p>
    <w:p>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0" w:firstLineChars="175"/>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开户行：中国银行西安东新街支行</w:t>
      </w:r>
    </w:p>
    <w:p>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2" w:firstLineChars="175"/>
        <w:textAlignment w:val="baseline"/>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3、支付方式：银行转账</w:t>
      </w:r>
    </w:p>
    <w:p>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0" w:firstLineChars="175"/>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乙方开票信息：</w:t>
      </w:r>
    </w:p>
    <w:p>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0" w:firstLineChars="175"/>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名 称：</w:t>
      </w:r>
    </w:p>
    <w:p>
      <w:pPr>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0" w:firstLineChars="175"/>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纳税人识别号：</w:t>
      </w:r>
    </w:p>
    <w:p>
      <w:pPr>
        <w:keepNext w:val="0"/>
        <w:keepLines w:val="0"/>
        <w:pageBreakBefore w:val="0"/>
        <w:widowControl w:val="0"/>
        <w:numPr>
          <w:ilvl w:val="255"/>
          <w:numId w:val="0"/>
        </w:numPr>
        <w:kinsoku/>
        <w:overflowPunct/>
        <w:topLinePunct w:val="0"/>
        <w:autoSpaceDE/>
        <w:autoSpaceDN/>
        <w:bidi w:val="0"/>
        <w:spacing w:line="360" w:lineRule="auto"/>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p>
      <w:pPr>
        <w:keepNext w:val="0"/>
        <w:keepLines w:val="0"/>
        <w:pageBreakBefore w:val="0"/>
        <w:widowControl w:val="0"/>
        <w:numPr>
          <w:ilvl w:val="255"/>
          <w:numId w:val="0"/>
        </w:numPr>
        <w:kinsoku/>
        <w:overflowPunct/>
        <w:topLinePunct w:val="0"/>
        <w:autoSpaceDE/>
        <w:autoSpaceDN/>
        <w:bidi w:val="0"/>
        <w:spacing w:line="360" w:lineRule="auto"/>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p>
      <w:pPr>
        <w:keepNext w:val="0"/>
        <w:keepLines w:val="0"/>
        <w:pageBreakBefore w:val="0"/>
        <w:widowControl w:val="0"/>
        <w:numPr>
          <w:ilvl w:val="255"/>
          <w:numId w:val="0"/>
        </w:numPr>
        <w:kinsoku/>
        <w:overflowPunct/>
        <w:topLinePunct w:val="0"/>
        <w:autoSpaceDE/>
        <w:autoSpaceDN/>
        <w:bidi w:val="0"/>
        <w:spacing w:line="360" w:lineRule="auto"/>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w:t>
      </w:r>
    </w:p>
    <w:p>
      <w:pPr>
        <w:keepNext w:val="0"/>
        <w:keepLines w:val="0"/>
        <w:pageBreakBefore w:val="0"/>
        <w:widowControl w:val="0"/>
        <w:numPr>
          <w:ilvl w:val="255"/>
          <w:numId w:val="0"/>
        </w:numPr>
        <w:kinsoku/>
        <w:overflowPunct/>
        <w:topLinePunct w:val="0"/>
        <w:autoSpaceDE/>
        <w:autoSpaceDN/>
        <w:bidi w:val="0"/>
        <w:spacing w:line="360" w:lineRule="auto"/>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银行账号：</w:t>
      </w:r>
    </w:p>
    <w:p>
      <w:pPr>
        <w:keepNext w:val="0"/>
        <w:keepLines w:val="0"/>
        <w:pageBreakBefore w:val="0"/>
        <w:widowControl w:val="0"/>
        <w:numPr>
          <w:ilvl w:val="0"/>
          <w:numId w:val="1"/>
        </w:numPr>
        <w:kinsoku/>
        <w:overflowPunct/>
        <w:topLinePunct w:val="0"/>
        <w:autoSpaceDE/>
        <w:autoSpaceDN/>
        <w:bidi w:val="0"/>
        <w:spacing w:line="360" w:lineRule="auto"/>
        <w:rPr>
          <w:rStyle w:val="13"/>
          <w:rFonts w:hint="eastAsia" w:ascii="宋体" w:hAnsi="宋体" w:eastAsia="宋体" w:cs="宋体"/>
          <w:b/>
          <w:color w:val="auto"/>
          <w:sz w:val="24"/>
          <w:highlight w:val="none"/>
        </w:rPr>
      </w:pPr>
      <w:r>
        <w:rPr>
          <w:rStyle w:val="13"/>
          <w:rFonts w:hint="eastAsia" w:ascii="宋体" w:hAnsi="宋体" w:eastAsia="宋体" w:cs="宋体"/>
          <w:b/>
          <w:color w:val="auto"/>
          <w:sz w:val="24"/>
          <w:highlight w:val="none"/>
          <w:lang w:val="en-US" w:eastAsia="zh-CN"/>
        </w:rPr>
        <w:t>产品属性</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3"/>
        <w:gridCol w:w="2185"/>
        <w:gridCol w:w="4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85" w:type="dxa"/>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lang w:val="en-US" w:eastAsia="zh-CN"/>
              </w:rPr>
              <w:t>产品名称</w:t>
            </w:r>
          </w:p>
        </w:tc>
        <w:tc>
          <w:tcPr>
            <w:tcW w:w="6911" w:type="dxa"/>
            <w:gridSpan w:val="2"/>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5" w:type="dxa"/>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lang w:val="en-US" w:eastAsia="zh-CN"/>
              </w:rPr>
              <w:t>品牌品目</w:t>
            </w:r>
          </w:p>
        </w:tc>
        <w:tc>
          <w:tcPr>
            <w:tcW w:w="6911" w:type="dxa"/>
            <w:gridSpan w:val="2"/>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5" w:type="dxa"/>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lang w:val="en-US" w:eastAsia="zh-CN"/>
              </w:rPr>
              <w:t>产品属性</w:t>
            </w:r>
          </w:p>
        </w:tc>
        <w:tc>
          <w:tcPr>
            <w:tcW w:w="6911" w:type="dxa"/>
            <w:gridSpan w:val="2"/>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普通产品</w:t>
            </w:r>
          </w:p>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节能，节水</w:t>
            </w:r>
          </w:p>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环保</w:t>
            </w:r>
          </w:p>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节能，节水，环保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5" w:type="dxa"/>
            <w:vMerge w:val="restart"/>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lang w:val="en-US" w:eastAsia="zh-CN"/>
              </w:rPr>
              <w:t>供应商信息</w:t>
            </w:r>
          </w:p>
        </w:tc>
        <w:tc>
          <w:tcPr>
            <w:tcW w:w="2354" w:type="dxa"/>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lang w:val="en-US" w:eastAsia="zh-CN"/>
              </w:rPr>
              <w:t>名称</w:t>
            </w:r>
          </w:p>
        </w:tc>
        <w:tc>
          <w:tcPr>
            <w:tcW w:w="4557" w:type="dxa"/>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5" w:type="dxa"/>
            <w:vMerge w:val="continue"/>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p>
        </w:tc>
        <w:tc>
          <w:tcPr>
            <w:tcW w:w="2354" w:type="dxa"/>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lang w:val="en-US" w:eastAsia="zh-CN"/>
              </w:rPr>
              <w:t>供应商规模</w:t>
            </w:r>
          </w:p>
        </w:tc>
        <w:tc>
          <w:tcPr>
            <w:tcW w:w="4557" w:type="dxa"/>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小微型企业</w:t>
            </w:r>
          </w:p>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中型企业</w:t>
            </w:r>
          </w:p>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大型企业</w:t>
            </w:r>
          </w:p>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5" w:type="dxa"/>
            <w:vMerge w:val="continue"/>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p>
        </w:tc>
        <w:tc>
          <w:tcPr>
            <w:tcW w:w="2354" w:type="dxa"/>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lang w:val="en-US" w:eastAsia="zh-CN"/>
              </w:rPr>
              <w:t>行政区划</w:t>
            </w:r>
          </w:p>
        </w:tc>
        <w:tc>
          <w:tcPr>
            <w:tcW w:w="4557" w:type="dxa"/>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5" w:type="dxa"/>
            <w:vMerge w:val="continue"/>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p>
        </w:tc>
        <w:tc>
          <w:tcPr>
            <w:tcW w:w="2354" w:type="dxa"/>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lang w:val="en-US" w:eastAsia="zh-CN"/>
              </w:rPr>
              <w:t>是否外资投资企业</w:t>
            </w:r>
          </w:p>
        </w:tc>
        <w:tc>
          <w:tcPr>
            <w:tcW w:w="4557" w:type="dxa"/>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 xml:space="preserve">是  </w:t>
            </w: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5" w:type="dxa"/>
            <w:vMerge w:val="restart"/>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lang w:val="en-US" w:eastAsia="zh-CN"/>
              </w:rPr>
              <w:t>制造商信息</w:t>
            </w:r>
          </w:p>
        </w:tc>
        <w:tc>
          <w:tcPr>
            <w:tcW w:w="2354" w:type="dxa"/>
            <w:vAlign w:val="top"/>
          </w:tcPr>
          <w:p>
            <w:pPr>
              <w:keepNext w:val="0"/>
              <w:keepLines w:val="0"/>
              <w:pageBreakBefore w:val="0"/>
              <w:widowControl w:val="0"/>
              <w:numPr>
                <w:ilvl w:val="-1"/>
                <w:numId w:val="0"/>
              </w:numPr>
              <w:kinsoku/>
              <w:overflowPunct/>
              <w:topLinePunct w:val="0"/>
              <w:autoSpaceDE/>
              <w:autoSpaceDN/>
              <w:bidi w:val="0"/>
              <w:spacing w:line="360" w:lineRule="auto"/>
              <w:ind w:left="0" w:leftChars="0" w:firstLine="0" w:firstLineChars="0"/>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lang w:val="en-US" w:eastAsia="zh-CN"/>
              </w:rPr>
              <w:t>名称</w:t>
            </w:r>
          </w:p>
        </w:tc>
        <w:tc>
          <w:tcPr>
            <w:tcW w:w="4557" w:type="dxa"/>
            <w:vAlign w:val="top"/>
          </w:tcPr>
          <w:p>
            <w:pPr>
              <w:keepNext w:val="0"/>
              <w:keepLines w:val="0"/>
              <w:pageBreakBefore w:val="0"/>
              <w:widowControl w:val="0"/>
              <w:numPr>
                <w:ilvl w:val="-1"/>
                <w:numId w:val="0"/>
              </w:numPr>
              <w:kinsoku/>
              <w:overflowPunct/>
              <w:topLinePunct w:val="0"/>
              <w:autoSpaceDE/>
              <w:autoSpaceDN/>
              <w:bidi w:val="0"/>
              <w:spacing w:line="360" w:lineRule="auto"/>
              <w:ind w:left="0" w:leftChars="0" w:firstLine="0" w:firstLineChars="0"/>
              <w:rPr>
                <w:rStyle w:val="13"/>
                <w:rFonts w:hint="eastAsia" w:ascii="宋体" w:hAnsi="宋体" w:eastAsia="宋体" w:cs="宋体"/>
                <w:b/>
                <w:color w:val="auto"/>
                <w:sz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5" w:type="dxa"/>
            <w:vMerge w:val="continue"/>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p>
        </w:tc>
        <w:tc>
          <w:tcPr>
            <w:tcW w:w="2354" w:type="dxa"/>
            <w:vAlign w:val="top"/>
          </w:tcPr>
          <w:p>
            <w:pPr>
              <w:keepNext w:val="0"/>
              <w:keepLines w:val="0"/>
              <w:pageBreakBefore w:val="0"/>
              <w:widowControl w:val="0"/>
              <w:numPr>
                <w:ilvl w:val="-1"/>
                <w:numId w:val="0"/>
              </w:numPr>
              <w:kinsoku/>
              <w:overflowPunct/>
              <w:topLinePunct w:val="0"/>
              <w:autoSpaceDE/>
              <w:autoSpaceDN/>
              <w:bidi w:val="0"/>
              <w:spacing w:line="360" w:lineRule="auto"/>
              <w:ind w:left="0" w:leftChars="0" w:firstLine="0" w:firstLineChars="0"/>
              <w:rPr>
                <w:rFonts w:hint="eastAsia" w:ascii="宋体" w:hAnsi="宋体" w:eastAsia="宋体" w:cs="宋体"/>
                <w:b/>
                <w:color w:val="auto"/>
                <w:kern w:val="2"/>
                <w:sz w:val="24"/>
                <w:szCs w:val="24"/>
                <w:highlight w:val="none"/>
                <w:vertAlign w:val="baseline"/>
                <w:lang w:val="en-US" w:eastAsia="zh-CN" w:bidi="ar-SA"/>
              </w:rPr>
            </w:pPr>
            <w:r>
              <w:rPr>
                <w:rStyle w:val="13"/>
                <w:rFonts w:hint="eastAsia" w:ascii="宋体" w:hAnsi="宋体" w:eastAsia="宋体" w:cs="宋体"/>
                <w:b/>
                <w:color w:val="auto"/>
                <w:sz w:val="24"/>
                <w:highlight w:val="none"/>
                <w:vertAlign w:val="baseline"/>
                <w:lang w:val="en-US" w:eastAsia="zh-CN"/>
              </w:rPr>
              <w:t>供应商规模</w:t>
            </w:r>
          </w:p>
        </w:tc>
        <w:tc>
          <w:tcPr>
            <w:tcW w:w="4557" w:type="dxa"/>
            <w:vAlign w:val="top"/>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小微型企业</w:t>
            </w:r>
          </w:p>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中型企业</w:t>
            </w:r>
          </w:p>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大型企业</w:t>
            </w:r>
          </w:p>
          <w:p>
            <w:pPr>
              <w:keepNext w:val="0"/>
              <w:keepLines w:val="0"/>
              <w:pageBreakBefore w:val="0"/>
              <w:widowControl w:val="0"/>
              <w:numPr>
                <w:ilvl w:val="-1"/>
                <w:numId w:val="0"/>
              </w:numPr>
              <w:kinsoku/>
              <w:overflowPunct/>
              <w:topLinePunct w:val="0"/>
              <w:autoSpaceDE/>
              <w:autoSpaceDN/>
              <w:bidi w:val="0"/>
              <w:spacing w:line="360" w:lineRule="auto"/>
              <w:ind w:left="0" w:leftChars="0" w:firstLine="0" w:firstLineChars="0"/>
              <w:rPr>
                <w:rFonts w:hint="eastAsia" w:ascii="宋体" w:hAnsi="宋体" w:eastAsia="宋体" w:cs="宋体"/>
                <w:b/>
                <w:color w:val="auto"/>
                <w:kern w:val="2"/>
                <w:sz w:val="24"/>
                <w:szCs w:val="24"/>
                <w:highlight w:val="none"/>
                <w:vertAlign w:val="baseline"/>
                <w:lang w:val="en-US" w:eastAsia="zh-CN" w:bidi="ar-SA"/>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5" w:type="dxa"/>
            <w:vMerge w:val="continue"/>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p>
        </w:tc>
        <w:tc>
          <w:tcPr>
            <w:tcW w:w="2354" w:type="dxa"/>
            <w:vAlign w:val="top"/>
          </w:tcPr>
          <w:p>
            <w:pPr>
              <w:keepNext w:val="0"/>
              <w:keepLines w:val="0"/>
              <w:pageBreakBefore w:val="0"/>
              <w:widowControl w:val="0"/>
              <w:numPr>
                <w:ilvl w:val="-1"/>
                <w:numId w:val="0"/>
              </w:numPr>
              <w:kinsoku/>
              <w:overflowPunct/>
              <w:topLinePunct w:val="0"/>
              <w:autoSpaceDE/>
              <w:autoSpaceDN/>
              <w:bidi w:val="0"/>
              <w:spacing w:line="360" w:lineRule="auto"/>
              <w:ind w:left="0" w:leftChars="0" w:firstLine="0" w:firstLineChars="0"/>
              <w:rPr>
                <w:rFonts w:hint="eastAsia" w:ascii="宋体" w:hAnsi="宋体" w:eastAsia="宋体" w:cs="宋体"/>
                <w:b/>
                <w:color w:val="auto"/>
                <w:kern w:val="2"/>
                <w:sz w:val="24"/>
                <w:szCs w:val="24"/>
                <w:highlight w:val="none"/>
                <w:vertAlign w:val="baseline"/>
                <w:lang w:val="en-US" w:eastAsia="zh-CN" w:bidi="ar-SA"/>
              </w:rPr>
            </w:pPr>
            <w:r>
              <w:rPr>
                <w:rStyle w:val="13"/>
                <w:rFonts w:hint="eastAsia" w:ascii="宋体" w:hAnsi="宋体" w:eastAsia="宋体" w:cs="宋体"/>
                <w:b/>
                <w:color w:val="auto"/>
                <w:sz w:val="24"/>
                <w:highlight w:val="none"/>
                <w:vertAlign w:val="baseline"/>
                <w:lang w:val="en-US" w:eastAsia="zh-CN"/>
              </w:rPr>
              <w:t>行政区划</w:t>
            </w:r>
          </w:p>
        </w:tc>
        <w:tc>
          <w:tcPr>
            <w:tcW w:w="4557" w:type="dxa"/>
            <w:vAlign w:val="top"/>
          </w:tcPr>
          <w:p>
            <w:pPr>
              <w:keepNext w:val="0"/>
              <w:keepLines w:val="0"/>
              <w:pageBreakBefore w:val="0"/>
              <w:widowControl w:val="0"/>
              <w:numPr>
                <w:ilvl w:val="-1"/>
                <w:numId w:val="0"/>
              </w:numPr>
              <w:kinsoku/>
              <w:overflowPunct/>
              <w:topLinePunct w:val="0"/>
              <w:autoSpaceDE/>
              <w:autoSpaceDN/>
              <w:bidi w:val="0"/>
              <w:spacing w:line="360" w:lineRule="auto"/>
              <w:ind w:left="0" w:leftChars="0" w:firstLine="0" w:firstLineChars="0"/>
              <w:rPr>
                <w:rFonts w:hint="eastAsia" w:ascii="宋体" w:hAnsi="宋体" w:eastAsia="宋体" w:cs="宋体"/>
                <w:b/>
                <w:color w:val="auto"/>
                <w:kern w:val="2"/>
                <w:sz w:val="24"/>
                <w:szCs w:val="24"/>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5" w:type="dxa"/>
            <w:vMerge w:val="continue"/>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p>
        </w:tc>
        <w:tc>
          <w:tcPr>
            <w:tcW w:w="2354" w:type="dxa"/>
            <w:vAlign w:val="top"/>
          </w:tcPr>
          <w:p>
            <w:pPr>
              <w:keepNext w:val="0"/>
              <w:keepLines w:val="0"/>
              <w:pageBreakBefore w:val="0"/>
              <w:widowControl w:val="0"/>
              <w:numPr>
                <w:ilvl w:val="-1"/>
                <w:numId w:val="0"/>
              </w:numPr>
              <w:kinsoku/>
              <w:overflowPunct/>
              <w:topLinePunct w:val="0"/>
              <w:autoSpaceDE/>
              <w:autoSpaceDN/>
              <w:bidi w:val="0"/>
              <w:spacing w:line="360" w:lineRule="auto"/>
              <w:ind w:left="0" w:leftChars="0" w:firstLine="0" w:firstLineChars="0"/>
              <w:rPr>
                <w:rFonts w:hint="eastAsia" w:ascii="宋体" w:hAnsi="宋体" w:eastAsia="宋体" w:cs="宋体"/>
                <w:b/>
                <w:color w:val="auto"/>
                <w:kern w:val="2"/>
                <w:sz w:val="24"/>
                <w:szCs w:val="24"/>
                <w:highlight w:val="none"/>
                <w:vertAlign w:val="baseline"/>
                <w:lang w:val="en-US" w:eastAsia="zh-CN" w:bidi="ar-SA"/>
              </w:rPr>
            </w:pPr>
            <w:r>
              <w:rPr>
                <w:rStyle w:val="13"/>
                <w:rFonts w:hint="eastAsia" w:ascii="宋体" w:hAnsi="宋体" w:eastAsia="宋体" w:cs="宋体"/>
                <w:b/>
                <w:color w:val="auto"/>
                <w:sz w:val="24"/>
                <w:highlight w:val="none"/>
                <w:vertAlign w:val="baseline"/>
                <w:lang w:val="en-US" w:eastAsia="zh-CN"/>
              </w:rPr>
              <w:t>是否外资投资企业</w:t>
            </w:r>
          </w:p>
        </w:tc>
        <w:tc>
          <w:tcPr>
            <w:tcW w:w="4557" w:type="dxa"/>
            <w:vAlign w:val="top"/>
          </w:tcPr>
          <w:p>
            <w:pPr>
              <w:keepNext w:val="0"/>
              <w:keepLines w:val="0"/>
              <w:pageBreakBefore w:val="0"/>
              <w:widowControl w:val="0"/>
              <w:numPr>
                <w:ilvl w:val="-1"/>
                <w:numId w:val="0"/>
              </w:numPr>
              <w:kinsoku/>
              <w:overflowPunct/>
              <w:topLinePunct w:val="0"/>
              <w:autoSpaceDE/>
              <w:autoSpaceDN/>
              <w:bidi w:val="0"/>
              <w:spacing w:line="360" w:lineRule="auto"/>
              <w:rPr>
                <w:rFonts w:hint="eastAsia" w:ascii="宋体" w:hAnsi="宋体" w:eastAsia="宋体" w:cs="宋体"/>
                <w:b/>
                <w:color w:val="auto"/>
                <w:kern w:val="2"/>
                <w:sz w:val="24"/>
                <w:szCs w:val="24"/>
                <w:highlight w:val="none"/>
                <w:vertAlign w:val="baseline"/>
                <w:lang w:val="en-US" w:eastAsia="zh-CN" w:bidi="ar-SA"/>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 xml:space="preserve">是  </w:t>
            </w: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5" w:type="dxa"/>
            <w:vAlign w:val="center"/>
          </w:tcPr>
          <w:p>
            <w:pPr>
              <w:keepNext w:val="0"/>
              <w:keepLines w:val="0"/>
              <w:pageBreakBefore w:val="0"/>
              <w:widowControl w:val="0"/>
              <w:numPr>
                <w:ilvl w:val="-1"/>
                <w:numId w:val="0"/>
              </w:numPr>
              <w:kinsoku/>
              <w:overflowPunct/>
              <w:topLinePunct w:val="0"/>
              <w:autoSpaceDE/>
              <w:autoSpaceDN/>
              <w:bidi w:val="0"/>
              <w:spacing w:line="360" w:lineRule="auto"/>
              <w:jc w:val="center"/>
              <w:rPr>
                <w:rStyle w:val="13"/>
                <w:rFonts w:hint="eastAsia" w:ascii="宋体" w:hAnsi="宋体" w:eastAsia="宋体" w:cs="宋体"/>
                <w:b/>
                <w:color w:val="auto"/>
                <w:sz w:val="24"/>
                <w:highlight w:val="none"/>
                <w:vertAlign w:val="baseline"/>
                <w:lang w:val="en-US" w:eastAsia="zh-CN"/>
              </w:rPr>
            </w:pPr>
            <w:r>
              <w:rPr>
                <w:rStyle w:val="13"/>
                <w:rFonts w:hint="eastAsia" w:ascii="宋体" w:hAnsi="宋体" w:eastAsia="宋体" w:cs="宋体"/>
                <w:b/>
                <w:color w:val="auto"/>
                <w:sz w:val="24"/>
                <w:highlight w:val="none"/>
                <w:vertAlign w:val="baseline"/>
                <w:lang w:val="en-US" w:eastAsia="zh-CN"/>
              </w:rPr>
              <w:t>供应商拥有者性别</w:t>
            </w:r>
          </w:p>
        </w:tc>
        <w:tc>
          <w:tcPr>
            <w:tcW w:w="6911" w:type="dxa"/>
            <w:gridSpan w:val="2"/>
            <w:vAlign w:val="top"/>
          </w:tcPr>
          <w:p>
            <w:pPr>
              <w:keepNext w:val="0"/>
              <w:keepLines w:val="0"/>
              <w:pageBreakBefore w:val="0"/>
              <w:widowControl w:val="0"/>
              <w:numPr>
                <w:ilvl w:val="-1"/>
                <w:numId w:val="0"/>
              </w:numPr>
              <w:kinsoku/>
              <w:overflowPunct/>
              <w:topLinePunct w:val="0"/>
              <w:autoSpaceDE/>
              <w:autoSpaceDN/>
              <w:bidi w:val="0"/>
              <w:spacing w:line="360" w:lineRule="auto"/>
              <w:rPr>
                <w:rStyle w:val="13"/>
                <w:rFonts w:hint="eastAsia" w:ascii="宋体" w:hAnsi="宋体" w:eastAsia="宋体" w:cs="宋体"/>
                <w:b/>
                <w:color w:val="auto"/>
                <w:sz w:val="24"/>
                <w:highlight w:val="none"/>
                <w:vertAlign w:val="baseline"/>
              </w:rPr>
            </w:pP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 xml:space="preserve">男  </w:t>
            </w:r>
            <w:r>
              <w:rPr>
                <w:rStyle w:val="13"/>
                <w:rFonts w:hint="eastAsia" w:ascii="宋体" w:hAnsi="宋体" w:eastAsia="宋体" w:cs="宋体"/>
                <w:b/>
                <w:color w:val="auto"/>
                <w:sz w:val="24"/>
                <w:highlight w:val="none"/>
                <w:vertAlign w:val="baseline"/>
              </w:rPr>
              <w:sym w:font="Wingdings 2" w:char="00A3"/>
            </w:r>
            <w:r>
              <w:rPr>
                <w:rStyle w:val="13"/>
                <w:rFonts w:hint="eastAsia" w:ascii="宋体" w:hAnsi="宋体" w:eastAsia="宋体" w:cs="宋体"/>
                <w:b/>
                <w:color w:val="auto"/>
                <w:sz w:val="24"/>
                <w:highlight w:val="none"/>
                <w:vertAlign w:val="baseline"/>
                <w:lang w:val="en-US" w:eastAsia="zh-CN"/>
              </w:rPr>
              <w:t>女</w:t>
            </w:r>
          </w:p>
        </w:tc>
      </w:tr>
    </w:tbl>
    <w:p>
      <w:pPr>
        <w:keepNext w:val="0"/>
        <w:keepLines w:val="0"/>
        <w:pageBreakBefore w:val="0"/>
        <w:widowControl w:val="0"/>
        <w:numPr>
          <w:ilvl w:val="0"/>
          <w:numId w:val="1"/>
        </w:numPr>
        <w:kinsoku/>
        <w:overflowPunct/>
        <w:topLinePunct w:val="0"/>
        <w:autoSpaceDE/>
        <w:autoSpaceDN/>
        <w:bidi w:val="0"/>
        <w:spacing w:line="360" w:lineRule="auto"/>
        <w:rPr>
          <w:rStyle w:val="13"/>
          <w:rFonts w:hint="eastAsia" w:ascii="宋体" w:hAnsi="宋体" w:eastAsia="宋体" w:cs="宋体"/>
          <w:b/>
          <w:color w:val="auto"/>
          <w:sz w:val="24"/>
          <w:highlight w:val="none"/>
          <w:lang w:val="en-US" w:eastAsia="zh-CN"/>
        </w:rPr>
      </w:pPr>
      <w:r>
        <w:rPr>
          <w:rStyle w:val="13"/>
          <w:rFonts w:hint="eastAsia" w:ascii="宋体" w:hAnsi="宋体" w:eastAsia="宋体" w:cs="宋体"/>
          <w:b/>
          <w:color w:val="auto"/>
          <w:sz w:val="24"/>
          <w:highlight w:val="none"/>
          <w:lang w:val="en-US" w:eastAsia="zh-CN"/>
        </w:rPr>
        <w:t>交货条件</w:t>
      </w:r>
    </w:p>
    <w:p>
      <w:pPr>
        <w:keepNext w:val="0"/>
        <w:keepLines w:val="0"/>
        <w:pageBreakBefore w:val="0"/>
        <w:widowControl w:val="0"/>
        <w:kinsoku/>
        <w:overflowPunct/>
        <w:topLinePunct w:val="0"/>
        <w:autoSpaceDE/>
        <w:autoSpaceDN/>
        <w:bidi w:val="0"/>
        <w:spacing w:line="360" w:lineRule="auto"/>
        <w:ind w:firstLine="420" w:firstLineChars="175"/>
        <w:jc w:val="left"/>
        <w:rPr>
          <w:rStyle w:val="13"/>
          <w:rFonts w:hint="eastAsia" w:ascii="宋体" w:hAnsi="宋体" w:eastAsia="宋体" w:cs="宋体"/>
          <w:color w:val="auto"/>
          <w:sz w:val="24"/>
          <w:highlight w:val="none"/>
        </w:rPr>
      </w:pPr>
      <w:r>
        <w:rPr>
          <w:rStyle w:val="13"/>
          <w:rFonts w:hint="eastAsia" w:ascii="宋体" w:hAnsi="宋体" w:eastAsia="宋体" w:cs="宋体"/>
          <w:color w:val="auto"/>
          <w:sz w:val="24"/>
          <w:highlight w:val="none"/>
        </w:rPr>
        <w:t>（一）交货地点：陕西省第二人民医院指定地点。</w:t>
      </w:r>
    </w:p>
    <w:p>
      <w:pPr>
        <w:keepNext w:val="0"/>
        <w:keepLines w:val="0"/>
        <w:pageBreakBefore w:val="0"/>
        <w:widowControl w:val="0"/>
        <w:kinsoku/>
        <w:overflowPunct/>
        <w:topLinePunct w:val="0"/>
        <w:autoSpaceDE/>
        <w:autoSpaceDN/>
        <w:bidi w:val="0"/>
        <w:spacing w:line="360" w:lineRule="auto"/>
        <w:ind w:firstLine="420" w:firstLineChars="175"/>
        <w:jc w:val="left"/>
        <w:rPr>
          <w:rStyle w:val="13"/>
          <w:rFonts w:hint="eastAsia" w:ascii="宋体" w:hAnsi="宋体" w:eastAsia="宋体" w:cs="宋体"/>
          <w:color w:val="auto"/>
          <w:sz w:val="24"/>
          <w:highlight w:val="none"/>
        </w:rPr>
      </w:pPr>
      <w:r>
        <w:rPr>
          <w:rStyle w:val="13"/>
          <w:rFonts w:hint="eastAsia" w:ascii="宋体" w:hAnsi="宋体" w:eastAsia="宋体" w:cs="宋体"/>
          <w:color w:val="auto"/>
          <w:sz w:val="24"/>
          <w:highlight w:val="none"/>
        </w:rPr>
        <w:t>（二）交货日期：</w:t>
      </w:r>
    </w:p>
    <w:p>
      <w:pPr>
        <w:keepNext w:val="0"/>
        <w:keepLines w:val="0"/>
        <w:pageBreakBefore w:val="0"/>
        <w:widowControl w:val="0"/>
        <w:kinsoku/>
        <w:overflowPunct/>
        <w:topLinePunct w:val="0"/>
        <w:autoSpaceDE/>
        <w:autoSpaceDN/>
        <w:bidi w:val="0"/>
        <w:spacing w:line="360" w:lineRule="auto"/>
        <w:ind w:firstLine="420" w:firstLineChars="175"/>
        <w:jc w:val="left"/>
        <w:rPr>
          <w:rStyle w:val="13"/>
          <w:rFonts w:hint="eastAsia" w:ascii="宋体" w:hAnsi="宋体" w:eastAsia="宋体" w:cs="宋体"/>
          <w:color w:val="auto"/>
          <w:sz w:val="24"/>
          <w:highlight w:val="none"/>
        </w:rPr>
      </w:pPr>
      <w:r>
        <w:rPr>
          <w:rStyle w:val="13"/>
          <w:rFonts w:hint="eastAsia" w:ascii="宋体" w:hAnsi="宋体" w:eastAsia="宋体" w:cs="宋体"/>
          <w:color w:val="auto"/>
          <w:sz w:val="24"/>
          <w:highlight w:val="none"/>
        </w:rPr>
        <w:t>（三）货到安装调试正常运行。</w:t>
      </w:r>
    </w:p>
    <w:p>
      <w:pPr>
        <w:keepNext w:val="0"/>
        <w:keepLines w:val="0"/>
        <w:pageBreakBefore w:val="0"/>
        <w:widowControl w:val="0"/>
        <w:kinsoku/>
        <w:overflowPunct/>
        <w:topLinePunct w:val="0"/>
        <w:autoSpaceDE/>
        <w:autoSpaceDN/>
        <w:bidi w:val="0"/>
        <w:spacing w:line="360" w:lineRule="auto"/>
        <w:ind w:firstLine="420" w:firstLineChars="175"/>
        <w:jc w:val="left"/>
        <w:rPr>
          <w:rStyle w:val="13"/>
          <w:rFonts w:hint="eastAsia" w:ascii="宋体" w:hAnsi="宋体" w:eastAsia="宋体" w:cs="宋体"/>
          <w:color w:val="auto"/>
          <w:sz w:val="24"/>
          <w:highlight w:val="none"/>
        </w:rPr>
      </w:pPr>
      <w:r>
        <w:rPr>
          <w:rStyle w:val="13"/>
          <w:rFonts w:hint="eastAsia" w:ascii="宋体" w:hAnsi="宋体" w:eastAsia="宋体" w:cs="宋体"/>
          <w:color w:val="auto"/>
          <w:sz w:val="24"/>
          <w:highlight w:val="none"/>
        </w:rPr>
        <w:t>（四）甲方验收合格后视为交付。</w:t>
      </w:r>
    </w:p>
    <w:p>
      <w:pPr>
        <w:keepNext w:val="0"/>
        <w:keepLines w:val="0"/>
        <w:pageBreakBefore w:val="0"/>
        <w:widowControl w:val="0"/>
        <w:kinsoku/>
        <w:overflowPunct/>
        <w:topLinePunct w:val="0"/>
        <w:autoSpaceDE/>
        <w:autoSpaceDN/>
        <w:bidi w:val="0"/>
        <w:spacing w:line="360" w:lineRule="auto"/>
        <w:ind w:firstLine="420" w:firstLineChars="175"/>
        <w:jc w:val="left"/>
        <w:rPr>
          <w:rStyle w:val="13"/>
          <w:rFonts w:hint="eastAsia" w:ascii="宋体" w:hAnsi="宋体" w:eastAsia="宋体" w:cs="宋体"/>
          <w:color w:val="auto"/>
          <w:sz w:val="24"/>
          <w:highlight w:val="none"/>
        </w:rPr>
      </w:pPr>
      <w:r>
        <w:rPr>
          <w:rStyle w:val="13"/>
          <w:rFonts w:hint="eastAsia" w:ascii="宋体" w:hAnsi="宋体" w:eastAsia="宋体" w:cs="宋体"/>
          <w:color w:val="auto"/>
          <w:sz w:val="24"/>
          <w:highlight w:val="none"/>
        </w:rPr>
        <w:t>（五）到货检验:</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1、货物到达现场后，</w:t>
      </w:r>
      <w:r>
        <w:rPr>
          <w:rFonts w:hint="eastAsia" w:ascii="宋体" w:hAnsi="宋体" w:eastAsia="宋体" w:cs="宋体"/>
          <w:color w:val="auto"/>
          <w:sz w:val="24"/>
          <w:highlight w:val="none"/>
        </w:rPr>
        <w:t>乙方</w:t>
      </w:r>
      <w:r>
        <w:rPr>
          <w:rFonts w:hint="eastAsia" w:ascii="宋体" w:hAnsi="宋体" w:eastAsia="宋体" w:cs="宋体"/>
          <w:color w:val="auto"/>
          <w:kern w:val="0"/>
          <w:sz w:val="24"/>
          <w:highlight w:val="none"/>
        </w:rPr>
        <w:t>应在甲方人员在场情况下当面开箱，共同清点、检查外观，作出开箱记录，双方签字确认。</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2、</w:t>
      </w:r>
      <w:r>
        <w:rPr>
          <w:rFonts w:hint="eastAsia" w:ascii="宋体" w:hAnsi="宋体" w:eastAsia="宋体" w:cs="宋体"/>
          <w:color w:val="auto"/>
          <w:sz w:val="24"/>
          <w:highlight w:val="none"/>
        </w:rPr>
        <w:t>乙方</w:t>
      </w:r>
      <w:r>
        <w:rPr>
          <w:rFonts w:hint="eastAsia" w:ascii="宋体" w:hAnsi="宋体" w:eastAsia="宋体" w:cs="宋体"/>
          <w:color w:val="auto"/>
          <w:kern w:val="0"/>
          <w:sz w:val="24"/>
          <w:highlight w:val="none"/>
        </w:rPr>
        <w:t>应保证货物到达甲方所在地完好无损，如有缺漏、损坏，由</w:t>
      </w:r>
      <w:r>
        <w:rPr>
          <w:rFonts w:hint="eastAsia" w:ascii="宋体" w:hAnsi="宋体" w:eastAsia="宋体" w:cs="宋体"/>
          <w:color w:val="auto"/>
          <w:sz w:val="24"/>
          <w:highlight w:val="none"/>
        </w:rPr>
        <w:t>乙方</w:t>
      </w:r>
      <w:r>
        <w:rPr>
          <w:rFonts w:hint="eastAsia" w:ascii="宋体" w:hAnsi="宋体" w:eastAsia="宋体" w:cs="宋体"/>
          <w:color w:val="auto"/>
          <w:kern w:val="0"/>
          <w:sz w:val="24"/>
          <w:highlight w:val="none"/>
        </w:rPr>
        <w:t>负责调换、补齐或赔偿。</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3、</w:t>
      </w:r>
      <w:r>
        <w:rPr>
          <w:rFonts w:hint="eastAsia" w:ascii="宋体" w:hAnsi="宋体" w:eastAsia="宋体" w:cs="宋体"/>
          <w:color w:val="auto"/>
          <w:sz w:val="24"/>
          <w:highlight w:val="none"/>
        </w:rPr>
        <w:t>乙方</w:t>
      </w:r>
      <w:r>
        <w:rPr>
          <w:rFonts w:hint="eastAsia" w:ascii="宋体" w:hAnsi="宋体" w:eastAsia="宋体" w:cs="宋体"/>
          <w:color w:val="auto"/>
          <w:kern w:val="0"/>
          <w:sz w:val="24"/>
          <w:highlight w:val="none"/>
        </w:rPr>
        <w:t>应提供完备的技术资料、装箱单和合格证等，并派遣专业技术人员进行现场安装调试。验收合格条件如下：</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（1）进口产品，必须是原装进口，符合进口产品的相关要求，在装机验收时，需提供报关单。</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（2）设备技术参数与采购合同一致，性能指标达到规定的标准。</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（3）货物技术资料、装箱单、合格证等资料齐全。</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（4）在产品试运行期间所出现的问题得到解决，并运行正常。</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（5）在规定时间内完成交货并验收，并经甲方确认。</w:t>
      </w:r>
    </w:p>
    <w:p>
      <w:pPr>
        <w:keepNext w:val="0"/>
        <w:keepLines w:val="0"/>
        <w:pageBreakBefore w:val="0"/>
        <w:widowControl w:val="0"/>
        <w:kinsoku/>
        <w:overflowPunct/>
        <w:topLinePunct w:val="0"/>
        <w:autoSpaceDE/>
        <w:autoSpaceDN/>
        <w:bidi w:val="0"/>
        <w:spacing w:line="360" w:lineRule="auto"/>
        <w:ind w:firstLine="900" w:firstLineChars="3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4、产品在安装调试并试运行符合要求后，甲方出具</w:t>
      </w:r>
      <w:r>
        <w:rPr>
          <w:rFonts w:hint="eastAsia" w:ascii="宋体" w:hAnsi="宋体" w:eastAsia="宋体" w:cs="宋体"/>
          <w:color w:val="auto"/>
          <w:sz w:val="24"/>
          <w:highlight w:val="none"/>
        </w:rPr>
        <w:t>采购项目验收单，</w:t>
      </w:r>
      <w:r>
        <w:rPr>
          <w:rFonts w:hint="eastAsia" w:ascii="宋体" w:hAnsi="宋体" w:eastAsia="宋体" w:cs="宋体"/>
          <w:color w:val="auto"/>
          <w:kern w:val="0"/>
          <w:sz w:val="24"/>
          <w:highlight w:val="none"/>
        </w:rPr>
        <w:t>才视为验收合格。</w:t>
      </w:r>
    </w:p>
    <w:p>
      <w:pPr>
        <w:keepNext w:val="0"/>
        <w:keepLines w:val="0"/>
        <w:pageBreakBefore w:val="0"/>
        <w:widowControl w:val="0"/>
        <w:kinsoku/>
        <w:overflowPunct/>
        <w:topLinePunct w:val="0"/>
        <w:autoSpaceDE/>
        <w:autoSpaceDN/>
        <w:bidi w:val="0"/>
        <w:spacing w:line="360" w:lineRule="auto"/>
        <w:ind w:firstLine="900" w:firstLineChars="3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r>
        <w:rPr>
          <w:rFonts w:hint="eastAsia" w:ascii="宋体" w:hAnsi="宋体" w:eastAsia="宋体" w:cs="宋体"/>
          <w:color w:val="auto"/>
          <w:sz w:val="24"/>
          <w:highlight w:val="none"/>
        </w:rPr>
        <w:t>乙方</w:t>
      </w:r>
      <w:r>
        <w:rPr>
          <w:rFonts w:hint="eastAsia" w:ascii="宋体" w:hAnsi="宋体" w:eastAsia="宋体" w:cs="宋体"/>
          <w:color w:val="auto"/>
          <w:kern w:val="0"/>
          <w:sz w:val="24"/>
          <w:highlight w:val="none"/>
        </w:rPr>
        <w:t>提供的货物未达到招标文件规定要求，甲方可以要求退货或者乙方另行调换合格货物。因退换货产生的所有费用由乙方负责，对甲方造成损失的，由</w:t>
      </w:r>
      <w:r>
        <w:rPr>
          <w:rFonts w:hint="eastAsia" w:ascii="宋体" w:hAnsi="宋体" w:eastAsia="宋体" w:cs="宋体"/>
          <w:color w:val="auto"/>
          <w:sz w:val="24"/>
          <w:highlight w:val="none"/>
        </w:rPr>
        <w:t>乙方</w:t>
      </w:r>
      <w:r>
        <w:rPr>
          <w:rFonts w:hint="eastAsia" w:ascii="宋体" w:hAnsi="宋体" w:eastAsia="宋体" w:cs="宋体"/>
          <w:color w:val="auto"/>
          <w:kern w:val="0"/>
          <w:sz w:val="24"/>
          <w:highlight w:val="none"/>
        </w:rPr>
        <w:t>承担一切责任，并赔偿所造成的损失。</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6、大型或者复杂的政府采购项目，甲方应当邀请国家认可的质量检测机构参加验收工作。</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7、甲方需要制造商对乙方交付的产品（包括质量、技术参数等）进行确认的，制造商应予以配合，并出具书面意见。</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highlight w:val="none"/>
        </w:rPr>
      </w:pPr>
      <w:r>
        <w:rPr>
          <w:rFonts w:hint="eastAsia" w:ascii="宋体" w:hAnsi="宋体" w:eastAsia="宋体" w:cs="宋体"/>
          <w:color w:val="auto"/>
          <w:kern w:val="0"/>
          <w:sz w:val="24"/>
          <w:highlight w:val="none"/>
        </w:rPr>
        <w:t>8、产品包装材料归甲方所有。</w:t>
      </w:r>
    </w:p>
    <w:p>
      <w:pPr>
        <w:keepNext w:val="0"/>
        <w:keepLines w:val="0"/>
        <w:pageBreakBefore w:val="0"/>
        <w:widowControl w:val="0"/>
        <w:numPr>
          <w:ilvl w:val="0"/>
          <w:numId w:val="1"/>
        </w:numPr>
        <w:kinsoku/>
        <w:overflowPunct/>
        <w:topLinePunct w:val="0"/>
        <w:autoSpaceDE/>
        <w:autoSpaceDN/>
        <w:bidi w:val="0"/>
        <w:spacing w:line="360" w:lineRule="auto"/>
        <w:rPr>
          <w:rStyle w:val="13"/>
          <w:rFonts w:hint="eastAsia" w:ascii="宋体" w:hAnsi="宋体" w:eastAsia="宋体" w:cs="宋体"/>
          <w:b/>
          <w:color w:val="auto"/>
          <w:sz w:val="24"/>
          <w:highlight w:val="none"/>
        </w:rPr>
      </w:pPr>
      <w:r>
        <w:rPr>
          <w:rStyle w:val="13"/>
          <w:rFonts w:hint="eastAsia" w:ascii="宋体" w:hAnsi="宋体" w:eastAsia="宋体" w:cs="宋体"/>
          <w:b/>
          <w:color w:val="auto"/>
          <w:sz w:val="24"/>
          <w:highlight w:val="none"/>
        </w:rPr>
        <w:t>包装运输</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（一）运杂费：一次包死，已包含在合同总价内，包括从产品供应地点到交货地点所包含的运输费、保险费、搬运费等一切费用。</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（二）运输方式：</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（三）乙方交付的产品应符合相关包装储运指示标志的规定，按照国家有关部门最新的规定进行包装，满足运输、能承受水平受力、垂直受力、多次搬运、装卸、防潮、防震、防碎等包装要求。</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highlight w:val="none"/>
        </w:rPr>
      </w:pPr>
      <w:r>
        <w:rPr>
          <w:rFonts w:hint="eastAsia" w:ascii="宋体" w:hAnsi="宋体" w:eastAsia="宋体" w:cs="宋体"/>
          <w:color w:val="auto"/>
          <w:sz w:val="24"/>
          <w:highlight w:val="none"/>
        </w:rPr>
        <w:t>（四）产品包装前，乙方负责对产品包装进行检查，不留异物，并保证零部件齐全。双方签订合同后，将及时安排车辆进行</w:t>
      </w:r>
      <w:bookmarkStart w:id="0" w:name="_GoBack"/>
      <w:bookmarkEnd w:id="0"/>
      <w:r>
        <w:rPr>
          <w:rFonts w:hint="eastAsia" w:ascii="宋体" w:hAnsi="宋体" w:eastAsia="宋体" w:cs="宋体"/>
          <w:color w:val="auto"/>
          <w:sz w:val="24"/>
          <w:highlight w:val="none"/>
        </w:rPr>
        <w:t>产品装运，在装运产品过程中，做到轻拿轻放，严格清点数量，尽量避免发生差错给用户带来损失。并督促配送人员按照合同规定按时将产品安全、迅速、准确无误和保质保量地送至用户指定地点。</w:t>
      </w:r>
    </w:p>
    <w:p>
      <w:pPr>
        <w:keepNext w:val="0"/>
        <w:keepLines w:val="0"/>
        <w:pageBreakBefore w:val="0"/>
        <w:widowControl w:val="0"/>
        <w:numPr>
          <w:ilvl w:val="0"/>
          <w:numId w:val="1"/>
        </w:numPr>
        <w:kinsoku/>
        <w:overflowPunct/>
        <w:topLinePunct w:val="0"/>
        <w:autoSpaceDE/>
        <w:autoSpaceDN/>
        <w:bidi w:val="0"/>
        <w:spacing w:line="360" w:lineRule="auto"/>
        <w:rPr>
          <w:rStyle w:val="13"/>
          <w:rFonts w:hint="eastAsia" w:ascii="宋体" w:hAnsi="宋体" w:eastAsia="宋体" w:cs="宋体"/>
          <w:b/>
          <w:color w:val="auto"/>
          <w:sz w:val="24"/>
          <w:highlight w:val="none"/>
        </w:rPr>
      </w:pPr>
      <w:r>
        <w:rPr>
          <w:rStyle w:val="13"/>
          <w:rFonts w:hint="eastAsia" w:ascii="宋体" w:hAnsi="宋体" w:eastAsia="宋体" w:cs="宋体"/>
          <w:b/>
          <w:color w:val="auto"/>
          <w:sz w:val="24"/>
          <w:highlight w:val="none"/>
        </w:rPr>
        <w:t>质量保证</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（一）乙方提供给甲方的产品必须是设计科学、技术成熟、工艺优良，是用优质材料制造的、先进的、原厂生产的未曾使用过的、全新的合格产品。</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（二）设计技术专利、外形专利、应用软件专利等均应符合我国有关法律及行业标准，凡因以上问题与第三方发生的任何纠纷均与甲方无关。</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（三）安全可靠。在正常使用下不应对操作者造成任何人身伤害，如因产品质量或标示不明确而对操作者造成损失的，甲方将保留依法索赔的权利。</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（四）有强制性安全标准的产品，乙方应提供该产品的制造许可证证明。</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（五）属于国家计量检测强检的产品，供货时提供本省法定计量检测机构出具的检测证书。</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（六）产品性能必须与其标示的技术指标项符合，甲方有权在产品的有效保质期内依据技术指标对该产品进行技术验收，其主要的技术参数达不到标准时，甲方有权无条件退货或依据有关法律索赔。</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rPr>
        <w:t>（七）</w:t>
      </w:r>
      <w:r>
        <w:rPr>
          <w:rFonts w:hint="eastAsia" w:ascii="宋体" w:hAnsi="宋体" w:eastAsia="宋体" w:cs="宋体"/>
          <w:b w:val="0"/>
          <w:bCs w:val="0"/>
          <w:color w:val="auto"/>
          <w:sz w:val="24"/>
          <w:highlight w:val="none"/>
          <w:lang w:val="en-US" w:eastAsia="zh-CN"/>
        </w:rPr>
        <w:t>质保要求</w:t>
      </w:r>
    </w:p>
    <w:p>
      <w:pPr>
        <w:keepNext w:val="0"/>
        <w:keepLines w:val="0"/>
        <w:pageBreakBefore w:val="0"/>
        <w:widowControl w:val="0"/>
        <w:numPr>
          <w:ilvl w:val="0"/>
          <w:numId w:val="1"/>
        </w:numPr>
        <w:kinsoku/>
        <w:overflowPunct/>
        <w:topLinePunct w:val="0"/>
        <w:autoSpaceDE/>
        <w:autoSpaceDN/>
        <w:bidi w:val="0"/>
        <w:spacing w:line="360" w:lineRule="auto"/>
        <w:rPr>
          <w:rStyle w:val="13"/>
          <w:rFonts w:hint="eastAsia" w:ascii="宋体" w:hAnsi="宋体" w:eastAsia="宋体" w:cs="宋体"/>
          <w:b/>
          <w:color w:val="auto"/>
          <w:sz w:val="24"/>
          <w:highlight w:val="none"/>
        </w:rPr>
      </w:pPr>
      <w:r>
        <w:rPr>
          <w:rStyle w:val="13"/>
          <w:rFonts w:hint="eastAsia" w:ascii="宋体" w:hAnsi="宋体" w:eastAsia="宋体" w:cs="宋体"/>
          <w:b/>
          <w:color w:val="auto"/>
          <w:sz w:val="24"/>
          <w:highlight w:val="none"/>
        </w:rPr>
        <w:t>技术规格及标准（见合同附件一）</w:t>
      </w:r>
    </w:p>
    <w:p>
      <w:pPr>
        <w:keepNext w:val="0"/>
        <w:keepLines w:val="0"/>
        <w:pageBreakBefore w:val="0"/>
        <w:widowControl w:val="0"/>
        <w:numPr>
          <w:ilvl w:val="0"/>
          <w:numId w:val="1"/>
        </w:numPr>
        <w:kinsoku/>
        <w:overflowPunct/>
        <w:topLinePunct w:val="0"/>
        <w:autoSpaceDE/>
        <w:autoSpaceDN/>
        <w:bidi w:val="0"/>
        <w:spacing w:line="360" w:lineRule="auto"/>
        <w:rPr>
          <w:rStyle w:val="13"/>
          <w:rFonts w:hint="eastAsia" w:ascii="宋体" w:hAnsi="宋体" w:eastAsia="宋体" w:cs="宋体"/>
          <w:b/>
          <w:color w:val="auto"/>
          <w:sz w:val="24"/>
          <w:highlight w:val="none"/>
        </w:rPr>
      </w:pPr>
      <w:r>
        <w:rPr>
          <w:rStyle w:val="13"/>
          <w:rFonts w:hint="eastAsia" w:ascii="宋体" w:hAnsi="宋体" w:eastAsia="宋体" w:cs="宋体"/>
          <w:b/>
          <w:color w:val="auto"/>
          <w:sz w:val="24"/>
          <w:highlight w:val="none"/>
        </w:rPr>
        <w:t>技术服务</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（一）技术资料：</w:t>
      </w:r>
    </w:p>
    <w:p>
      <w:pPr>
        <w:keepNext w:val="0"/>
        <w:keepLines w:val="0"/>
        <w:pageBreakBefore w:val="0"/>
        <w:widowControl w:val="0"/>
        <w:kinsoku/>
        <w:overflowPunct/>
        <w:topLinePunct w:val="0"/>
        <w:autoSpaceDE/>
        <w:autoSpaceDN/>
        <w:bidi w:val="0"/>
        <w:spacing w:line="360" w:lineRule="auto"/>
        <w:ind w:left="-210" w:leftChars="-100" w:firstLine="420" w:firstLineChars="1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1、根据国家食品药品监督管理总局《医疗器械使用质量监督管理办法》要求，在设备安装调试完毕后，乙方向甲方须提供设备的维护手册、维修手册、软件备份、故障代码表、备件清单、零部件、维修密码等维护维修必需的材料和信息。资料提交完整无误后，甲方进行项目验收。</w:t>
      </w:r>
    </w:p>
    <w:p>
      <w:pPr>
        <w:keepNext w:val="0"/>
        <w:keepLines w:val="0"/>
        <w:pageBreakBefore w:val="0"/>
        <w:widowControl w:val="0"/>
        <w:kinsoku/>
        <w:overflowPunct/>
        <w:topLinePunct w:val="0"/>
        <w:autoSpaceDE/>
        <w:autoSpaceDN/>
        <w:bidi w:val="0"/>
        <w:spacing w:line="360" w:lineRule="auto"/>
        <w:ind w:left="-210" w:leftChars="-100" w:firstLine="420" w:firstLineChars="175"/>
        <w:jc w:val="left"/>
        <w:rPr>
          <w:rFonts w:hint="eastAsia" w:ascii="宋体" w:hAnsi="宋体" w:eastAsia="宋体" w:cs="宋体"/>
          <w:bCs/>
          <w:color w:val="auto"/>
          <w:sz w:val="24"/>
          <w:highlight w:val="none"/>
        </w:rPr>
      </w:pPr>
      <w:r>
        <w:rPr>
          <w:rFonts w:hint="eastAsia" w:ascii="宋体" w:hAnsi="宋体" w:eastAsia="宋体" w:cs="宋体"/>
          <w:color w:val="auto"/>
          <w:sz w:val="24"/>
          <w:highlight w:val="none"/>
        </w:rPr>
        <w:t xml:space="preserve">    2、设备生产厂商须对甲方无任何条件的免费、及时、终身连续提供有效的所需登录信息和相关密码与口令（提供设备生产厂商中英文（进口产品提供英文）承诺书各一份，要求内容清晰明确、签章齐全）。</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（二）人员培训：</w:t>
      </w:r>
    </w:p>
    <w:p>
      <w:pPr>
        <w:keepNext w:val="0"/>
        <w:keepLines w:val="0"/>
        <w:pageBreakBefore w:val="0"/>
        <w:widowControl w:val="0"/>
        <w:kinsoku/>
        <w:overflowPunct/>
        <w:topLinePunct w:val="0"/>
        <w:autoSpaceDE/>
        <w:autoSpaceDN/>
        <w:bidi w:val="0"/>
        <w:spacing w:line="360" w:lineRule="auto"/>
        <w:ind w:firstLine="480" w:firstLineChars="200"/>
        <w:jc w:val="left"/>
        <w:rPr>
          <w:rStyle w:val="13"/>
          <w:rFonts w:hint="eastAsia" w:ascii="宋体" w:hAnsi="宋体" w:eastAsia="宋体" w:cs="宋体"/>
          <w:b w:val="0"/>
          <w:bCs/>
          <w:color w:val="auto"/>
          <w:sz w:val="24"/>
          <w:highlight w:val="none"/>
        </w:rPr>
      </w:pPr>
      <w:r>
        <w:rPr>
          <w:rStyle w:val="13"/>
          <w:rFonts w:hint="eastAsia" w:ascii="宋体" w:hAnsi="宋体" w:eastAsia="宋体" w:cs="宋体"/>
          <w:b w:val="0"/>
          <w:bCs/>
          <w:color w:val="auto"/>
          <w:sz w:val="24"/>
          <w:highlight w:val="none"/>
        </w:rPr>
        <w:t>（三）服务承诺：</w:t>
      </w:r>
    </w:p>
    <w:p>
      <w:pPr>
        <w:keepNext w:val="0"/>
        <w:keepLines w:val="0"/>
        <w:pageBreakBefore w:val="0"/>
        <w:widowControl w:val="0"/>
        <w:kinsoku/>
        <w:overflowPunct/>
        <w:topLinePunct w:val="0"/>
        <w:autoSpaceDE/>
        <w:autoSpaceDN/>
        <w:bidi w:val="0"/>
        <w:rPr>
          <w:rStyle w:val="13"/>
          <w:rFonts w:hint="eastAsia" w:ascii="宋体" w:hAnsi="宋体" w:eastAsia="宋体" w:cs="宋体"/>
          <w:b/>
          <w:color w:val="auto"/>
          <w:sz w:val="24"/>
          <w:highlight w:val="none"/>
        </w:rPr>
      </w:pPr>
      <w:r>
        <w:rPr>
          <w:rStyle w:val="13"/>
          <w:rFonts w:hint="eastAsia" w:ascii="宋体" w:hAnsi="宋体" w:eastAsia="宋体" w:cs="宋体"/>
          <w:b/>
          <w:color w:val="auto"/>
          <w:sz w:val="24"/>
          <w:highlight w:val="none"/>
        </w:rPr>
        <w:t>九、违约责任</w:t>
      </w:r>
    </w:p>
    <w:p>
      <w:pPr>
        <w:keepNext w:val="0"/>
        <w:keepLines w:val="0"/>
        <w:pageBreakBefore w:val="0"/>
        <w:widowControl w:val="0"/>
        <w:numPr>
          <w:ilvl w:val="0"/>
          <w:numId w:val="3"/>
        </w:numPr>
        <w:kinsoku/>
        <w:overflowPunct/>
        <w:topLinePunct w:val="0"/>
        <w:autoSpaceDE/>
        <w:autoSpaceDN/>
        <w:bidi w:val="0"/>
        <w:spacing w:line="360" w:lineRule="auto"/>
        <w:ind w:firstLine="480" w:firstLineChars="200"/>
        <w:jc w:val="left"/>
        <w:rPr>
          <w:rStyle w:val="13"/>
          <w:rFonts w:hint="eastAsia" w:ascii="宋体" w:hAnsi="宋体" w:eastAsia="宋体" w:cs="宋体"/>
          <w:color w:val="auto"/>
          <w:sz w:val="24"/>
          <w:highlight w:val="none"/>
        </w:rPr>
      </w:pPr>
      <w:r>
        <w:rPr>
          <w:rStyle w:val="13"/>
          <w:rFonts w:hint="eastAsia" w:ascii="宋体" w:hAnsi="宋体" w:eastAsia="宋体" w:cs="宋体"/>
          <w:color w:val="auto"/>
          <w:sz w:val="24"/>
          <w:highlight w:val="none"/>
        </w:rPr>
        <w:t>甲方应按照本合同约定付款。如乙方因设备质量问题未达到验收标准造成甲方延迟付款，甲方不承担违约责任。</w:t>
      </w:r>
    </w:p>
    <w:p>
      <w:pPr>
        <w:keepNext w:val="0"/>
        <w:keepLines w:val="0"/>
        <w:pageBreakBefore w:val="0"/>
        <w:widowControl w:val="0"/>
        <w:numPr>
          <w:ilvl w:val="0"/>
          <w:numId w:val="3"/>
        </w:numPr>
        <w:kinsoku/>
        <w:overflowPunct/>
        <w:topLinePunct w:val="0"/>
        <w:autoSpaceDE/>
        <w:autoSpaceDN/>
        <w:bidi w:val="0"/>
        <w:spacing w:line="360" w:lineRule="auto"/>
        <w:ind w:firstLine="480" w:firstLineChars="200"/>
        <w:jc w:val="left"/>
        <w:rPr>
          <w:rStyle w:val="13"/>
          <w:rFonts w:hint="eastAsia" w:ascii="宋体" w:hAnsi="宋体" w:eastAsia="宋体" w:cs="宋体"/>
          <w:color w:val="auto"/>
          <w:sz w:val="24"/>
          <w:highlight w:val="none"/>
        </w:rPr>
      </w:pPr>
      <w:r>
        <w:rPr>
          <w:rStyle w:val="13"/>
          <w:rFonts w:hint="eastAsia" w:ascii="宋体" w:hAnsi="宋体" w:eastAsia="宋体" w:cs="宋体"/>
          <w:color w:val="auto"/>
          <w:sz w:val="24"/>
          <w:highlight w:val="none"/>
        </w:rPr>
        <w:t>由于乙方的原因未能按时供货并安装调试的，每延迟一天（不足一天按一天计算）乙方按合同总额0.5%向甲方支付违约金；如超过供货期30天，甲方可解除合同，因解除合同产生的违约责任由乙方承担，乙方应按合同总金额的10%向甲方支付惩罚性违约金，违约金金额不足以补偿甲方遭受的损失的，乙方应按照给甲方造成的实际损失承担赔偿责任。</w:t>
      </w:r>
    </w:p>
    <w:p>
      <w:pPr>
        <w:keepNext w:val="0"/>
        <w:keepLines w:val="0"/>
        <w:pageBreakBefore w:val="0"/>
        <w:widowControl w:val="0"/>
        <w:numPr>
          <w:ilvl w:val="0"/>
          <w:numId w:val="3"/>
        </w:numPr>
        <w:kinsoku/>
        <w:overflowPunct/>
        <w:topLinePunct w:val="0"/>
        <w:autoSpaceDE/>
        <w:autoSpaceDN/>
        <w:bidi w:val="0"/>
        <w:spacing w:line="360" w:lineRule="auto"/>
        <w:ind w:firstLine="480" w:firstLineChars="200"/>
        <w:jc w:val="left"/>
        <w:rPr>
          <w:rStyle w:val="13"/>
          <w:rFonts w:hint="eastAsia" w:ascii="宋体" w:hAnsi="宋体" w:eastAsia="宋体" w:cs="宋体"/>
          <w:color w:val="auto"/>
          <w:sz w:val="24"/>
          <w:highlight w:val="none"/>
        </w:rPr>
      </w:pPr>
      <w:r>
        <w:rPr>
          <w:rStyle w:val="13"/>
          <w:rFonts w:hint="eastAsia" w:ascii="宋体" w:hAnsi="宋体" w:eastAsia="宋体" w:cs="宋体"/>
          <w:color w:val="auto"/>
          <w:sz w:val="24"/>
          <w:highlight w:val="none"/>
        </w:rPr>
        <w:t>乙方提供产品存在质量问题或者技术缺陷，经过两次维修后仍无法正常使用的，视为未能按时供货。乙方按照本条（二）款承担违约责任。</w:t>
      </w:r>
    </w:p>
    <w:p>
      <w:pPr>
        <w:keepNext w:val="0"/>
        <w:keepLines w:val="0"/>
        <w:pageBreakBefore w:val="0"/>
        <w:widowControl w:val="0"/>
        <w:numPr>
          <w:ilvl w:val="0"/>
          <w:numId w:val="3"/>
        </w:numPr>
        <w:kinsoku/>
        <w:overflowPunct/>
        <w:topLinePunct w:val="0"/>
        <w:autoSpaceDE/>
        <w:autoSpaceDN/>
        <w:bidi w:val="0"/>
        <w:spacing w:line="360" w:lineRule="auto"/>
        <w:ind w:firstLine="480" w:firstLineChars="200"/>
        <w:jc w:val="left"/>
        <w:rPr>
          <w:rStyle w:val="13"/>
          <w:rFonts w:hint="eastAsia" w:ascii="宋体" w:hAnsi="宋体" w:eastAsia="宋体" w:cs="宋体"/>
          <w:color w:val="auto"/>
          <w:sz w:val="24"/>
          <w:highlight w:val="none"/>
        </w:rPr>
      </w:pPr>
      <w:r>
        <w:rPr>
          <w:rStyle w:val="13"/>
          <w:rFonts w:hint="eastAsia" w:ascii="宋体" w:hAnsi="宋体" w:eastAsia="宋体" w:cs="宋体"/>
          <w:color w:val="auto"/>
          <w:sz w:val="24"/>
          <w:highlight w:val="none"/>
        </w:rPr>
        <w:t>乙方未能按照本合同约定提供技术服务和履行承诺的，应按合同总金额的30%向甲方支付违约金，违约金金额不足以补偿甲方遭受的损失的，乙方应按照给甲方造成的实际损失承担赔偿责任。</w:t>
      </w:r>
    </w:p>
    <w:p>
      <w:pPr>
        <w:keepNext w:val="0"/>
        <w:keepLines w:val="0"/>
        <w:pageBreakBefore w:val="0"/>
        <w:widowControl w:val="0"/>
        <w:numPr>
          <w:ilvl w:val="0"/>
          <w:numId w:val="3"/>
        </w:numPr>
        <w:kinsoku/>
        <w:overflowPunct/>
        <w:topLinePunct w:val="0"/>
        <w:autoSpaceDE/>
        <w:autoSpaceDN/>
        <w:bidi w:val="0"/>
        <w:spacing w:line="360" w:lineRule="auto"/>
        <w:ind w:firstLine="480" w:firstLineChars="200"/>
        <w:jc w:val="left"/>
        <w:rPr>
          <w:rStyle w:val="13"/>
          <w:rFonts w:hint="eastAsia" w:ascii="宋体" w:hAnsi="宋体" w:eastAsia="宋体" w:cs="宋体"/>
          <w:color w:val="auto"/>
          <w:sz w:val="24"/>
          <w:highlight w:val="none"/>
        </w:rPr>
      </w:pPr>
      <w:r>
        <w:rPr>
          <w:rStyle w:val="13"/>
          <w:rFonts w:hint="eastAsia" w:ascii="宋体" w:hAnsi="宋体" w:eastAsia="宋体" w:cs="宋体"/>
          <w:color w:val="auto"/>
          <w:sz w:val="24"/>
          <w:highlight w:val="none"/>
        </w:rPr>
        <w:t>乙方未按照合同约定在出现故障2小时内响应，24小时内完成维修，维修耗时超过48小时提供备用机，从机器发生故障满72小时开始计算给甲方造成的损失。因机器无法正常使用造成的所有损失由乙方承担。</w:t>
      </w:r>
    </w:p>
    <w:p>
      <w:pPr>
        <w:keepNext w:val="0"/>
        <w:keepLines w:val="0"/>
        <w:pageBreakBefore w:val="0"/>
        <w:widowControl w:val="0"/>
        <w:numPr>
          <w:ilvl w:val="0"/>
          <w:numId w:val="3"/>
        </w:numPr>
        <w:kinsoku/>
        <w:overflowPunct/>
        <w:topLinePunct w:val="0"/>
        <w:autoSpaceDE/>
        <w:autoSpaceDN/>
        <w:bidi w:val="0"/>
        <w:spacing w:line="360" w:lineRule="auto"/>
        <w:ind w:firstLine="480" w:firstLineChars="200"/>
        <w:jc w:val="left"/>
        <w:rPr>
          <w:rFonts w:hint="eastAsia" w:ascii="宋体" w:hAnsi="宋体" w:eastAsia="宋体" w:cs="宋体"/>
          <w:color w:val="auto"/>
          <w:highlight w:val="none"/>
        </w:rPr>
      </w:pPr>
      <w:r>
        <w:rPr>
          <w:rStyle w:val="13"/>
          <w:rFonts w:hint="eastAsia" w:ascii="宋体" w:hAnsi="宋体" w:eastAsia="宋体" w:cs="宋体"/>
          <w:color w:val="auto"/>
          <w:sz w:val="24"/>
          <w:highlight w:val="none"/>
        </w:rPr>
        <w:t>甲方损失包括但不限于实际损失、给第三方损害赔偿费用、预期可得利益损失、鉴定费、律师费、诉讼费、差旅费等全部因乙方违约产生的费用。</w:t>
      </w:r>
    </w:p>
    <w:p>
      <w:pPr>
        <w:keepNext w:val="0"/>
        <w:keepLines w:val="0"/>
        <w:pageBreakBefore w:val="0"/>
        <w:widowControl w:val="0"/>
        <w:numPr>
          <w:ilvl w:val="0"/>
          <w:numId w:val="1"/>
        </w:numPr>
        <w:kinsoku/>
        <w:overflowPunct/>
        <w:topLinePunct w:val="0"/>
        <w:autoSpaceDE/>
        <w:autoSpaceDN/>
        <w:bidi w:val="0"/>
        <w:spacing w:line="360" w:lineRule="auto"/>
        <w:rPr>
          <w:rStyle w:val="13"/>
          <w:rFonts w:hint="eastAsia" w:ascii="宋体" w:hAnsi="宋体" w:eastAsia="宋体" w:cs="宋体"/>
          <w:b/>
          <w:color w:val="auto"/>
          <w:sz w:val="24"/>
          <w:highlight w:val="none"/>
        </w:rPr>
      </w:pPr>
      <w:r>
        <w:rPr>
          <w:rStyle w:val="13"/>
          <w:rFonts w:hint="eastAsia" w:ascii="宋体" w:hAnsi="宋体" w:eastAsia="宋体" w:cs="宋体"/>
          <w:b/>
          <w:color w:val="auto"/>
          <w:sz w:val="24"/>
          <w:highlight w:val="none"/>
        </w:rPr>
        <w:t>验收</w:t>
      </w:r>
    </w:p>
    <w:p>
      <w:pPr>
        <w:keepNext w:val="0"/>
        <w:keepLines w:val="0"/>
        <w:pageBreakBefore w:val="0"/>
        <w:widowControl w:val="0"/>
        <w:kinsoku/>
        <w:overflowPunct/>
        <w:topLinePunct w:val="0"/>
        <w:autoSpaceDE/>
        <w:autoSpaceDN/>
        <w:bidi w:val="0"/>
        <w:spacing w:line="460" w:lineRule="exact"/>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rPr>
        <w:t xml:space="preserve">    1）应提供的伴随服务：包括本章及招标文件技术规格中规定提供的伴随服务等对所供货物的现场安装、调试和试运行进行技术指导；</w:t>
      </w:r>
    </w:p>
    <w:p>
      <w:pPr>
        <w:keepNext w:val="0"/>
        <w:keepLines w:val="0"/>
        <w:pageBreakBefore w:val="0"/>
        <w:widowControl w:val="0"/>
        <w:kinsoku/>
        <w:overflowPunct/>
        <w:topLinePunct w:val="0"/>
        <w:autoSpaceDE/>
        <w:autoSpaceDN/>
        <w:bidi w:val="0"/>
        <w:spacing w:line="4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2）提供货物安装或维修所需的工具；</w:t>
      </w:r>
    </w:p>
    <w:p>
      <w:pPr>
        <w:keepNext w:val="0"/>
        <w:keepLines w:val="0"/>
        <w:pageBreakBefore w:val="0"/>
        <w:widowControl w:val="0"/>
        <w:kinsoku/>
        <w:overflowPunct/>
        <w:topLinePunct w:val="0"/>
        <w:autoSpaceDE/>
        <w:autoSpaceDN/>
        <w:bidi w:val="0"/>
        <w:spacing w:line="4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3）为所供货物提供详细的操作和维护手册，并对安装、拆卸、维修、调整和安全注意事项做详细说明；</w:t>
      </w:r>
    </w:p>
    <w:p>
      <w:pPr>
        <w:keepNext w:val="0"/>
        <w:keepLines w:val="0"/>
        <w:pageBreakBefore w:val="0"/>
        <w:widowControl w:val="0"/>
        <w:kinsoku/>
        <w:overflowPunct/>
        <w:topLinePunct w:val="0"/>
        <w:autoSpaceDE/>
        <w:autoSpaceDN/>
        <w:bidi w:val="0"/>
        <w:spacing w:line="4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4）在双方商定的一定期限内对所供货物实施运行或监督或维护或修理，但前提条件是该服务并不能免除卖方在合同保证期内所承担的义务；</w:t>
      </w:r>
    </w:p>
    <w:p>
      <w:pPr>
        <w:keepNext w:val="0"/>
        <w:keepLines w:val="0"/>
        <w:pageBreakBefore w:val="0"/>
        <w:widowControl w:val="0"/>
        <w:kinsoku/>
        <w:overflowPunct/>
        <w:topLinePunct w:val="0"/>
        <w:autoSpaceDE/>
        <w:autoSpaceDN/>
        <w:bidi w:val="0"/>
        <w:spacing w:line="4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5）在项目现场就所供货物的安装、拆卸、操作、运行、维护和修理对买方人员进行培训。</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highlight w:val="none"/>
        </w:rPr>
      </w:pPr>
      <w:r>
        <w:rPr>
          <w:rFonts w:hint="eastAsia" w:ascii="宋体" w:hAnsi="宋体" w:eastAsia="宋体" w:cs="宋体"/>
          <w:color w:val="auto"/>
          <w:sz w:val="24"/>
          <w:highlight w:val="none"/>
        </w:rPr>
        <w:t>6）每台设备到位后，工程师应立即进行安装、调试，同时在现场对操作人员进行严格的规范化培训。</w:t>
      </w:r>
    </w:p>
    <w:p>
      <w:pPr>
        <w:keepNext w:val="0"/>
        <w:keepLines w:val="0"/>
        <w:pageBreakBefore w:val="0"/>
        <w:widowControl w:val="0"/>
        <w:numPr>
          <w:ilvl w:val="0"/>
          <w:numId w:val="1"/>
        </w:numPr>
        <w:kinsoku/>
        <w:overflowPunct/>
        <w:topLinePunct w:val="0"/>
        <w:autoSpaceDE/>
        <w:autoSpaceDN/>
        <w:bidi w:val="0"/>
        <w:spacing w:line="360" w:lineRule="auto"/>
        <w:rPr>
          <w:rStyle w:val="13"/>
          <w:rFonts w:hint="eastAsia" w:ascii="宋体" w:hAnsi="宋体" w:eastAsia="宋体" w:cs="宋体"/>
          <w:b/>
          <w:color w:val="auto"/>
          <w:sz w:val="24"/>
          <w:highlight w:val="none"/>
        </w:rPr>
      </w:pPr>
      <w:r>
        <w:rPr>
          <w:rStyle w:val="13"/>
          <w:rFonts w:hint="eastAsia" w:ascii="宋体" w:hAnsi="宋体" w:eastAsia="宋体" w:cs="宋体"/>
          <w:b/>
          <w:color w:val="auto"/>
          <w:sz w:val="24"/>
          <w:highlight w:val="none"/>
        </w:rPr>
        <w:t>其他事项</w:t>
      </w:r>
    </w:p>
    <w:p>
      <w:pPr>
        <w:keepNext w:val="0"/>
        <w:keepLines w:val="0"/>
        <w:pageBreakBefore w:val="0"/>
        <w:widowControl w:val="0"/>
        <w:kinsoku/>
        <w:overflowPunct/>
        <w:topLinePunct w:val="0"/>
        <w:autoSpaceDE/>
        <w:autoSpaceDN/>
        <w:bidi w:val="0"/>
        <w:spacing w:line="360" w:lineRule="auto"/>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（一）陕西省财政厅政府采购管理处在合同的履行期间以及履行期后，可以随时检查项目的执行情况，对采购标准、采购内容进行调查核实，并对发现的问题进行处理。</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（二）如有纠纷，双方友好协商解决，协商不成时可诉讼到甲方所在地人民法院解决。</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（三）本合同一式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份，甲方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份，乙方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份，甲乙双方签字盖章后生效。</w:t>
      </w:r>
    </w:p>
    <w:p>
      <w:pPr>
        <w:keepNext w:val="0"/>
        <w:keepLines w:val="0"/>
        <w:pageBreakBefore w:val="0"/>
        <w:widowControl w:val="0"/>
        <w:kinsoku/>
        <w:overflowPunct/>
        <w:topLinePunct w:val="0"/>
        <w:autoSpaceDE/>
        <w:autoSpaceDN/>
        <w:bidi w:val="0"/>
        <w:spacing w:line="360" w:lineRule="auto"/>
        <w:ind w:firstLine="420" w:firstLineChars="175"/>
        <w:jc w:val="left"/>
        <w:rPr>
          <w:rFonts w:hint="eastAsia" w:ascii="宋体" w:hAnsi="宋体" w:eastAsia="宋体" w:cs="宋体"/>
          <w:color w:val="auto"/>
          <w:highlight w:val="none"/>
        </w:rPr>
      </w:pPr>
      <w:r>
        <w:rPr>
          <w:rFonts w:hint="eastAsia" w:ascii="宋体" w:hAnsi="宋体" w:eastAsia="宋体" w:cs="宋体"/>
          <w:color w:val="auto"/>
          <w:sz w:val="24"/>
          <w:highlight w:val="none"/>
        </w:rPr>
        <w:t>（四）</w:t>
      </w:r>
      <w:r>
        <w:rPr>
          <w:rFonts w:hint="eastAsia" w:ascii="宋体" w:hAnsi="宋体" w:eastAsia="宋体" w:cs="宋体"/>
          <w:bCs/>
          <w:color w:val="auto"/>
          <w:sz w:val="24"/>
          <w:highlight w:val="none"/>
        </w:rPr>
        <w:t>招标文件、响应文件也是合同的组成部分，合同中未约定的以招标文件、响应文件为准。</w:t>
      </w:r>
    </w:p>
    <w:tbl>
      <w:tblPr>
        <w:tblStyle w:val="9"/>
        <w:tblW w:w="97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850"/>
        <w:gridCol w:w="4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850" w:type="dxa"/>
            <w:tcBorders>
              <w:tl2br w:val="nil"/>
              <w:tr2bl w:val="nil"/>
            </w:tcBorders>
          </w:tcPr>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甲    方</w:t>
            </w:r>
          </w:p>
        </w:tc>
        <w:tc>
          <w:tcPr>
            <w:tcW w:w="4850" w:type="dxa"/>
            <w:tcBorders>
              <w:tl2br w:val="nil"/>
              <w:tr2bl w:val="nil"/>
            </w:tcBorders>
          </w:tcPr>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乙    方</w:t>
            </w:r>
            <w:r>
              <w:rPr>
                <w:rFonts w:hint="eastAsia" w:ascii="宋体" w:hAnsi="宋体" w:eastAsia="宋体" w:cs="宋体"/>
                <w:bCs/>
                <w:color w:val="auto"/>
                <w:sz w:val="24"/>
                <w:highlight w:val="none"/>
              </w:rPr>
              <w:t>（此处盖单位公章）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4850" w:type="dxa"/>
            <w:tcBorders>
              <w:tl2br w:val="nil"/>
              <w:tr2bl w:val="nil"/>
            </w:tcBorders>
          </w:tcPr>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单位名称：</w:t>
            </w:r>
            <w:r>
              <w:rPr>
                <w:rStyle w:val="13"/>
                <w:rFonts w:hint="eastAsia" w:ascii="宋体" w:hAnsi="宋体" w:eastAsia="宋体" w:cs="宋体"/>
                <w:color w:val="auto"/>
                <w:sz w:val="24"/>
                <w:highlight w:val="none"/>
              </w:rPr>
              <w:t>陕西省第二人民医院</w:t>
            </w:r>
          </w:p>
        </w:tc>
        <w:tc>
          <w:tcPr>
            <w:tcW w:w="4850" w:type="dxa"/>
            <w:tcBorders>
              <w:tl2br w:val="nil"/>
              <w:tr2bl w:val="nil"/>
            </w:tcBorders>
            <w:vAlign w:val="center"/>
          </w:tcPr>
          <w:p>
            <w:pPr>
              <w:keepNext w:val="0"/>
              <w:keepLines w:val="0"/>
              <w:pageBreakBefore w:val="0"/>
              <w:widowControl w:val="0"/>
              <w:kinsoku/>
              <w:topLinePunct w:val="0"/>
              <w:bidi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单位名称：</w:t>
            </w:r>
            <w:r>
              <w:rPr>
                <w:rFonts w:hint="eastAsia" w:ascii="宋体" w:hAnsi="宋体" w:eastAsia="宋体" w:cs="宋体"/>
                <w:color w:val="auto"/>
                <w:sz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4850" w:type="dxa"/>
            <w:tcBorders>
              <w:tl2br w:val="nil"/>
              <w:tr2bl w:val="nil"/>
            </w:tcBorders>
          </w:tcPr>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Style w:val="13"/>
                <w:rFonts w:hint="eastAsia" w:ascii="宋体" w:hAnsi="宋体" w:eastAsia="宋体" w:cs="宋体"/>
                <w:color w:val="auto"/>
                <w:sz w:val="24"/>
                <w:highlight w:val="none"/>
              </w:rPr>
              <w:t>新城区尚勤路3号</w:t>
            </w:r>
          </w:p>
        </w:tc>
        <w:tc>
          <w:tcPr>
            <w:tcW w:w="4850" w:type="dxa"/>
            <w:tcBorders>
              <w:tl2br w:val="nil"/>
              <w:tr2bl w:val="nil"/>
            </w:tcBorders>
            <w:vAlign w:val="center"/>
          </w:tcPr>
          <w:p>
            <w:pPr>
              <w:keepNext w:val="0"/>
              <w:keepLines w:val="0"/>
              <w:pageBreakBefore w:val="0"/>
              <w:widowControl w:val="0"/>
              <w:numPr>
                <w:ilvl w:val="255"/>
                <w:numId w:val="0"/>
              </w:numPr>
              <w:kinsoku/>
              <w:topLinePunct w:val="0"/>
              <w:bidi w:val="0"/>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5" w:hRule="atLeast"/>
          <w:jc w:val="center"/>
        </w:trPr>
        <w:tc>
          <w:tcPr>
            <w:tcW w:w="4850" w:type="dxa"/>
            <w:tcBorders>
              <w:tl2br w:val="nil"/>
              <w:tr2bl w:val="nil"/>
            </w:tcBorders>
          </w:tcPr>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法定代表人（或授权代表）：</w:t>
            </w:r>
          </w:p>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（手签或印章）</w:t>
            </w:r>
          </w:p>
        </w:tc>
        <w:tc>
          <w:tcPr>
            <w:tcW w:w="4850" w:type="dxa"/>
            <w:tcBorders>
              <w:tl2br w:val="nil"/>
              <w:tr2bl w:val="nil"/>
            </w:tcBorders>
          </w:tcPr>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法定代表人（或授权代表）：</w:t>
            </w:r>
          </w:p>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（手签或印章）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850" w:type="dxa"/>
            <w:tcBorders>
              <w:tl2br w:val="nil"/>
              <w:tr2bl w:val="nil"/>
            </w:tcBorders>
          </w:tcPr>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联系电话：8742-2561</w:t>
            </w:r>
          </w:p>
        </w:tc>
        <w:tc>
          <w:tcPr>
            <w:tcW w:w="4850" w:type="dxa"/>
            <w:tcBorders>
              <w:tl2br w:val="nil"/>
              <w:tr2bl w:val="nil"/>
            </w:tcBorders>
          </w:tcPr>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850" w:type="dxa"/>
            <w:tcBorders>
              <w:tl2br w:val="nil"/>
              <w:tr2bl w:val="nil"/>
            </w:tcBorders>
          </w:tcPr>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行：中国银行西安东新街支行</w:t>
            </w:r>
          </w:p>
        </w:tc>
        <w:tc>
          <w:tcPr>
            <w:tcW w:w="4850" w:type="dxa"/>
            <w:tcBorders>
              <w:tl2br w:val="nil"/>
              <w:tr2bl w:val="nil"/>
            </w:tcBorders>
          </w:tcPr>
          <w:p>
            <w:pPr>
              <w:keepNext w:val="0"/>
              <w:keepLines w:val="0"/>
              <w:pageBreakBefore w:val="0"/>
              <w:widowControl w:val="0"/>
              <w:numPr>
                <w:ilvl w:val="255"/>
                <w:numId w:val="0"/>
              </w:numPr>
              <w:kinsoku/>
              <w:topLinePunct w:val="0"/>
              <w:bidi w:val="0"/>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开 户 行：</w:t>
            </w:r>
            <w:r>
              <w:rPr>
                <w:rFonts w:hint="eastAsia" w:ascii="宋体" w:hAnsi="宋体" w:eastAsia="宋体" w:cs="宋体"/>
                <w:color w:val="auto"/>
                <w:sz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850" w:type="dxa"/>
            <w:tcBorders>
              <w:tl2br w:val="nil"/>
              <w:tr2bl w:val="nil"/>
            </w:tcBorders>
          </w:tcPr>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账    号：103208587582</w:t>
            </w:r>
          </w:p>
        </w:tc>
        <w:tc>
          <w:tcPr>
            <w:tcW w:w="4850" w:type="dxa"/>
            <w:tcBorders>
              <w:tl2br w:val="nil"/>
              <w:tr2bl w:val="nil"/>
            </w:tcBorders>
          </w:tcPr>
          <w:p>
            <w:pPr>
              <w:keepNext w:val="0"/>
              <w:keepLines w:val="0"/>
              <w:pageBreakBefore w:val="0"/>
              <w:widowControl w:val="0"/>
              <w:numPr>
                <w:ilvl w:val="255"/>
                <w:numId w:val="0"/>
              </w:numPr>
              <w:kinsoku/>
              <w:topLinePunct w:val="0"/>
              <w:bidi w:val="0"/>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账    号：</w:t>
            </w:r>
            <w:r>
              <w:rPr>
                <w:rFonts w:hint="eastAsia" w:ascii="宋体" w:hAnsi="宋体" w:eastAsia="宋体" w:cs="宋体"/>
                <w:color w:val="auto"/>
                <w:sz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850" w:type="dxa"/>
            <w:tcBorders>
              <w:tl2br w:val="nil"/>
              <w:tr2bl w:val="nil"/>
            </w:tcBorders>
          </w:tcPr>
          <w:p>
            <w:pPr>
              <w:keepNext w:val="0"/>
              <w:keepLines w:val="0"/>
              <w:pageBreakBefore w:val="0"/>
              <w:widowControl w:val="0"/>
              <w:kinsoku/>
              <w:topLinePunct w:val="0"/>
              <w:bidi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纳税人识别号：126100004352008966</w:t>
            </w:r>
          </w:p>
        </w:tc>
        <w:tc>
          <w:tcPr>
            <w:tcW w:w="4850" w:type="dxa"/>
            <w:tcBorders>
              <w:tl2br w:val="nil"/>
              <w:tr2bl w:val="nil"/>
            </w:tcBorders>
          </w:tcPr>
          <w:p>
            <w:pPr>
              <w:keepNext w:val="0"/>
              <w:keepLines w:val="0"/>
              <w:pageBreakBefore w:val="0"/>
              <w:widowControl w:val="0"/>
              <w:numPr>
                <w:ilvl w:val="255"/>
                <w:numId w:val="0"/>
              </w:numPr>
              <w:kinsoku/>
              <w:topLinePunct w:val="0"/>
              <w:bidi w:val="0"/>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纳税人识别号：</w:t>
            </w:r>
            <w:r>
              <w:rPr>
                <w:rFonts w:hint="eastAsia" w:ascii="宋体" w:hAnsi="宋体" w:eastAsia="宋体" w:cs="宋体"/>
                <w:color w:val="auto"/>
                <w:sz w:val="24"/>
                <w:highlight w:val="none"/>
                <w:lang w:val="en-US" w:eastAsia="zh-CN"/>
              </w:rPr>
              <w:t xml:space="preserve"> </w:t>
            </w:r>
          </w:p>
        </w:tc>
      </w:tr>
    </w:tbl>
    <w:p>
      <w:pPr>
        <w:keepNext w:val="0"/>
        <w:keepLines w:val="0"/>
        <w:pageBreakBefore w:val="0"/>
        <w:widowControl w:val="0"/>
        <w:kinsoku/>
        <w:topLinePunct w:val="0"/>
        <w:bidi w:val="0"/>
        <w:spacing w:line="360" w:lineRule="auto"/>
        <w:ind w:left="-420" w:leftChars="-200" w:firstLine="240" w:firstLineChars="1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签订日期：</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日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签订日期：</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日 </w:t>
      </w:r>
    </w:p>
    <w:p>
      <w:pPr>
        <w:keepNext w:val="0"/>
        <w:keepLines w:val="0"/>
        <w:pageBreakBefore w:val="0"/>
        <w:widowControl w:val="0"/>
        <w:kinsoku/>
        <w:topLinePunct w:val="0"/>
        <w:bidi w:val="0"/>
        <w:rPr>
          <w:rFonts w:hint="eastAsia" w:ascii="宋体" w:hAnsi="宋体" w:eastAsia="宋体" w:cs="宋体"/>
          <w:color w:val="auto"/>
          <w:sz w:val="28"/>
          <w:highlight w:val="none"/>
        </w:rPr>
      </w:pPr>
    </w:p>
    <w:p>
      <w:pPr>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br w:type="page"/>
      </w:r>
    </w:p>
    <w:p>
      <w:pPr>
        <w:pStyle w:val="7"/>
        <w:keepNext w:val="0"/>
        <w:keepLines w:val="0"/>
        <w:pageBreakBefore w:val="0"/>
        <w:widowControl w:val="0"/>
        <w:kinsoku/>
        <w:topLinePunct w:val="0"/>
        <w:bidi w:val="0"/>
        <w:ind w:left="0" w:firstLine="0" w:firstLineChars="0"/>
        <w:jc w:val="left"/>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附件一：技术规格及标准</w:t>
      </w:r>
    </w:p>
    <w:p>
      <w:pPr>
        <w:keepNext w:val="0"/>
        <w:keepLines w:val="0"/>
        <w:pageBreakBefore w:val="0"/>
        <w:widowControl w:val="0"/>
        <w:kinsoku/>
        <w:topLinePunct w:val="0"/>
        <w:bidi w:val="0"/>
        <w:rPr>
          <w:rFonts w:hint="eastAsia" w:ascii="宋体" w:hAnsi="宋体" w:eastAsia="宋体" w:cs="宋体"/>
          <w:b/>
          <w:bCs/>
          <w:color w:val="auto"/>
          <w:sz w:val="24"/>
          <w:highlight w:val="none"/>
        </w:rPr>
      </w:pPr>
    </w:p>
    <w:p>
      <w:pPr>
        <w:keepNext w:val="0"/>
        <w:keepLines w:val="0"/>
        <w:pageBreakBefore w:val="0"/>
        <w:widowControl w:val="0"/>
        <w:kinsoku/>
        <w:topLinePunct w:val="0"/>
        <w:bidi w:val="0"/>
        <w:rPr>
          <w:rFonts w:hint="eastAsia" w:ascii="宋体" w:hAnsi="宋体" w:eastAsia="宋体" w:cs="宋体"/>
          <w:b/>
          <w:bCs/>
          <w:color w:val="auto"/>
          <w:sz w:val="24"/>
          <w:highlight w:val="none"/>
          <w:lang w:eastAsia="zh-CN"/>
        </w:rPr>
      </w:pPr>
    </w:p>
    <w:p>
      <w:pPr>
        <w:keepNext w:val="0"/>
        <w:keepLines w:val="0"/>
        <w:pageBreakBefore w:val="0"/>
        <w:widowControl w:val="0"/>
        <w:kinsoku/>
        <w:topLinePunct w:val="0"/>
        <w:bidi w:val="0"/>
        <w:rPr>
          <w:rFonts w:hint="eastAsia" w:ascii="宋体" w:hAnsi="宋体" w:eastAsia="宋体" w:cs="宋体"/>
          <w:b/>
          <w:bCs/>
          <w:color w:val="auto"/>
          <w:sz w:val="24"/>
          <w:highlight w:val="none"/>
          <w:lang w:eastAsia="zh-CN"/>
        </w:rPr>
      </w:pPr>
    </w:p>
    <w:p>
      <w:pPr>
        <w:keepNext w:val="0"/>
        <w:keepLines w:val="0"/>
        <w:pageBreakBefore w:val="0"/>
        <w:widowControl w:val="0"/>
        <w:kinsoku/>
        <w:topLinePunct w:val="0"/>
        <w:bidi w:val="0"/>
        <w:rPr>
          <w:rFonts w:hint="eastAsia" w:ascii="宋体" w:hAnsi="宋体" w:eastAsia="宋体" w:cs="宋体"/>
          <w:b/>
          <w:bCs/>
          <w:color w:val="auto"/>
          <w:sz w:val="24"/>
          <w:highlight w:val="none"/>
          <w:lang w:eastAsia="zh-CN"/>
        </w:rPr>
      </w:pPr>
    </w:p>
    <w:p>
      <w:pPr>
        <w:pStyle w:val="7"/>
        <w:keepNext w:val="0"/>
        <w:keepLines w:val="0"/>
        <w:pageBreakBefore w:val="0"/>
        <w:widowControl w:val="0"/>
        <w:kinsoku/>
        <w:topLinePunct w:val="0"/>
        <w:bidi w:val="0"/>
        <w:ind w:left="0" w:firstLine="0" w:firstLineChars="0"/>
        <w:jc w:val="left"/>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附件</w:t>
      </w:r>
      <w:r>
        <w:rPr>
          <w:rFonts w:hint="eastAsia" w:ascii="宋体" w:hAnsi="宋体" w:eastAsia="宋体" w:cs="宋体"/>
          <w:b/>
          <w:bCs/>
          <w:color w:val="auto"/>
          <w:sz w:val="24"/>
          <w:szCs w:val="22"/>
          <w:highlight w:val="none"/>
          <w:lang w:val="en-US" w:eastAsia="zh-CN"/>
        </w:rPr>
        <w:t>二</w:t>
      </w:r>
      <w:r>
        <w:rPr>
          <w:rFonts w:hint="eastAsia" w:ascii="宋体" w:hAnsi="宋体" w:eastAsia="宋体" w:cs="宋体"/>
          <w:b/>
          <w:bCs/>
          <w:color w:val="auto"/>
          <w:sz w:val="24"/>
          <w:szCs w:val="22"/>
          <w:highlight w:val="none"/>
        </w:rPr>
        <w:t>：售后服务方案</w:t>
      </w:r>
    </w:p>
    <w:p>
      <w:pPr>
        <w:keepNext w:val="0"/>
        <w:keepLines w:val="0"/>
        <w:pageBreakBefore w:val="0"/>
        <w:widowControl w:val="0"/>
        <w:numPr>
          <w:ilvl w:val="0"/>
          <w:numId w:val="0"/>
        </w:numPr>
        <w:kinsoku/>
        <w:topLinePunct w:val="0"/>
        <w:bidi w:val="0"/>
        <w:spacing w:after="0"/>
        <w:ind w:leftChars="0"/>
        <w:jc w:val="both"/>
        <w:textAlignment w:val="auto"/>
        <w:outlineLvl w:val="9"/>
        <w:rPr>
          <w:rFonts w:hint="eastAsia" w:ascii="宋体" w:hAnsi="宋体" w:eastAsia="宋体" w:cs="宋体"/>
          <w:color w:val="auto"/>
          <w:sz w:val="24"/>
          <w:highlight w:val="none"/>
        </w:rPr>
      </w:pPr>
    </w:p>
    <w:p>
      <w:pPr>
        <w:pStyle w:val="12"/>
        <w:outlineLvl w:val="9"/>
        <w:rPr>
          <w:rFonts w:hint="eastAsia" w:ascii="宋体" w:hAnsi="宋体" w:eastAsia="宋体" w:cs="宋体"/>
          <w:highlight w:val="none"/>
          <w:lang w:val="en-US" w:eastAsia="zh-Hans"/>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altName w:val="Wingdings"/>
    <w:panose1 w:val="05020102010507070707"/>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18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18</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2D38C"/>
    <w:multiLevelType w:val="singleLevel"/>
    <w:tmpl w:val="9382D38C"/>
    <w:lvl w:ilvl="0" w:tentative="0">
      <w:start w:val="1"/>
      <w:numFmt w:val="chineseCounting"/>
      <w:suff w:val="nothing"/>
      <w:lvlText w:val="%1、"/>
      <w:lvlJc w:val="left"/>
      <w:pPr>
        <w:ind w:left="0" w:firstLine="420"/>
      </w:pPr>
      <w:rPr>
        <w:rFonts w:hint="eastAsia"/>
      </w:rPr>
    </w:lvl>
  </w:abstractNum>
  <w:abstractNum w:abstractNumId="1">
    <w:nsid w:val="444E525C"/>
    <w:multiLevelType w:val="singleLevel"/>
    <w:tmpl w:val="444E525C"/>
    <w:lvl w:ilvl="0" w:tentative="0">
      <w:start w:val="1"/>
      <w:numFmt w:val="chineseCounting"/>
      <w:suff w:val="nothing"/>
      <w:lvlText w:val="（%1）"/>
      <w:lvlJc w:val="left"/>
      <w:pPr>
        <w:ind w:left="-60"/>
      </w:pPr>
      <w:rPr>
        <w:rFonts w:hint="eastAsia"/>
      </w:rPr>
    </w:lvl>
  </w:abstractNum>
  <w:abstractNum w:abstractNumId="2">
    <w:nsid w:val="74399F72"/>
    <w:multiLevelType w:val="singleLevel"/>
    <w:tmpl w:val="74399F72"/>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GJjNDEwZjllMjEwYTZlYTJjNTMwNzM5ZTAxNGEifQ=="/>
  </w:docVars>
  <w:rsids>
    <w:rsidRoot w:val="32FC1A73"/>
    <w:rsid w:val="32FC1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jc w:val="left"/>
      <w:outlineLvl w:val="3"/>
    </w:pPr>
    <w:rPr>
      <w:rFonts w:hint="eastAsia" w:ascii="Arial" w:hAnsi="Arial"/>
      <w:b/>
      <w:sz w:val="32"/>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b/>
      <w:sz w:val="28"/>
      <w:szCs w:val="24"/>
    </w:rPr>
  </w:style>
  <w:style w:type="paragraph" w:styleId="4">
    <w:name w:val="Body Text Indent"/>
    <w:basedOn w:val="1"/>
    <w:next w:val="2"/>
    <w:qFormat/>
    <w:uiPriority w:val="0"/>
    <w:pPr>
      <w:spacing w:after="120"/>
      <w:ind w:left="200" w:leftChars="20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Body Text First Indent"/>
    <w:basedOn w:val="3"/>
    <w:qFormat/>
    <w:uiPriority w:val="0"/>
    <w:pPr>
      <w:adjustRightInd w:val="0"/>
      <w:spacing w:after="0" w:afterLines="0"/>
      <w:ind w:firstLine="420"/>
      <w:jc w:val="left"/>
      <w:textAlignment w:val="baseline"/>
    </w:pPr>
    <w:rPr>
      <w:kern w:val="0"/>
    </w:rPr>
  </w:style>
  <w:style w:type="paragraph" w:styleId="7">
    <w:name w:val="Body Text First Indent 2"/>
    <w:basedOn w:val="4"/>
    <w:next w:val="6"/>
    <w:qFormat/>
    <w:uiPriority w:val="0"/>
    <w:pPr>
      <w:tabs>
        <w:tab w:val="left" w:pos="4900"/>
      </w:tabs>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character" w:customStyle="1" w:styleId="13">
    <w:name w:val="NormalCharacter"/>
    <w:autoRedefine/>
    <w:qFormat/>
    <w:uiPriority w:val="0"/>
    <w:rPr>
      <w:rFonts w:ascii="Times New Roman" w:hAnsi="Times New Roman" w:eastAsia="宋体" w:cs="Times New Roman"/>
    </w:rPr>
  </w:style>
  <w:style w:type="paragraph" w:customStyle="1" w:styleId="14">
    <w:name w:val="列出段落1"/>
    <w:basedOn w:val="1"/>
    <w:autoRedefine/>
    <w:qFormat/>
    <w:uiPriority w:val="0"/>
    <w:pPr>
      <w:widowControl w:val="0"/>
      <w:adjustRightInd/>
      <w:snapToGrid/>
      <w:spacing w:after="0"/>
      <w:ind w:firstLine="200" w:firstLineChars="200"/>
      <w:jc w:val="both"/>
    </w:pPr>
    <w:rPr>
      <w:rFonts w:ascii="Times New Roman" w:hAnsi="Times New Roman" w:eastAsia="宋体" w:cs="Times New Roman"/>
      <w:kern w:val="2"/>
      <w:sz w:val="21"/>
      <w:szCs w:val="21"/>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2024-07-15T01:30:00Z</dcterms:created>
  <dc:creator>夏日微凉</dc:creator>
  <cp:lastModifiedBy>夏日微凉</cp:lastModifiedBy>
  <dcterms:modified xsi:type="dcterms:W3CDTF">2024-07-15T01:32:16Z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A2F8E1358F6B4FB69B00663311D1EB0D_11</vt:lpwstr>
  </property>
</Properties>
</file>