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版本号：240715001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医学影像科CT球管采购</w:t>
      </w:r>
    </w:p>
    <w:p>
      <w:pPr>
        <w:pStyle w:val="null3"/>
        <w:jc w:val="center"/>
        <w:outlineLvl w:val="5"/>
      </w:pPr>
      <w:r>
        <w:rPr>
          <w:sz w:val="15"/>
          <w:b/>
        </w:rPr>
        <w:t xml:space="preserve">项目编号: </w:t>
      </w:r>
      <w:r>
        <w:rPr>
          <w:sz w:val="15"/>
          <w:b/>
        </w:rPr>
        <w:t>SZT2024-SN-SC-ZC-HW-0179</w:t>
      </w:r>
      <w:r>
        <w:br/>
      </w:r>
      <w:r>
        <w:br/>
      </w:r>
      <w:r>
        <w:br/>
      </w:r>
      <w:r>
        <w:br/>
      </w:r>
      <w:r>
        <w:br/>
      </w:r>
    </w:p>
    <w:p>
      <w:pPr>
        <w:pStyle w:val="null3"/>
        <w:jc w:val="center"/>
        <w:outlineLvl w:val="5"/>
      </w:pPr>
      <w:r>
        <w:rPr>
          <w:sz w:val="15"/>
          <w:b/>
        </w:rPr>
        <w:t>省第二人民医院</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2024年07月15日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省第二人民医院</w:t>
      </w:r>
      <w:r>
        <w:rPr/>
        <w:t>委托，拟对</w:t>
      </w:r>
      <w:r>
        <w:rPr/>
        <w:t>医学影像科CT球管采购</w:t>
      </w:r>
      <w:r>
        <w:rPr/>
        <w:t>采用单一来源方式进行采购，现邀请贵公司参加该项目的协商。</w:t>
      </w:r>
    </w:p>
    <w:p>
      <w:pPr>
        <w:pStyle w:val="null3"/>
        <w:outlineLvl w:val="2"/>
      </w:pPr>
      <w:r>
        <w:rPr>
          <w:sz w:val="28"/>
          <w:b/>
        </w:rPr>
        <w:t>一、采购项目编号：</w:t>
      </w:r>
      <w:r>
        <w:rPr>
          <w:sz w:val="28"/>
          <w:b/>
        </w:rPr>
        <w:t>SZT2024-SN-SC-ZC-HW-0179</w:t>
      </w:r>
    </w:p>
    <w:p>
      <w:pPr>
        <w:pStyle w:val="null3"/>
        <w:outlineLvl w:val="2"/>
      </w:pPr>
      <w:r>
        <w:rPr>
          <w:sz w:val="28"/>
          <w:b/>
        </w:rPr>
        <w:t>二、采购项目名称：</w:t>
      </w:r>
      <w:r>
        <w:rPr>
          <w:sz w:val="28"/>
          <w:b/>
        </w:rPr>
        <w:t>医学影像科CT球管采购</w:t>
      </w:r>
    </w:p>
    <w:p>
      <w:pPr>
        <w:pStyle w:val="null3"/>
        <w:outlineLvl w:val="2"/>
      </w:pPr>
      <w:r>
        <w:rPr>
          <w:sz w:val="28"/>
          <w:b/>
        </w:rPr>
        <w:t>三、协商项目简介：</w:t>
      </w:r>
    </w:p>
    <w:p>
      <w:pPr>
        <w:pStyle w:val="null3"/>
        <w:ind w:firstLine="480"/>
      </w:pPr>
      <w:r>
        <w:rPr/>
        <w:t>CT球管采购</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2、医疗器械经营许可证：投标人提供医疗器械经营许可证</w:t>
      </w:r>
    </w:p>
    <w:p>
      <w:pPr>
        <w:pStyle w:val="null3"/>
      </w:pPr>
      <w:r>
        <w:rPr/>
        <w:t>3、授权书：投标人为代理商的提供制造商授权书</w:t>
      </w:r>
    </w:p>
    <w:p>
      <w:pPr>
        <w:pStyle w:val="null3"/>
      </w:pPr>
      <w:r>
        <w:rPr/>
        <w:t>4、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省第二人民医院</w:t>
      </w:r>
    </w:p>
    <w:p>
      <w:pPr>
        <w:pStyle w:val="null3"/>
      </w:pPr>
      <w:r>
        <w:rPr/>
        <w:t xml:space="preserve"> 地址： </w:t>
      </w:r>
      <w:r>
        <w:rPr/>
        <w:t>新城区尚勤路3号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029-87422561</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方雨、李文俊</w:t>
      </w:r>
    </w:p>
    <w:p>
      <w:pPr>
        <w:pStyle w:val="null3"/>
      </w:pPr>
      <w:r>
        <w:rPr/>
        <w:t xml:space="preserve"> 联系电话： </w:t>
      </w:r>
      <w:r>
        <w:rPr/>
        <w:t>029-88364979-879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采购包1：1,000,000.00元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采购包1：1,000,000.00元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开户名称：招商银行西安分行营业部</w:t>
            </w:r>
          </w:p>
          <w:p>
            <w:pPr>
              <w:pStyle w:val="null3"/>
            </w:pPr>
            <w:r>
              <w:rPr/>
              <w:t>开户银行：陕西中技招标有限公司（向我公司转账时，请备注清楚项目编号后四位和包号）</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中标金额差额定率累进法计算后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省第二人民医院</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省第二人民医院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⑴本合同及附件文本所约定的验收标准； ⑵谈判文件、响应文件、澄清表（函）；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CT球管采购</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CT球管</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w:t>
            </w:r>
            <w:r>
              <w:rPr>
                <w:rFonts w:ascii="宋体" w:hAnsi="宋体" w:cs="宋体" w:eastAsia="宋体"/>
                <w:sz w:val="21"/>
              </w:rPr>
              <w:t>适配</w:t>
            </w:r>
            <w:r>
              <w:rPr>
                <w:rFonts w:ascii="宋体" w:hAnsi="宋体" w:cs="宋体" w:eastAsia="宋体"/>
                <w:sz w:val="21"/>
              </w:rPr>
              <w:t>机型及主要技术参数：</w:t>
            </w:r>
          </w:p>
          <w:p>
            <w:pPr>
              <w:pStyle w:val="null3"/>
              <w:jc w:val="both"/>
            </w:pPr>
            <w:r>
              <w:rPr>
                <w:rFonts w:ascii="宋体" w:hAnsi="宋体" w:cs="宋体" w:eastAsia="宋体"/>
                <w:sz w:val="21"/>
              </w:rPr>
              <w:t>1、适用机型：</w:t>
            </w:r>
          </w:p>
          <w:p>
            <w:pPr>
              <w:pStyle w:val="null3"/>
              <w:jc w:val="both"/>
            </w:pPr>
            <w:r>
              <w:rPr>
                <w:rFonts w:ascii="宋体" w:hAnsi="宋体" w:cs="宋体" w:eastAsia="宋体"/>
                <w:sz w:val="21"/>
              </w:rPr>
              <w:t>X线电子计算机断层扫描装置（64排128层）AquilionTSX-101A</w:t>
            </w:r>
          </w:p>
          <w:p>
            <w:pPr>
              <w:pStyle w:val="null3"/>
              <w:jc w:val="both"/>
            </w:pPr>
            <w:r>
              <w:rPr>
                <w:rFonts w:ascii="宋体" w:hAnsi="宋体" w:cs="宋体" w:eastAsia="宋体"/>
                <w:sz w:val="21"/>
              </w:rPr>
              <w:t>2、球管型号：CXB-750D</w:t>
            </w:r>
          </w:p>
          <w:p>
            <w:pPr>
              <w:pStyle w:val="null3"/>
              <w:jc w:val="both"/>
            </w:pPr>
            <w:r>
              <w:rPr>
                <w:rFonts w:ascii="宋体" w:hAnsi="宋体" w:cs="宋体" w:eastAsia="宋体"/>
                <w:sz w:val="21"/>
              </w:rPr>
              <w:t>3、阳极热容量：7.5MHU</w:t>
            </w:r>
          </w:p>
          <w:p>
            <w:pPr>
              <w:pStyle w:val="null3"/>
              <w:jc w:val="both"/>
            </w:pPr>
            <w:r>
              <w:rPr>
                <w:rFonts w:ascii="宋体" w:hAnsi="宋体" w:cs="宋体" w:eastAsia="宋体"/>
                <w:sz w:val="21"/>
              </w:rPr>
              <w:t>4、阳极冷却率：1386KHU/min</w:t>
            </w:r>
          </w:p>
          <w:p>
            <w:pPr>
              <w:pStyle w:val="null3"/>
              <w:jc w:val="both"/>
            </w:pPr>
            <w:r>
              <w:rPr>
                <w:rFonts w:ascii="宋体" w:hAnsi="宋体" w:cs="宋体" w:eastAsia="宋体"/>
                <w:sz w:val="21"/>
              </w:rPr>
              <w:t>5、最高管电压：150KV</w:t>
            </w:r>
          </w:p>
          <w:p>
            <w:pPr>
              <w:pStyle w:val="null3"/>
              <w:jc w:val="both"/>
            </w:pPr>
            <w:r>
              <w:rPr>
                <w:rFonts w:ascii="宋体" w:hAnsi="宋体" w:cs="宋体" w:eastAsia="宋体"/>
                <w:sz w:val="21"/>
              </w:rPr>
              <w:t>6、焦点：小焦点≤0.9×0.8mm2</w:t>
            </w:r>
          </w:p>
          <w:p>
            <w:pPr>
              <w:pStyle w:val="null3"/>
              <w:jc w:val="both"/>
            </w:pPr>
            <w:r>
              <w:rPr>
                <w:rFonts w:ascii="宋体" w:hAnsi="宋体" w:cs="宋体" w:eastAsia="宋体"/>
                <w:sz w:val="21"/>
              </w:rPr>
              <w:t>大焦点</w:t>
            </w:r>
            <w:r>
              <w:rPr>
                <w:rFonts w:ascii="宋体" w:hAnsi="宋体" w:cs="宋体" w:eastAsia="宋体"/>
                <w:sz w:val="21"/>
              </w:rPr>
              <w:t>≥1.6×1.4mm2</w:t>
            </w:r>
          </w:p>
          <w:p>
            <w:pPr>
              <w:pStyle w:val="null3"/>
              <w:jc w:val="both"/>
            </w:pPr>
            <w:r>
              <w:rPr>
                <w:rFonts w:ascii="宋体" w:hAnsi="宋体" w:cs="宋体" w:eastAsia="宋体"/>
                <w:sz w:val="21"/>
              </w:rPr>
              <w:t>7、靶面制成材料：表面铼钨合金</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自合同签订之日起30日内。</w:t>
      </w:r>
    </w:p>
    <w:p>
      <w:pPr>
        <w:pStyle w:val="null3"/>
        <w:outlineLvl w:val="3"/>
      </w:pPr>
      <w:r>
        <w:rPr>
          <w:sz w:val="24"/>
          <w:b/>
        </w:rPr>
        <w:t>3.4.2交货地点</w:t>
      </w:r>
    </w:p>
    <w:p>
      <w:pPr>
        <w:pStyle w:val="null3"/>
      </w:pPr>
      <w:r>
        <w:rPr/>
        <w:t>采购包1：</w:t>
      </w:r>
    </w:p>
    <w:p>
      <w:pPr>
        <w:pStyle w:val="null3"/>
      </w:pPr>
      <w:r>
        <w:rPr/>
        <w:t>陕西省第二人民医院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合同签订后，乙方设备送达甲方指定地点，货到安装调试正常运行满30天后，甲方设备器械科组织验收，验收合格后由乙方开具全额发票给甲方，甲方收到乙方出具的全额发票后</w:t>
      </w:r>
      <w:r>
        <w:rPr/>
        <w:t xml:space="preserve"> ，达到付款条件起 </w:t>
      </w:r>
      <w:r>
        <w:rPr/>
        <w:t>30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1、本合同下交付的服务必须等同或优于本项目谈判文件“技术要求”所述的标准。若乙方在其响应文件中承诺的技术标准优于本项目谈判文件“技术要求”所述标准的，按响应文件的承诺执行。 2、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1、产品为全新原装球管。 2、比例保证曝光≥20万秒次，500秒次内损坏免费赔偿，20万秒次内损坏按比例收取费用再提供一只全新相同型号球管。 注：1、计算公式：收取费用额：总价款÷保用次数×已使用次数。2、已损坏旧件残值已折抵在价款中，旧件收回。</w:t>
      </w:r>
    </w:p>
    <w:p>
      <w:pPr>
        <w:pStyle w:val="null3"/>
        <w:outlineLvl w:val="3"/>
      </w:pPr>
      <w:r>
        <w:rPr>
          <w:sz w:val="24"/>
          <w:b/>
        </w:rPr>
        <w:t>3.4.8.违约责任与解决争议的方法</w:t>
      </w:r>
    </w:p>
    <w:p>
      <w:pPr>
        <w:pStyle w:val="null3"/>
      </w:pPr>
      <w:r>
        <w:rPr/>
        <w:t>采购包1：</w:t>
      </w:r>
    </w:p>
    <w:p>
      <w:pPr>
        <w:pStyle w:val="null3"/>
      </w:pPr>
      <w:r>
        <w:rPr/>
        <w:t>因履行本合同发生的争议，由采购人和中标供应商协商解决，协商不成的，任何一方均可向采购人住所地人民法院提起诉讼，通过诉讼途径解决。</w:t>
      </w:r>
    </w:p>
    <w:p>
      <w:pPr>
        <w:pStyle w:val="null3"/>
        <w:outlineLvl w:val="2"/>
      </w:pPr>
      <w:r>
        <w:rPr>
          <w:sz w:val="28"/>
          <w:b/>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为顺利推进政府采购电子化交易平台试点应用工作，供应商需要在线提交所有通过电子化交易平台实施的政府采购项目的投标文件，同时，线下提交投标文件正本 壹 份、副本 壹 套、电子版贰套（U盘一套标明供应商名称，随正本密封）。若系统电子投标文件与纸质投标文件不一致的，以系统电子投标文件为准。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医疗器械经营许可证</w:t>
            </w:r>
          </w:p>
        </w:tc>
        <w:tc>
          <w:tcPr>
            <w:tcW w:type="dxa" w:w="3322"/>
          </w:tcPr>
          <w:p>
            <w:pPr>
              <w:pStyle w:val="null3"/>
            </w:pPr>
            <w:r>
              <w:rPr/>
              <w:t>投标人提供医疗器械经营许可证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授权书</w:t>
            </w:r>
          </w:p>
        </w:tc>
        <w:tc>
          <w:tcPr>
            <w:tcW w:type="dxa" w:w="3322"/>
          </w:tcPr>
          <w:p>
            <w:pPr>
              <w:pStyle w:val="null3"/>
            </w:pPr>
            <w:r>
              <w:rPr/>
              <w:t>投标人为代理商的提供制造商授权书</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响应函</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乙方设备送达甲方指定地点，货到安装调试正常运行满30天后，甲方设备器械科组织验收，验收合格后由乙方开具全额发票给甲方，甲方收到乙方出具的全额发票后，达到付款条件起30日内，支付合同总金额的 100.00%</w:t>
            </w:r>
          </w:p>
        </w:tc>
        <w:tc>
          <w:tcPr>
            <w:tcW w:type="dxa" w:w="1661"/>
          </w:tcPr>
          <w:p>
            <w:pPr>
              <w:pStyle w:val="null3"/>
            </w:pPr>
            <w:r>
              <w:rPr/>
              <w:t>商务偏离表及技术偏离表 报价表及分项报价表</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比例保证曝光≥20万秒次，500秒次内损坏免费赔偿，20万秒次内损坏按比例收取费用再提供一只全新相同型号球管。</w:t>
            </w:r>
          </w:p>
        </w:tc>
        <w:tc>
          <w:tcPr>
            <w:tcW w:type="dxa" w:w="1661"/>
          </w:tcPr>
          <w:p>
            <w:pPr>
              <w:pStyle w:val="null3"/>
            </w:pPr>
            <w:r>
              <w:rPr/>
              <w:t>商务偏离表及技术偏离表 报价表及分项报价表</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自合同签订之日起30日内。</w:t>
            </w:r>
          </w:p>
        </w:tc>
        <w:tc>
          <w:tcPr>
            <w:tcW w:type="dxa" w:w="1661"/>
          </w:tcPr>
          <w:p>
            <w:pPr>
              <w:pStyle w:val="null3"/>
            </w:pPr>
            <w:r>
              <w:rPr/>
              <w:t>商务偏离表及技术偏离表 报价表及分项报价表</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商务偏离表及技术偏离表 响应函</w:t>
            </w:r>
          </w:p>
        </w:tc>
      </w:tr>
      <w:tr>
        <w:tc>
          <w:tcPr>
            <w:tcW w:type="dxa" w:w="831"/>
          </w:tcPr>
          <w:p>
            <w:pPr>
              <w:pStyle w:val="null3"/>
            </w:pPr>
            <w:r>
              <w:rPr/>
              <w:t>8</w:t>
            </w:r>
          </w:p>
        </w:tc>
        <w:tc>
          <w:tcPr>
            <w:tcW w:type="dxa" w:w="2492"/>
          </w:tcPr>
          <w:p>
            <w:pPr>
              <w:pStyle w:val="null3"/>
            </w:pPr>
            <w:r>
              <w:rPr/>
              <w:t>技术响应性审查1</w:t>
            </w:r>
          </w:p>
        </w:tc>
        <w:tc>
          <w:tcPr>
            <w:tcW w:type="dxa" w:w="3322"/>
          </w:tcPr>
          <w:p>
            <w:pPr>
              <w:pStyle w:val="null3"/>
            </w:pPr>
            <w:r>
              <w:rPr/>
              <w:t>响应内容满足谈判文件要求，无重大偏离；服务内容明确，满足采购人使用需求</w:t>
            </w:r>
          </w:p>
        </w:tc>
        <w:tc>
          <w:tcPr>
            <w:tcW w:type="dxa" w:w="1661"/>
          </w:tcPr>
          <w:p>
            <w:pPr>
              <w:pStyle w:val="null3"/>
            </w:pPr>
            <w:r>
              <w:rPr/>
              <w:t>技术实施方案及承诺 商务偏离表及技术偏离表</w:t>
            </w:r>
          </w:p>
        </w:tc>
      </w:tr>
      <w:tr>
        <w:tc>
          <w:tcPr>
            <w:tcW w:type="dxa" w:w="831"/>
          </w:tcPr>
          <w:p>
            <w:pPr>
              <w:pStyle w:val="null3"/>
            </w:pPr>
            <w:r>
              <w:rPr/>
              <w:t>9</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技术实施方案及承诺 商务偏离表及技术偏离表</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详见附件：技术实施方案及承诺</w:t>
      </w:r>
    </w:p>
    <w:p>
      <w:pPr>
        <w:pStyle w:val="null3"/>
        <w:ind w:firstLine="960"/>
      </w:pPr>
      <w:r>
        <w:rPr/>
        <w:t>详见附件：商务偏离表及技术偏离表</w:t>
      </w:r>
    </w:p>
    <w:p>
      <w:pPr>
        <w:pStyle w:val="null3"/>
        <w:ind w:firstLine="960"/>
      </w:pPr>
      <w:r>
        <w:rPr/>
        <w:t>详见附件：报价表及分项报价表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