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rPr>
          <w:rFonts w:eastAsia="仿宋_GB2312"/>
          <w:sz w:val="24"/>
        </w:rPr>
      </w:pPr>
      <w:r>
        <w:rPr>
          <w:rStyle w:val="5"/>
          <w:rFonts w:ascii="Times New Roman" w:hAnsi="Times New Roman" w:eastAsia="宋体"/>
          <w:sz w:val="36"/>
          <w:szCs w:val="36"/>
        </w:rPr>
        <w:t>拟签订的合同文本</w:t>
      </w:r>
    </w:p>
    <w:p>
      <w:pPr>
        <w:tabs>
          <w:tab w:val="left" w:pos="735"/>
        </w:tabs>
        <w:autoSpaceDE w:val="0"/>
        <w:autoSpaceDN w:val="0"/>
        <w:adjustRightInd w:val="0"/>
        <w:snapToGrid w:val="0"/>
        <w:spacing w:before="312" w:beforeLines="100" w:line="360" w:lineRule="auto"/>
        <w:rPr>
          <w:rFonts w:eastAsia="仿宋_GB2312"/>
          <w:b/>
          <w:bCs/>
          <w:sz w:val="24"/>
          <w:lang w:val="zh-CN"/>
        </w:rPr>
      </w:pPr>
      <w:r>
        <w:rPr>
          <w:rFonts w:eastAsia="仿宋_GB2312"/>
          <w:b/>
          <w:bCs/>
          <w:sz w:val="24"/>
          <w:lang w:val="zh-CN"/>
        </w:rPr>
        <w:t>甲方：</w:t>
      </w:r>
      <w:r>
        <w:rPr>
          <w:rFonts w:eastAsia="仿宋_GB2312"/>
          <w:bCs/>
          <w:sz w:val="24"/>
          <w:lang w:val="zh-CN"/>
        </w:rPr>
        <w:t>（前款所称采购人）住所：</w:t>
      </w:r>
    </w:p>
    <w:p>
      <w:pPr>
        <w:tabs>
          <w:tab w:val="left" w:pos="735"/>
        </w:tabs>
        <w:autoSpaceDE w:val="0"/>
        <w:autoSpaceDN w:val="0"/>
        <w:adjustRightInd w:val="0"/>
        <w:snapToGrid w:val="0"/>
        <w:spacing w:line="360" w:lineRule="auto"/>
        <w:rPr>
          <w:rFonts w:eastAsia="仿宋_GB2312"/>
          <w:bCs/>
          <w:sz w:val="24"/>
          <w:lang w:val="zh-CN"/>
        </w:rPr>
      </w:pPr>
      <w:r>
        <w:rPr>
          <w:rFonts w:eastAsia="仿宋_GB2312"/>
          <w:b/>
          <w:bCs/>
          <w:sz w:val="24"/>
          <w:lang w:val="zh-CN"/>
        </w:rPr>
        <w:t>乙方：</w:t>
      </w:r>
      <w:r>
        <w:rPr>
          <w:rFonts w:eastAsia="仿宋_GB2312"/>
          <w:bCs/>
          <w:sz w:val="24"/>
          <w:lang w:val="zh-CN"/>
        </w:rPr>
        <w:t>（前款所称</w:t>
      </w:r>
      <w:r>
        <w:rPr>
          <w:rFonts w:hint="eastAsia" w:eastAsia="仿宋_GB2312"/>
          <w:bCs/>
          <w:sz w:val="24"/>
        </w:rPr>
        <w:t>成交供应商</w:t>
      </w:r>
      <w:r>
        <w:rPr>
          <w:rFonts w:eastAsia="仿宋_GB2312"/>
          <w:bCs/>
          <w:sz w:val="24"/>
          <w:lang w:val="zh-CN"/>
        </w:rPr>
        <w:t>）住所：</w:t>
      </w:r>
    </w:p>
    <w:p>
      <w:pPr>
        <w:adjustRightInd w:val="0"/>
        <w:snapToGrid w:val="0"/>
        <w:spacing w:line="360" w:lineRule="auto"/>
        <w:ind w:firstLine="480" w:firstLineChars="200"/>
        <w:rPr>
          <w:rFonts w:eastAsia="仿宋_GB2312"/>
          <w:sz w:val="24"/>
        </w:rPr>
      </w:pPr>
      <w:bookmarkStart w:id="0" w:name="_Toc19515384"/>
      <w:r>
        <w:rPr>
          <w:rFonts w:eastAsia="仿宋_GB2312"/>
          <w:sz w:val="24"/>
        </w:rPr>
        <w:t>一、合同内容（标的、数量、质量等）</w:t>
      </w:r>
      <w:bookmarkEnd w:id="0"/>
      <w:r>
        <w:rPr>
          <w:rFonts w:hint="eastAsia" w:eastAsia="仿宋_GB2312"/>
          <w:sz w:val="24"/>
        </w:rPr>
        <w:t>：</w:t>
      </w:r>
    </w:p>
    <w:p>
      <w:pPr>
        <w:adjustRightInd w:val="0"/>
        <w:snapToGrid w:val="0"/>
        <w:spacing w:line="360" w:lineRule="auto"/>
        <w:ind w:firstLine="480" w:firstLineChars="200"/>
        <w:rPr>
          <w:rFonts w:eastAsia="仿宋_GB2312"/>
          <w:sz w:val="24"/>
        </w:rPr>
      </w:pPr>
      <w:bookmarkStart w:id="1" w:name="_Toc19515385"/>
      <w:r>
        <w:rPr>
          <w:rFonts w:eastAsia="仿宋_GB2312"/>
          <w:sz w:val="24"/>
        </w:rPr>
        <w:t>二、合同价款</w:t>
      </w:r>
      <w:bookmarkEnd w:id="1"/>
    </w:p>
    <w:p>
      <w:pPr>
        <w:adjustRightInd w:val="0"/>
        <w:snapToGrid w:val="0"/>
        <w:spacing w:line="360" w:lineRule="auto"/>
        <w:ind w:firstLine="480" w:firstLineChars="200"/>
        <w:rPr>
          <w:rFonts w:eastAsia="仿宋_GB2312"/>
          <w:sz w:val="24"/>
        </w:rPr>
      </w:pPr>
      <w:r>
        <w:rPr>
          <w:rFonts w:eastAsia="仿宋_GB2312"/>
          <w:sz w:val="24"/>
        </w:rPr>
        <w:t>1、合同总价：</w:t>
      </w:r>
    </w:p>
    <w:p>
      <w:pPr>
        <w:adjustRightInd w:val="0"/>
        <w:snapToGrid w:val="0"/>
        <w:spacing w:line="360" w:lineRule="auto"/>
        <w:ind w:firstLine="480" w:firstLineChars="200"/>
        <w:rPr>
          <w:rFonts w:eastAsia="仿宋_GB2312"/>
          <w:sz w:val="24"/>
        </w:rPr>
      </w:pPr>
      <w:r>
        <w:rPr>
          <w:rFonts w:eastAsia="仿宋_GB2312"/>
          <w:sz w:val="24"/>
        </w:rPr>
        <w:t>2、合同总价包括：</w:t>
      </w:r>
    </w:p>
    <w:p>
      <w:pPr>
        <w:adjustRightInd w:val="0"/>
        <w:snapToGrid w:val="0"/>
        <w:spacing w:line="360" w:lineRule="auto"/>
        <w:ind w:firstLine="480" w:firstLineChars="200"/>
        <w:rPr>
          <w:rFonts w:eastAsia="仿宋_GB2312"/>
          <w:sz w:val="24"/>
        </w:rPr>
      </w:pPr>
      <w:r>
        <w:rPr>
          <w:rFonts w:eastAsia="仿宋_GB2312"/>
          <w:sz w:val="24"/>
        </w:rPr>
        <w:t>3、合同为固定总价合同，不受市场价变化的影响。</w:t>
      </w:r>
    </w:p>
    <w:p>
      <w:pPr>
        <w:adjustRightInd w:val="0"/>
        <w:snapToGrid w:val="0"/>
        <w:spacing w:line="360" w:lineRule="auto"/>
        <w:ind w:firstLine="480" w:firstLineChars="200"/>
        <w:rPr>
          <w:rFonts w:eastAsia="仿宋_GB2312"/>
          <w:sz w:val="24"/>
        </w:rPr>
      </w:pPr>
      <w:bookmarkStart w:id="2" w:name="_Toc19515386"/>
      <w:r>
        <w:rPr>
          <w:rFonts w:eastAsia="仿宋_GB2312"/>
          <w:sz w:val="24"/>
        </w:rPr>
        <w:t>三、合同结算</w:t>
      </w:r>
      <w:bookmarkEnd w:id="2"/>
    </w:p>
    <w:p>
      <w:pPr>
        <w:adjustRightInd w:val="0"/>
        <w:snapToGrid w:val="0"/>
        <w:spacing w:line="360" w:lineRule="auto"/>
        <w:ind w:firstLine="480" w:firstLineChars="200"/>
        <w:rPr>
          <w:rFonts w:eastAsia="仿宋_GB2312"/>
          <w:sz w:val="24"/>
        </w:rPr>
      </w:pPr>
      <w:r>
        <w:rPr>
          <w:rFonts w:eastAsia="仿宋_GB2312"/>
          <w:sz w:val="24"/>
        </w:rPr>
        <w:t>1、付款比例：</w:t>
      </w:r>
    </w:p>
    <w:p>
      <w:pPr>
        <w:adjustRightInd w:val="0"/>
        <w:snapToGrid w:val="0"/>
        <w:spacing w:line="360" w:lineRule="auto"/>
        <w:ind w:firstLine="480" w:firstLineChars="200"/>
        <w:rPr>
          <w:rFonts w:eastAsia="仿宋_GB2312"/>
          <w:sz w:val="24"/>
        </w:rPr>
      </w:pPr>
      <w:r>
        <w:rPr>
          <w:rFonts w:hint="eastAsia" w:eastAsia="仿宋_GB2312"/>
          <w:sz w:val="24"/>
        </w:rPr>
        <w:t>合同签订后</w:t>
      </w:r>
      <w:r>
        <w:rPr>
          <w:rFonts w:hint="eastAsia" w:eastAsia="仿宋_GB2312"/>
          <w:sz w:val="24"/>
          <w:lang w:val="en-US" w:eastAsia="zh-CN"/>
        </w:rPr>
        <w:t>30日内</w:t>
      </w:r>
      <w:r>
        <w:rPr>
          <w:rFonts w:hint="eastAsia" w:eastAsia="仿宋_GB2312"/>
          <w:sz w:val="24"/>
        </w:rPr>
        <w:t>预付合同总价款的</w:t>
      </w:r>
      <w:r>
        <w:rPr>
          <w:rFonts w:hint="eastAsia" w:eastAsia="仿宋_GB2312"/>
          <w:sz w:val="24"/>
          <w:lang w:val="en-US" w:eastAsia="zh-CN"/>
        </w:rPr>
        <w:t>2</w:t>
      </w:r>
      <w:r>
        <w:rPr>
          <w:rFonts w:hint="eastAsia" w:eastAsia="仿宋_GB2312"/>
          <w:sz w:val="24"/>
        </w:rPr>
        <w:t>0%，服务期满半年且考核合格后，支付合同总价款的</w:t>
      </w:r>
      <w:r>
        <w:rPr>
          <w:rFonts w:hint="eastAsia" w:eastAsia="仿宋_GB2312"/>
          <w:sz w:val="24"/>
          <w:lang w:val="en-US" w:eastAsia="zh-CN"/>
        </w:rPr>
        <w:t>6</w:t>
      </w:r>
      <w:r>
        <w:rPr>
          <w:rFonts w:hint="eastAsia" w:eastAsia="仿宋_GB2312"/>
          <w:sz w:val="24"/>
        </w:rPr>
        <w:t>0%。项目履行完毕且通过验收后，甲方支付乙方合同总价款的</w:t>
      </w:r>
      <w:r>
        <w:rPr>
          <w:rFonts w:hint="eastAsia" w:eastAsia="仿宋_GB2312"/>
          <w:sz w:val="24"/>
          <w:lang w:val="en-US" w:eastAsia="zh-CN"/>
        </w:rPr>
        <w:t>2</w:t>
      </w:r>
      <w:r>
        <w:rPr>
          <w:rFonts w:hint="eastAsia" w:eastAsia="仿宋_GB2312"/>
          <w:sz w:val="24"/>
        </w:rPr>
        <w:t>0%。付款前，乙方应向甲方提供符合要求的发票。</w:t>
      </w:r>
    </w:p>
    <w:p>
      <w:pPr>
        <w:adjustRightInd w:val="0"/>
        <w:snapToGrid w:val="0"/>
        <w:spacing w:line="360" w:lineRule="auto"/>
        <w:ind w:firstLine="480" w:firstLineChars="200"/>
        <w:rPr>
          <w:rFonts w:eastAsia="仿宋_GB2312"/>
          <w:sz w:val="24"/>
        </w:rPr>
      </w:pPr>
      <w:r>
        <w:rPr>
          <w:rFonts w:eastAsia="仿宋_GB2312"/>
          <w:sz w:val="24"/>
        </w:rPr>
        <w:t>2、结算方式：银行转账。</w:t>
      </w:r>
    </w:p>
    <w:p>
      <w:pPr>
        <w:adjustRightInd w:val="0"/>
        <w:snapToGrid w:val="0"/>
        <w:spacing w:line="360" w:lineRule="auto"/>
        <w:ind w:firstLine="480" w:firstLineChars="200"/>
        <w:rPr>
          <w:rFonts w:eastAsia="仿宋_GB2312"/>
          <w:sz w:val="24"/>
        </w:rPr>
      </w:pPr>
      <w:r>
        <w:rPr>
          <w:rFonts w:eastAsia="仿宋_GB2312"/>
          <w:sz w:val="24"/>
        </w:rPr>
        <w:t>3、结算单位：由负责结算，乙方开具合同总价数的全额发票交采购人。</w:t>
      </w:r>
    </w:p>
    <w:p>
      <w:pPr>
        <w:adjustRightInd w:val="0"/>
        <w:snapToGrid w:val="0"/>
        <w:spacing w:line="360" w:lineRule="auto"/>
        <w:ind w:firstLine="480" w:firstLineChars="200"/>
        <w:rPr>
          <w:rFonts w:eastAsia="仿宋_GB2312"/>
          <w:sz w:val="24"/>
        </w:rPr>
      </w:pPr>
      <w:bookmarkStart w:id="3" w:name="_Toc19515387"/>
      <w:r>
        <w:rPr>
          <w:rFonts w:eastAsia="仿宋_GB2312"/>
          <w:sz w:val="24"/>
        </w:rPr>
        <w:t>四、履行期限、地点及方式</w:t>
      </w:r>
      <w:bookmarkEnd w:id="3"/>
      <w:r>
        <w:rPr>
          <w:rFonts w:hint="eastAsia" w:eastAsia="仿宋_GB2312"/>
          <w:sz w:val="24"/>
        </w:rPr>
        <w:t>：</w:t>
      </w:r>
    </w:p>
    <w:p>
      <w:pPr>
        <w:adjustRightInd w:val="0"/>
        <w:snapToGrid w:val="0"/>
        <w:spacing w:line="360" w:lineRule="auto"/>
        <w:ind w:firstLine="480" w:firstLineChars="200"/>
        <w:rPr>
          <w:rFonts w:eastAsia="仿宋_GB2312"/>
          <w:sz w:val="24"/>
        </w:rPr>
      </w:pPr>
      <w:r>
        <w:rPr>
          <w:rFonts w:eastAsia="仿宋_GB2312"/>
          <w:sz w:val="24"/>
        </w:rPr>
        <w:t>1、履行期限：</w:t>
      </w:r>
      <w:r>
        <w:rPr>
          <w:rFonts w:hint="eastAsia" w:eastAsia="仿宋_GB2312"/>
          <w:sz w:val="24"/>
          <w:lang w:val="en-US" w:eastAsia="zh-CN"/>
        </w:rPr>
        <w:t>2024年10月31日至2025年10月30日</w:t>
      </w:r>
      <w:r>
        <w:rPr>
          <w:rFonts w:hint="eastAsia" w:eastAsia="仿宋_GB2312"/>
          <w:sz w:val="24"/>
        </w:rPr>
        <w:t>，</w:t>
      </w:r>
    </w:p>
    <w:p>
      <w:pPr>
        <w:adjustRightInd w:val="0"/>
        <w:snapToGrid w:val="0"/>
        <w:spacing w:line="360" w:lineRule="auto"/>
        <w:ind w:firstLine="480" w:firstLineChars="200"/>
        <w:rPr>
          <w:rFonts w:eastAsia="仿宋_GB2312"/>
          <w:sz w:val="24"/>
        </w:rPr>
      </w:pPr>
      <w:r>
        <w:rPr>
          <w:rFonts w:eastAsia="仿宋_GB2312"/>
          <w:sz w:val="24"/>
        </w:rPr>
        <w:t>2、地点：</w:t>
      </w:r>
      <w:r>
        <w:rPr>
          <w:rFonts w:hint="eastAsia" w:eastAsia="仿宋_GB2312"/>
          <w:sz w:val="24"/>
        </w:rPr>
        <w:t>采购人指定。</w:t>
      </w:r>
    </w:p>
    <w:p>
      <w:pPr>
        <w:adjustRightInd w:val="0"/>
        <w:snapToGrid w:val="0"/>
        <w:spacing w:line="360" w:lineRule="auto"/>
        <w:ind w:firstLine="480" w:firstLineChars="200"/>
        <w:rPr>
          <w:rFonts w:eastAsia="仿宋_GB2312"/>
          <w:sz w:val="24"/>
        </w:rPr>
      </w:pPr>
      <w:r>
        <w:rPr>
          <w:rFonts w:eastAsia="仿宋_GB2312"/>
          <w:sz w:val="24"/>
        </w:rPr>
        <w:t>3、方式：</w:t>
      </w:r>
      <w:r>
        <w:rPr>
          <w:rFonts w:hint="eastAsia" w:eastAsia="仿宋_GB2312"/>
          <w:sz w:val="24"/>
        </w:rPr>
        <w:t>采购人指定。</w:t>
      </w:r>
    </w:p>
    <w:p>
      <w:pPr>
        <w:adjustRightInd w:val="0"/>
        <w:snapToGrid w:val="0"/>
        <w:spacing w:line="360" w:lineRule="auto"/>
        <w:ind w:firstLine="480" w:firstLineChars="200"/>
        <w:rPr>
          <w:rFonts w:eastAsia="仿宋_GB2312"/>
          <w:sz w:val="24"/>
        </w:rPr>
      </w:pPr>
      <w:bookmarkStart w:id="4" w:name="_Toc19515390"/>
      <w:r>
        <w:rPr>
          <w:rFonts w:eastAsia="仿宋_GB2312"/>
          <w:sz w:val="24"/>
        </w:rPr>
        <w:t>五、技术服务</w:t>
      </w:r>
      <w:bookmarkEnd w:id="4"/>
    </w:p>
    <w:p>
      <w:pPr>
        <w:adjustRightInd w:val="0"/>
        <w:snapToGrid w:val="0"/>
        <w:spacing w:line="360" w:lineRule="auto"/>
        <w:ind w:firstLine="480" w:firstLineChars="200"/>
        <w:rPr>
          <w:rFonts w:eastAsia="仿宋_GB2312"/>
          <w:sz w:val="24"/>
        </w:rPr>
      </w:pPr>
      <w:r>
        <w:rPr>
          <w:rFonts w:eastAsia="仿宋_GB2312"/>
          <w:sz w:val="24"/>
        </w:rPr>
        <w:t>1、对技术服务的要求：</w:t>
      </w:r>
    </w:p>
    <w:p>
      <w:pPr>
        <w:adjustRightInd w:val="0"/>
        <w:snapToGrid w:val="0"/>
        <w:spacing w:line="360" w:lineRule="auto"/>
        <w:ind w:firstLine="480" w:firstLineChars="200"/>
        <w:rPr>
          <w:rFonts w:eastAsia="仿宋_GB2312"/>
          <w:sz w:val="24"/>
        </w:rPr>
      </w:pPr>
      <w:r>
        <w:rPr>
          <w:rFonts w:eastAsia="仿宋_GB2312"/>
          <w:sz w:val="24"/>
        </w:rPr>
        <w:t>2、技术资料：</w:t>
      </w:r>
    </w:p>
    <w:p>
      <w:pPr>
        <w:adjustRightInd w:val="0"/>
        <w:snapToGrid w:val="0"/>
        <w:spacing w:line="360" w:lineRule="auto"/>
        <w:ind w:firstLine="480" w:firstLineChars="200"/>
        <w:rPr>
          <w:rFonts w:eastAsia="仿宋_GB2312"/>
          <w:sz w:val="24"/>
        </w:rPr>
      </w:pPr>
      <w:r>
        <w:rPr>
          <w:rFonts w:eastAsia="仿宋_GB2312"/>
          <w:sz w:val="24"/>
        </w:rPr>
        <w:t>3、售后服务</w:t>
      </w:r>
    </w:p>
    <w:p>
      <w:pPr>
        <w:adjustRightInd w:val="0"/>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-1、乙方在接到甲方电话通知后在小时内派出合格的服务人员到达现场进行服务，承担相应费用。</w:t>
      </w:r>
    </w:p>
    <w:p>
      <w:pPr>
        <w:adjustRightInd w:val="0"/>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-2、如果乙方在收到通知后两天内没有弥补缺陷，甲方可采取必要的补救措施，但其风险和费用将由乙方承担，甲方根据合同规定对乙方行使的其它权力不受影响。</w:t>
      </w:r>
    </w:p>
    <w:p>
      <w:pPr>
        <w:adjustRightInd w:val="0"/>
        <w:snapToGrid w:val="0"/>
        <w:spacing w:line="360" w:lineRule="auto"/>
        <w:ind w:firstLine="480" w:firstLineChars="200"/>
        <w:rPr>
          <w:rFonts w:eastAsia="仿宋_GB2312"/>
          <w:sz w:val="24"/>
        </w:rPr>
      </w:pPr>
      <w:bookmarkStart w:id="5" w:name="_Toc19515391"/>
      <w:r>
        <w:rPr>
          <w:rFonts w:eastAsia="仿宋_GB2312"/>
          <w:sz w:val="24"/>
        </w:rPr>
        <w:t>六、验收</w:t>
      </w:r>
      <w:bookmarkEnd w:id="5"/>
    </w:p>
    <w:p>
      <w:pPr>
        <w:adjustRightInd w:val="0"/>
        <w:snapToGrid w:val="0"/>
        <w:spacing w:line="360" w:lineRule="auto"/>
        <w:ind w:firstLine="480" w:firstLineChars="200"/>
        <w:rPr>
          <w:rFonts w:hint="default" w:eastAsia="仿宋_GB2312"/>
          <w:sz w:val="24"/>
          <w:lang w:val="en-US" w:eastAsia="zh-CN"/>
        </w:rPr>
      </w:pPr>
      <w:r>
        <w:rPr>
          <w:rFonts w:eastAsia="仿宋_GB2312"/>
          <w:sz w:val="24"/>
        </w:rPr>
        <w:t>1、</w:t>
      </w:r>
      <w:r>
        <w:rPr>
          <w:rFonts w:hint="eastAsia" w:eastAsia="仿宋_GB2312"/>
          <w:sz w:val="24"/>
          <w:lang w:val="en-US" w:eastAsia="zh-CN"/>
        </w:rPr>
        <w:t>服务内容完成后先由乙方进行自检，自检合格后向甲方申请验收。甲方确认乙方的自检内容后，组织乙方进行最终验收。验收合格后，填写政府采购项目履约验收单作为对服务的最终认可。</w:t>
      </w:r>
    </w:p>
    <w:p>
      <w:pPr>
        <w:adjustRightInd w:val="0"/>
        <w:snapToGrid w:val="0"/>
        <w:spacing w:line="360" w:lineRule="auto"/>
        <w:ind w:firstLine="480" w:firstLineChars="200"/>
        <w:rPr>
          <w:rFonts w:eastAsia="仿宋_GB2312"/>
          <w:sz w:val="24"/>
        </w:rPr>
      </w:pPr>
      <w:r>
        <w:rPr>
          <w:rFonts w:hint="eastAsia" w:eastAsia="仿宋_GB2312"/>
          <w:sz w:val="24"/>
        </w:rPr>
        <w:t>2</w:t>
      </w:r>
      <w:r>
        <w:rPr>
          <w:rFonts w:eastAsia="仿宋_GB2312"/>
          <w:sz w:val="24"/>
        </w:rPr>
        <w:t>、乙方向甲方提交实施过程中的所有资料，以便甲方日后管理和维护。</w:t>
      </w:r>
    </w:p>
    <w:p>
      <w:pPr>
        <w:adjustRightInd w:val="0"/>
        <w:snapToGrid w:val="0"/>
        <w:spacing w:line="360" w:lineRule="auto"/>
        <w:ind w:firstLine="480" w:firstLineChars="200"/>
        <w:rPr>
          <w:rFonts w:eastAsia="仿宋_GB2312"/>
          <w:sz w:val="24"/>
        </w:rPr>
      </w:pPr>
      <w:r>
        <w:rPr>
          <w:rFonts w:hint="eastAsia" w:eastAsia="仿宋_GB2312"/>
          <w:sz w:val="24"/>
          <w:lang w:val="en-US" w:eastAsia="zh-CN"/>
        </w:rPr>
        <w:t>3</w:t>
      </w:r>
      <w:r>
        <w:rPr>
          <w:rFonts w:eastAsia="仿宋_GB2312"/>
          <w:sz w:val="24"/>
        </w:rPr>
        <w:t>、验收依据：</w:t>
      </w:r>
    </w:p>
    <w:p>
      <w:pPr>
        <w:adjustRightInd w:val="0"/>
        <w:snapToGrid w:val="0"/>
        <w:spacing w:line="360" w:lineRule="auto"/>
        <w:ind w:firstLine="480" w:firstLineChars="200"/>
        <w:rPr>
          <w:rFonts w:eastAsia="仿宋_GB2312"/>
          <w:sz w:val="24"/>
        </w:rPr>
      </w:pPr>
      <w:r>
        <w:rPr>
          <w:rFonts w:hint="eastAsia" w:eastAsia="仿宋_GB2312"/>
          <w:sz w:val="24"/>
          <w:lang w:val="en-US" w:eastAsia="zh-CN"/>
        </w:rPr>
        <w:t>3</w:t>
      </w:r>
      <w:r>
        <w:rPr>
          <w:rFonts w:eastAsia="仿宋_GB2312"/>
          <w:sz w:val="24"/>
        </w:rPr>
        <w:t>-1、合同文本、合同附件、</w:t>
      </w:r>
      <w:r>
        <w:rPr>
          <w:rFonts w:hint="eastAsia" w:eastAsia="仿宋_GB2312"/>
          <w:sz w:val="24"/>
        </w:rPr>
        <w:t>竞争性磋商文件</w:t>
      </w:r>
      <w:r>
        <w:rPr>
          <w:rFonts w:eastAsia="仿宋_GB2312"/>
          <w:sz w:val="24"/>
        </w:rPr>
        <w:t>、</w:t>
      </w:r>
      <w:r>
        <w:rPr>
          <w:rFonts w:hint="eastAsia" w:eastAsia="仿宋_GB2312"/>
          <w:sz w:val="24"/>
        </w:rPr>
        <w:t>成交供应商的响应文件</w:t>
      </w:r>
      <w:r>
        <w:rPr>
          <w:rFonts w:eastAsia="仿宋_GB2312"/>
          <w:sz w:val="24"/>
        </w:rPr>
        <w:t>。</w:t>
      </w:r>
    </w:p>
    <w:p>
      <w:pPr>
        <w:adjustRightInd w:val="0"/>
        <w:snapToGrid w:val="0"/>
        <w:spacing w:line="360" w:lineRule="auto"/>
        <w:ind w:firstLine="480" w:firstLineChars="200"/>
        <w:rPr>
          <w:rFonts w:eastAsia="仿宋_GB2312"/>
          <w:sz w:val="24"/>
        </w:rPr>
      </w:pPr>
      <w:r>
        <w:rPr>
          <w:rFonts w:hint="eastAsia" w:eastAsia="仿宋_GB2312"/>
          <w:sz w:val="24"/>
          <w:lang w:val="en-US" w:eastAsia="zh-CN"/>
        </w:rPr>
        <w:t>3</w:t>
      </w:r>
      <w:r>
        <w:rPr>
          <w:rFonts w:eastAsia="仿宋_GB2312"/>
          <w:sz w:val="24"/>
        </w:rPr>
        <w:t>-2、国内相应的标准、规范。</w:t>
      </w:r>
    </w:p>
    <w:p>
      <w:pPr>
        <w:adjustRightInd w:val="0"/>
        <w:snapToGrid w:val="0"/>
        <w:spacing w:line="360" w:lineRule="auto"/>
        <w:ind w:firstLine="480" w:firstLineChars="200"/>
        <w:rPr>
          <w:rFonts w:eastAsia="仿宋_GB2312"/>
          <w:sz w:val="24"/>
        </w:rPr>
      </w:pPr>
      <w:bookmarkStart w:id="6" w:name="_Toc19515392"/>
      <w:r>
        <w:rPr>
          <w:rFonts w:eastAsia="仿宋_GB2312"/>
          <w:sz w:val="24"/>
        </w:rPr>
        <w:t>七、违约责任</w:t>
      </w:r>
      <w:bookmarkEnd w:id="6"/>
    </w:p>
    <w:p>
      <w:pPr>
        <w:adjustRightInd w:val="0"/>
        <w:snapToGrid w:val="0"/>
        <w:spacing w:line="360" w:lineRule="auto"/>
        <w:ind w:firstLine="480" w:firstLineChars="200"/>
        <w:rPr>
          <w:rFonts w:eastAsia="仿宋_GB2312"/>
          <w:sz w:val="24"/>
        </w:rPr>
      </w:pPr>
      <w:r>
        <w:rPr>
          <w:rFonts w:eastAsia="仿宋_GB2312"/>
          <w:sz w:val="24"/>
        </w:rPr>
        <w:t>1、</w:t>
      </w:r>
      <w:r>
        <w:rPr>
          <w:rFonts w:hint="eastAsia" w:eastAsia="仿宋_GB2312"/>
          <w:sz w:val="24"/>
        </w:rPr>
        <w:t>违约方应向守约方支付合同总价款</w:t>
      </w:r>
      <w:r>
        <w:rPr>
          <w:rFonts w:eastAsia="仿宋_GB2312"/>
          <w:sz w:val="24"/>
        </w:rPr>
        <w:t xml:space="preserve">  %</w:t>
      </w:r>
      <w:r>
        <w:rPr>
          <w:rFonts w:hint="eastAsia" w:eastAsia="仿宋_GB2312"/>
          <w:sz w:val="24"/>
        </w:rPr>
        <w:t>的违约金，并承担守约方全部损失，包括但不限于守约方因主张权利而发生的保全费、律师费、诉讼费等费用。</w:t>
      </w:r>
    </w:p>
    <w:p>
      <w:pPr>
        <w:adjustRightInd w:val="0"/>
        <w:snapToGrid w:val="0"/>
        <w:spacing w:line="360" w:lineRule="auto"/>
        <w:ind w:firstLine="480" w:firstLineChars="200"/>
        <w:rPr>
          <w:rFonts w:eastAsia="仿宋_GB2312"/>
          <w:sz w:val="24"/>
        </w:rPr>
      </w:pPr>
      <w:r>
        <w:rPr>
          <w:rFonts w:eastAsia="仿宋_GB2312"/>
          <w:sz w:val="24"/>
        </w:rPr>
        <w:t>2、乙方履约延误</w:t>
      </w:r>
    </w:p>
    <w:p>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或对乙方加收误期赔偿金。每延误一周的赔偿费按合同金额的百分之零点五（0.5%）计收，直至提供服务为止。误期赔偿费的最高限额为合同价格的百分之五（5%）。一旦达到误期赔偿费的最高限额，甲方可终止合同。</w:t>
      </w:r>
    </w:p>
    <w:p>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pPr>
        <w:adjustRightInd w:val="0"/>
        <w:snapToGrid w:val="0"/>
        <w:spacing w:line="360" w:lineRule="auto"/>
        <w:ind w:firstLine="480" w:firstLineChars="200"/>
        <w:rPr>
          <w:rFonts w:eastAsia="仿宋_GB2312"/>
          <w:sz w:val="24"/>
        </w:rPr>
      </w:pPr>
      <w:bookmarkStart w:id="7" w:name="_Toc19515393"/>
      <w:r>
        <w:rPr>
          <w:rFonts w:eastAsia="仿宋_GB2312"/>
          <w:sz w:val="24"/>
        </w:rPr>
        <w:t>八、合同组成</w:t>
      </w:r>
      <w:bookmarkEnd w:id="7"/>
    </w:p>
    <w:p>
      <w:pPr>
        <w:adjustRightInd w:val="0"/>
        <w:snapToGrid w:val="0"/>
        <w:spacing w:line="360" w:lineRule="auto"/>
        <w:ind w:firstLine="480" w:firstLineChars="200"/>
        <w:rPr>
          <w:rFonts w:eastAsia="仿宋_GB2312"/>
          <w:sz w:val="24"/>
        </w:rPr>
      </w:pPr>
      <w:r>
        <w:rPr>
          <w:rFonts w:eastAsia="仿宋_GB2312"/>
          <w:sz w:val="24"/>
        </w:rPr>
        <w:t>1、</w:t>
      </w:r>
      <w:r>
        <w:rPr>
          <w:rFonts w:hint="eastAsia" w:eastAsia="仿宋_GB2312"/>
          <w:sz w:val="24"/>
        </w:rPr>
        <w:t>成交</w:t>
      </w:r>
      <w:r>
        <w:rPr>
          <w:rFonts w:eastAsia="仿宋_GB2312"/>
          <w:sz w:val="24"/>
        </w:rPr>
        <w:t>通知书</w:t>
      </w:r>
    </w:p>
    <w:p>
      <w:pPr>
        <w:adjustRightInd w:val="0"/>
        <w:snapToGrid w:val="0"/>
        <w:spacing w:line="360" w:lineRule="auto"/>
        <w:ind w:firstLine="480" w:firstLineChars="200"/>
        <w:rPr>
          <w:rFonts w:eastAsia="仿宋_GB2312"/>
          <w:sz w:val="24"/>
        </w:rPr>
      </w:pPr>
      <w:r>
        <w:rPr>
          <w:rFonts w:eastAsia="仿宋_GB2312"/>
          <w:sz w:val="24"/>
        </w:rPr>
        <w:t>2、合同文件</w:t>
      </w:r>
    </w:p>
    <w:p>
      <w:pPr>
        <w:adjustRightInd w:val="0"/>
        <w:snapToGrid w:val="0"/>
        <w:spacing w:line="360" w:lineRule="auto"/>
        <w:ind w:firstLine="480" w:firstLineChars="200"/>
        <w:rPr>
          <w:rFonts w:eastAsia="仿宋_GB2312"/>
          <w:sz w:val="24"/>
        </w:rPr>
      </w:pPr>
      <w:r>
        <w:rPr>
          <w:rFonts w:eastAsia="仿宋_GB2312"/>
          <w:sz w:val="24"/>
        </w:rPr>
        <w:t>3、国家相关规范及标准</w:t>
      </w:r>
    </w:p>
    <w:p>
      <w:pPr>
        <w:adjustRightInd w:val="0"/>
        <w:snapToGrid w:val="0"/>
        <w:spacing w:line="360" w:lineRule="auto"/>
        <w:ind w:firstLine="480" w:firstLineChars="200"/>
        <w:rPr>
          <w:rFonts w:eastAsia="仿宋_GB2312"/>
          <w:sz w:val="24"/>
        </w:rPr>
      </w:pPr>
      <w:r>
        <w:rPr>
          <w:rFonts w:eastAsia="仿宋_GB2312"/>
          <w:sz w:val="24"/>
        </w:rPr>
        <w:t>4、</w:t>
      </w:r>
      <w:r>
        <w:rPr>
          <w:rFonts w:hint="eastAsia" w:eastAsia="仿宋_GB2312"/>
          <w:sz w:val="24"/>
        </w:rPr>
        <w:t>竞争性磋商文件</w:t>
      </w:r>
    </w:p>
    <w:p>
      <w:pPr>
        <w:adjustRightInd w:val="0"/>
        <w:snapToGrid w:val="0"/>
        <w:spacing w:line="360" w:lineRule="auto"/>
        <w:ind w:firstLine="480" w:firstLineChars="200"/>
        <w:rPr>
          <w:rFonts w:eastAsia="仿宋_GB2312"/>
          <w:sz w:val="24"/>
        </w:rPr>
      </w:pPr>
      <w:r>
        <w:rPr>
          <w:rFonts w:eastAsia="仿宋_GB2312"/>
          <w:sz w:val="24"/>
        </w:rPr>
        <w:t>5、</w:t>
      </w:r>
      <w:r>
        <w:rPr>
          <w:rFonts w:hint="eastAsia" w:eastAsia="仿宋_GB2312"/>
          <w:sz w:val="24"/>
        </w:rPr>
        <w:t>成交供应商的响应</w:t>
      </w:r>
      <w:r>
        <w:rPr>
          <w:rFonts w:eastAsia="仿宋_GB2312"/>
          <w:sz w:val="24"/>
        </w:rPr>
        <w:t>文件</w:t>
      </w:r>
    </w:p>
    <w:p>
      <w:pPr>
        <w:adjustRightInd w:val="0"/>
        <w:snapToGrid w:val="0"/>
        <w:spacing w:line="360" w:lineRule="auto"/>
        <w:ind w:firstLine="480" w:firstLineChars="200"/>
        <w:rPr>
          <w:rFonts w:eastAsia="仿宋_GB2312"/>
          <w:sz w:val="24"/>
        </w:rPr>
      </w:pPr>
      <w:bookmarkStart w:id="8" w:name="_Toc19515394"/>
      <w:r>
        <w:rPr>
          <w:rFonts w:hint="eastAsia" w:eastAsia="仿宋_GB2312"/>
          <w:sz w:val="24"/>
        </w:rPr>
        <w:t>九</w:t>
      </w:r>
      <w:r>
        <w:rPr>
          <w:rFonts w:eastAsia="仿宋_GB2312"/>
          <w:sz w:val="24"/>
        </w:rPr>
        <w:t>、解决争议的方法</w:t>
      </w:r>
      <w:bookmarkEnd w:id="8"/>
    </w:p>
    <w:p>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凡因本合同引起的或与本合同有关的争议，双方应友好协商解决。协商不成时，双方均同意采用以下第（）种争议解决方式：</w:t>
      </w:r>
    </w:p>
    <w:p>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eastAsia="仿宋_GB2312"/>
          <w:kern w:val="0"/>
          <w:sz w:val="24"/>
        </w:rPr>
        <w:t>、甲、乙双方均同意向（甲方所在地人民法院）提起诉讼。</w:t>
      </w:r>
    </w:p>
    <w:p>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eastAsia="仿宋_GB2312"/>
          <w:kern w:val="0"/>
          <w:sz w:val="24"/>
        </w:rPr>
        <w:t>、甲、乙双方均同意向（</w:t>
      </w:r>
      <w:r>
        <w:rPr>
          <w:rFonts w:hint="eastAsia" w:eastAsia="仿宋_GB2312"/>
          <w:kern w:val="0"/>
          <w:sz w:val="24"/>
        </w:rPr>
        <w:t>西安市</w:t>
      </w:r>
      <w:r>
        <w:fldChar w:fldCharType="begin"/>
      </w:r>
      <w:r>
        <w:instrText xml:space="preserve"> HYPERLINK "http://www.baidu.com/s?wd=%E4%BB%B2%E8%A3%81%E5%A7%94%E5%91%98%E4%BC%9A&amp;tn=SE_PcZhidaonwhc_ngpagmjz&amp;rsv_dl=gh_pc_zhidao" \t "_blank" </w:instrText>
      </w:r>
      <w: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pPr>
        <w:adjustRightInd w:val="0"/>
        <w:snapToGrid w:val="0"/>
        <w:spacing w:line="360" w:lineRule="auto"/>
        <w:ind w:firstLine="480" w:firstLineChars="200"/>
        <w:rPr>
          <w:rFonts w:eastAsia="仿宋_GB2312"/>
          <w:sz w:val="24"/>
        </w:rPr>
      </w:pPr>
      <w:bookmarkStart w:id="9" w:name="_Toc19515395"/>
      <w:r>
        <w:rPr>
          <w:rFonts w:eastAsia="仿宋_GB2312"/>
          <w:sz w:val="24"/>
        </w:rPr>
        <w:t>十、合同生效及其它</w:t>
      </w:r>
      <w:bookmarkEnd w:id="9"/>
    </w:p>
    <w:p>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2、本合同正本一式份，甲方、乙方双方分别执份，备案份。</w:t>
      </w:r>
    </w:p>
    <w:p>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p>
    <w:p>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4、生效时间：年月日</w:t>
      </w:r>
    </w:p>
    <w:p>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3"/>
        <w:tblW w:w="0" w:type="auto"/>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noWrap w:val="0"/>
            <w:vAlign w:val="top"/>
          </w:tcPr>
          <w:p>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hint="eastAsia" w:eastAsia="仿宋_GB2312"/>
                <w:kern w:val="0"/>
                <w:sz w:val="24"/>
              </w:rPr>
              <w:t>：</w:t>
            </w:r>
          </w:p>
          <w:p>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noWrap w:val="0"/>
            <w:vAlign w:val="top"/>
          </w:tcPr>
          <w:p>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hint="eastAsia" w:eastAsia="仿宋_GB2312"/>
                <w:kern w:val="0"/>
                <w:sz w:val="24"/>
              </w:rPr>
              <w:t>：</w:t>
            </w:r>
          </w:p>
          <w:p>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NzVmNmVkN2I3ZmQ2OTRlNmFjNGJhZTI1NzQ0MWUifQ=="/>
  </w:docVars>
  <w:rsids>
    <w:rsidRoot w:val="00000000"/>
    <w:rsid w:val="39931C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5">
    <w:name w:val="标题 1 Char1"/>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2024-07-18T15:35:18Z</dcterms:created>
  <dc:creator>YDD</dc:creator>
  <cp:lastModifiedBy>陕西中技招标有限公司</cp:lastModifiedBy>
  <dcterms:modified xsi:type="dcterms:W3CDTF">2024-07-18T15:35:30Z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E4F4821852EA48CCABB614EDC25DBA02_12</vt:lpwstr>
  </property>
</Properties>
</file>