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移动办公系统升级扩容及运维服务项目(二次)</w:t>
      </w:r>
    </w:p>
    <w:p>
      <w:pPr>
        <w:pStyle w:val="null3"/>
        <w:jc w:val="center"/>
        <w:outlineLvl w:val="2"/>
      </w:pPr>
      <w:r>
        <w:rPr>
          <w:sz w:val="28"/>
          <w:b/>
        </w:rPr>
        <w:t>采购项目编号：</w:t>
      </w:r>
      <w:r>
        <w:rPr>
          <w:sz w:val="28"/>
          <w:b/>
        </w:rPr>
        <w:t>SZT2024-SN-XC-ZC-FW-0512</w:t>
      </w:r>
      <w:r>
        <w:br/>
      </w:r>
      <w:r>
        <w:br/>
      </w:r>
      <w:r>
        <w:br/>
      </w:r>
    </w:p>
    <w:p>
      <w:pPr>
        <w:pStyle w:val="null3"/>
        <w:jc w:val="center"/>
        <w:outlineLvl w:val="2"/>
      </w:pPr>
      <w:r>
        <w:rPr>
          <w:sz w:val="28"/>
          <w:b/>
        </w:rPr>
        <w:t>西安市医疗保障局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西安市医疗保障局</w:t>
      </w:r>
      <w:r>
        <w:rPr/>
        <w:t>委托，拟对</w:t>
      </w:r>
      <w:r>
        <w:rPr/>
        <w:t>移动办公系统升级扩容及运维服务项目(二次)</w:t>
      </w:r>
      <w:r>
        <w:rPr/>
        <w:t>采用竞争性磋商采购方式进行采购，兹邀请供应商参加本项目的竞争性磋商。</w:t>
      </w:r>
    </w:p>
    <w:p>
      <w:pPr>
        <w:pStyle w:val="null3"/>
        <w:outlineLvl w:val="2"/>
      </w:pPr>
      <w:r>
        <w:rPr>
          <w:sz w:val="28"/>
          <w:b/>
        </w:rPr>
        <w:t>一、项目编号：</w:t>
      </w:r>
      <w:r>
        <w:rPr>
          <w:sz w:val="28"/>
          <w:b/>
        </w:rPr>
        <w:t>SZT2024-SN-XC-ZC-FW-0512</w:t>
      </w:r>
    </w:p>
    <w:p>
      <w:pPr>
        <w:pStyle w:val="null3"/>
        <w:outlineLvl w:val="2"/>
      </w:pPr>
      <w:r>
        <w:rPr>
          <w:sz w:val="28"/>
          <w:b/>
        </w:rPr>
        <w:t>二、项目名称：</w:t>
      </w:r>
      <w:r>
        <w:rPr>
          <w:sz w:val="28"/>
          <w:b/>
        </w:rPr>
        <w:t>移动办公系统升级扩容及运维服务项目(二次)</w:t>
      </w:r>
    </w:p>
    <w:p>
      <w:pPr>
        <w:pStyle w:val="null3"/>
        <w:outlineLvl w:val="2"/>
      </w:pPr>
      <w:r>
        <w:rPr>
          <w:sz w:val="28"/>
          <w:b/>
        </w:rPr>
        <w:t>三、磋商项目简介</w:t>
      </w:r>
    </w:p>
    <w:p>
      <w:pPr>
        <w:pStyle w:val="null3"/>
        <w:ind w:firstLine="480"/>
      </w:pPr>
      <w:r>
        <w:rPr/>
        <w:t>移动办公系统升级扩容及运维服务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采购包1（移动办公系统升级扩容及运维服务）：属于专门面向中小企业采购。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磋商全过程，其中法定代表人直接参加，须出具法定代表人身份证，并与营业执照上信息一致。法定代表人授权代表参加磋商的，须出具法定代表人授权书及授权代表身份证</w:t>
      </w:r>
    </w:p>
    <w:p>
      <w:pPr>
        <w:pStyle w:val="null3"/>
      </w:pPr>
      <w:r>
        <w:rPr/>
        <w:t>2、本项目不接受联合体投标：本项目不接受联合体投标，（投标主体为单一供应商，无需提供声明函）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西安市医疗保障局</w:t>
      </w:r>
    </w:p>
    <w:p>
      <w:pPr>
        <w:pStyle w:val="null3"/>
      </w:pPr>
      <w:r>
        <w:rPr/>
        <w:t xml:space="preserve"> 地址： </w:t>
      </w:r>
      <w:r>
        <w:rPr/>
        <w:t>凤城八路109号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029-86787579</w:t>
      </w:r>
    </w:p>
    <w:p>
      <w:pPr>
        <w:pStyle w:val="null3"/>
        <w:outlineLvl w:val="3"/>
      </w:pPr>
      <w:r>
        <w:rPr>
          <w:sz w:val="24"/>
          <w:b/>
        </w:rPr>
        <w:t>代理机构：</w:t>
      </w:r>
      <w:r>
        <w:rPr>
          <w:sz w:val="24"/>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 xml:space="preserve"> 029-88364979-807</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见国家计委颁布的《招标代理服务费收费管理暂行办法》（计价格[2002]1980号）中服务的收费标准，按照成交金额差额定率累进法计算收取（不足人民币肆仟元按肆仟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西安市医疗保障局</w:t>
      </w:r>
      <w:r>
        <w:rPr/>
        <w:t>和</w:t>
      </w:r>
      <w:r>
        <w:rPr/>
        <w:t>陕西中技招标有限公司</w:t>
      </w:r>
      <w:r>
        <w:rPr/>
        <w:t>享有。对磋商文件中供应商参加本次政府采购活动应当具备的条件，磋商项目技术、服务、商务及其他要求，评审细则及标准由</w:t>
      </w:r>
      <w:r>
        <w:rPr/>
        <w:t>西安市医疗保障局</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西安市医疗保障局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按照磋商文件及合同约定执行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移动办公系统升级扩容及运维服务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480,000.00</w:t>
      </w:r>
    </w:p>
    <w:p>
      <w:pPr>
        <w:pStyle w:val="null3"/>
      </w:pPr>
      <w:r>
        <w:rPr/>
        <w:t>采购包最高限价（元）: 480,000.00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移动办公系统升级扩容运维服务</w:t>
            </w:r>
          </w:p>
        </w:tc>
        <w:tc>
          <w:tcPr>
            <w:tcW w:type="dxa" w:w="831"/>
          </w:tcPr>
          <w:p>
            <w:pPr>
              <w:pStyle w:val="null3"/>
              <w:jc w:val="right"/>
            </w:pPr>
            <w:r>
              <w:rPr/>
              <w:t>1.00</w:t>
            </w:r>
          </w:p>
        </w:tc>
        <w:tc>
          <w:tcPr>
            <w:tcW w:type="dxa" w:w="831"/>
          </w:tcPr>
          <w:p>
            <w:pPr>
              <w:pStyle w:val="null3"/>
              <w:jc w:val="right"/>
            </w:pPr>
            <w:r>
              <w:rPr/>
              <w:t>480,000.00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标的名称：移动办公系统升级扩容运维服务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single"/>
                <w:left w:val="single"/>
                <w:bottom w:val="single"/>
                <w:right w:val="single"/>
                <w:insideH w:val="single"/>
                <w:insideV w:val="single"/>
              </w:tblBorders>
            </w:tblPr>
            <w:tblGrid>
              <w:gridCol w:w="133"/>
              <w:gridCol w:w="365"/>
              <w:gridCol w:w="365"/>
              <w:gridCol w:w="1690"/>
              <w:gridCol w:w="0"/>
            </w:tblGrid>
            <w:tr>
              <w:tc>
                <w:tcPr>
                  <w:tcW w:type="dxa" w:w="133"/>
                  <w:vMerge w:val="restart"/>
                  <w:tcBorders>
                    <w:top w:val="single" w:color="000000" w:sz="4"/>
                    <w:left w:val="single" w:color="000000" w:sz="4"/>
                    <w:bottom w:val="single" w:color="000000" w:sz="4"/>
                    <w:right w:val="single" w:color="000000" w:sz="4"/>
                  </w:tcBorders>
                  <w:shd w:fill="BFBFBF"/>
                  <w:tcMar>
                    <w:top w:type="dxa" w:w="10"/>
                    <w:left w:type="dxa" w:w="10"/>
                    <w:bottom w:type="dxa" w:w="0"/>
                    <w:right w:type="dxa" w:w="10"/>
                  </w:tcMar>
                </w:tcPr>
                <w:p>
                  <w:pPr>
                    <w:pStyle w:val="null3"/>
                    <w:spacing w:before="150"/>
                    <w:jc w:val="center"/>
                  </w:pPr>
                  <w:r>
                    <w:rPr>
                      <w:rFonts w:ascii="宋体" w:hAnsi="宋体" w:cs="宋体" w:eastAsia="宋体"/>
                      <w:sz w:val="24"/>
                      <w:b/>
                    </w:rPr>
                    <w:t>序号</w:t>
                  </w:r>
                </w:p>
              </w:tc>
              <w:tc>
                <w:tcPr>
                  <w:tcW w:type="dxa" w:w="365"/>
                  <w:vMerge w:val="restart"/>
                  <w:tcBorders>
                    <w:top w:val="single" w:color="000000" w:sz="4"/>
                    <w:left w:val="none" w:color="000000" w:sz="4"/>
                    <w:bottom w:val="single" w:color="000000" w:sz="4"/>
                    <w:right w:val="single" w:color="000000" w:sz="4"/>
                  </w:tcBorders>
                  <w:shd w:fill="BFBFBF"/>
                  <w:tcMar>
                    <w:top w:type="dxa" w:w="10"/>
                    <w:left w:type="dxa" w:w="10"/>
                    <w:bottom w:type="dxa" w:w="0"/>
                    <w:right w:type="dxa" w:w="10"/>
                  </w:tcMar>
                </w:tcPr>
                <w:p>
                  <w:pPr>
                    <w:pStyle w:val="null3"/>
                    <w:spacing w:before="150"/>
                    <w:jc w:val="center"/>
                  </w:pPr>
                  <w:r>
                    <w:rPr>
                      <w:rFonts w:ascii="宋体" w:hAnsi="宋体" w:cs="宋体" w:eastAsia="宋体"/>
                      <w:sz w:val="24"/>
                      <w:b/>
                    </w:rPr>
                    <w:t>分类</w:t>
                  </w:r>
                </w:p>
              </w:tc>
              <w:tc>
                <w:tcPr>
                  <w:tcW w:type="dxa" w:w="365"/>
                  <w:vMerge w:val="restart"/>
                  <w:tcBorders>
                    <w:top w:val="single" w:color="000000" w:sz="4"/>
                    <w:left w:val="none" w:color="000000" w:sz="4"/>
                    <w:bottom w:val="single" w:color="000000" w:sz="4"/>
                    <w:right w:val="single" w:color="000000" w:sz="4"/>
                  </w:tcBorders>
                  <w:shd w:fill="BFBFBF"/>
                  <w:tcMar>
                    <w:top w:type="dxa" w:w="10"/>
                    <w:left w:type="dxa" w:w="10"/>
                    <w:bottom w:type="dxa" w:w="0"/>
                    <w:right w:type="dxa" w:w="10"/>
                  </w:tcMar>
                </w:tcPr>
                <w:p>
                  <w:pPr>
                    <w:pStyle w:val="null3"/>
                    <w:spacing w:before="150"/>
                    <w:jc w:val="center"/>
                  </w:pPr>
                  <w:r>
                    <w:rPr>
                      <w:rFonts w:ascii="宋体" w:hAnsi="宋体" w:cs="宋体" w:eastAsia="宋体"/>
                      <w:sz w:val="24"/>
                      <w:b/>
                    </w:rPr>
                    <w:t>功能</w:t>
                  </w:r>
                </w:p>
              </w:tc>
              <w:tc>
                <w:tcPr>
                  <w:tcW w:type="dxa" w:w="1690"/>
                  <w:vMerge w:val="restart"/>
                  <w:tcBorders>
                    <w:top w:val="single" w:color="000000" w:sz="4"/>
                    <w:left w:val="none" w:color="000000" w:sz="4"/>
                    <w:bottom w:val="single" w:color="000000" w:sz="4"/>
                    <w:right w:val="single" w:color="000000" w:sz="4"/>
                  </w:tcBorders>
                  <w:shd w:fill="BFBFBF"/>
                  <w:tcMar>
                    <w:top w:type="dxa" w:w="10"/>
                    <w:left w:type="dxa" w:w="10"/>
                    <w:bottom w:type="dxa" w:w="0"/>
                    <w:right w:type="dxa" w:w="10"/>
                  </w:tcMar>
                </w:tcPr>
                <w:p>
                  <w:pPr>
                    <w:pStyle w:val="null3"/>
                    <w:spacing w:before="150"/>
                    <w:jc w:val="center"/>
                  </w:pPr>
                  <w:r>
                    <w:rPr>
                      <w:rFonts w:ascii="宋体" w:hAnsi="宋体" w:cs="宋体" w:eastAsia="宋体"/>
                      <w:sz w:val="24"/>
                      <w:b/>
                    </w:rPr>
                    <w:t>主要的技术参数</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3"/>
                  <w:vMerge/>
                  <w:tcBorders>
                    <w:top w:val="single" w:color="000000" w:sz="4"/>
                    <w:left w:val="singl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c>
                <w:tcPr>
                  <w:tcW w:type="dxa" w:w="1690"/>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3"/>
                  <w:tcBorders>
                    <w:top w:val="none" w:color="000000" w:sz="4"/>
                    <w:left w:val="single" w:color="000000" w:sz="4"/>
                    <w:bottom w:val="single" w:color="000000" w:sz="4"/>
                    <w:right w:val="single" w:color="000000" w:sz="4"/>
                  </w:tcBorders>
                  <w:tcMar>
                    <w:top w:type="dxa" w:w="10"/>
                    <w:left w:type="dxa" w:w="10"/>
                    <w:bottom w:type="dxa" w:w="0"/>
                    <w:right w:type="dxa" w:w="10"/>
                  </w:tcMar>
                </w:tcPr>
                <w:p>
                  <w:pPr>
                    <w:pStyle w:val="null3"/>
                    <w:spacing w:before="150"/>
                    <w:jc w:val="center"/>
                  </w:pPr>
                  <w:r>
                    <w:rPr>
                      <w:rFonts w:ascii="宋体" w:hAnsi="宋体" w:cs="宋体" w:eastAsia="宋体"/>
                      <w:sz w:val="24"/>
                    </w:rPr>
                    <w:t>1</w:t>
                  </w:r>
                </w:p>
              </w:tc>
              <w:tc>
                <w:tcPr>
                  <w:tcW w:type="dxa" w:w="365"/>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整合下属单位业务</w:t>
                  </w:r>
                </w:p>
              </w:tc>
              <w:tc>
                <w:tcPr>
                  <w:tcW w:type="dxa" w:w="365"/>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p>
              </w:tc>
              <w:tc>
                <w:tcPr>
                  <w:tcW w:type="dxa" w:w="1690"/>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jc w:val="both"/>
                  </w:pPr>
                  <w:r>
                    <w:rPr>
                      <w:rFonts w:ascii="宋体" w:hAnsi="宋体" w:cs="宋体" w:eastAsia="宋体"/>
                      <w:sz w:val="24"/>
                    </w:rPr>
                    <w:t>进一步整合我局、市医保经办服务中心、市医保基金管理中心三个单位的业务，将下属单位的业务全面纳入移动办公系统，实现业务的无缝对接和高效协同。</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3"/>
                  <w:vMerge w:val="restart"/>
                  <w:tcBorders>
                    <w:top w:val="none" w:color="000000" w:sz="4"/>
                    <w:left w:val="single" w:color="000000" w:sz="4"/>
                    <w:bottom w:val="single" w:color="000000" w:sz="4"/>
                    <w:right w:val="single" w:color="000000" w:sz="4"/>
                  </w:tcBorders>
                  <w:tcMar>
                    <w:top w:type="dxa" w:w="10"/>
                    <w:left w:type="dxa" w:w="10"/>
                    <w:bottom w:type="dxa" w:w="0"/>
                    <w:right w:type="dxa" w:w="10"/>
                  </w:tcMar>
                </w:tcPr>
                <w:p>
                  <w:pPr>
                    <w:pStyle w:val="null3"/>
                    <w:spacing w:before="150"/>
                    <w:jc w:val="center"/>
                  </w:pPr>
                  <w:r>
                    <w:rPr>
                      <w:rFonts w:ascii="宋体" w:hAnsi="宋体" w:cs="宋体" w:eastAsia="宋体"/>
                      <w:sz w:val="24"/>
                    </w:rPr>
                    <w:t>2</w:t>
                  </w:r>
                </w:p>
              </w:tc>
              <w:tc>
                <w:tcPr>
                  <w:tcW w:type="dxa" w:w="365"/>
                  <w:vMerge w:val="restart"/>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系统功能升级</w:t>
                  </w:r>
                </w:p>
              </w:tc>
              <w:tc>
                <w:tcPr>
                  <w:tcW w:type="dxa" w:w="365"/>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文件在线编辑</w:t>
                  </w:r>
                </w:p>
              </w:tc>
              <w:tc>
                <w:tcPr>
                  <w:tcW w:type="dxa" w:w="1690"/>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实现文件的在线免插件编辑和阅读，同时移动端也将支持在线编辑功能。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3"/>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档案管理功能</w:t>
                  </w:r>
                </w:p>
              </w:tc>
              <w:tc>
                <w:tcPr>
                  <w:tcW w:type="dxa" w:w="1690"/>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对系统中的收文、发文、会议类流程数据进行电子化档案管理，并提供线上档案预归档、整理、归档等操作。同时，将按照西安市档案馆相关标准在线生成电子档案包，实现电子档案的离线移交。</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3"/>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全文检索功能</w:t>
                  </w:r>
                </w:p>
              </w:tc>
              <w:tc>
                <w:tcPr>
                  <w:tcW w:type="dxa" w:w="1690"/>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通过关键字快速定位系统中的数据，包括流程数据、表单数据、批示数据、正文及附件等，大幅提高信息查询效率。</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3"/>
                  <w:vMerge w:val="restart"/>
                  <w:tcBorders>
                    <w:top w:val="none" w:color="000000" w:sz="4"/>
                    <w:left w:val="single" w:color="000000" w:sz="4"/>
                    <w:bottom w:val="single" w:color="000000" w:sz="4"/>
                    <w:right w:val="single" w:color="000000" w:sz="4"/>
                  </w:tcBorders>
                  <w:tcMar>
                    <w:top w:type="dxa" w:w="10"/>
                    <w:left w:type="dxa" w:w="10"/>
                    <w:bottom w:type="dxa" w:w="0"/>
                    <w:right w:type="dxa" w:w="10"/>
                  </w:tcMar>
                </w:tcPr>
                <w:p>
                  <w:pPr>
                    <w:pStyle w:val="null3"/>
                    <w:spacing w:before="150"/>
                    <w:jc w:val="center"/>
                  </w:pPr>
                  <w:r>
                    <w:rPr>
                      <w:rFonts w:ascii="宋体" w:hAnsi="宋体" w:cs="宋体" w:eastAsia="宋体"/>
                      <w:sz w:val="24"/>
                    </w:rPr>
                    <w:t>3</w:t>
                  </w:r>
                </w:p>
              </w:tc>
              <w:tc>
                <w:tcPr>
                  <w:tcW w:type="dxa" w:w="365"/>
                  <w:vMerge w:val="restart"/>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系统运维服务</w:t>
                  </w:r>
                </w:p>
              </w:tc>
              <w:tc>
                <w:tcPr>
                  <w:tcW w:type="dxa" w:w="365"/>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运行维护</w:t>
                  </w:r>
                </w:p>
              </w:tc>
              <w:tc>
                <w:tcPr>
                  <w:tcW w:type="dxa" w:w="1690"/>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针对用户使用意见，提供代码级修改，沟通研发并做好系统升级和备份工作。</w:t>
                  </w:r>
                  <w:r>
                    <w:br/>
                  </w:r>
                  <w:r>
                    <w:rPr>
                      <w:rFonts w:ascii="宋体" w:hAnsi="宋体" w:cs="宋体" w:eastAsia="宋体"/>
                      <w:sz w:val="24"/>
                    </w:rPr>
                    <w:t xml:space="preserve"> 负责系统在使用过程中改动和维护，根据我单位人员变更、单位业务流程变更，对系统进行二次开发的功能点调整，由原厂家进行运维维护，项目实施可行。</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3"/>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系统安全保障</w:t>
                  </w:r>
                </w:p>
              </w:tc>
              <w:tc>
                <w:tcPr>
                  <w:tcW w:type="dxa" w:w="1690"/>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针对网信部门、公安部门、数据局、等保测评机构等单位发现的安全漏洞进行修复，确保符合国家信息化安全要求。</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3"/>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组织机构维护</w:t>
                  </w:r>
                </w:p>
              </w:tc>
              <w:tc>
                <w:tcPr>
                  <w:tcW w:type="dxa" w:w="1690"/>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负责本单位组织机构运维服务，提供单位管理员增、删、改、查，用户日常权限配置修改，密码重置等工作。</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3"/>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业务监控</w:t>
                  </w:r>
                </w:p>
              </w:tc>
              <w:tc>
                <w:tcPr>
                  <w:tcW w:type="dxa" w:w="1690"/>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维护系统的正常运行，对系统进行业务监控。负责系统日常巡检工作，提供日、周、月三个维度的巡检规范，出具巡检报告。</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3"/>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系统备份</w:t>
                  </w:r>
                </w:p>
              </w:tc>
              <w:tc>
                <w:tcPr>
                  <w:tcW w:type="dxa" w:w="1690"/>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系统主动备份，按照周、月进行数据增量备份和全量备份。</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33"/>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系统培训</w:t>
                  </w:r>
                </w:p>
              </w:tc>
              <w:tc>
                <w:tcPr>
                  <w:tcW w:type="dxa" w:w="1690"/>
                  <w:tcBorders>
                    <w:top w:val="none" w:color="000000" w:sz="4"/>
                    <w:left w:val="none" w:color="000000" w:sz="4"/>
                    <w:bottom w:val="single" w:color="000000" w:sz="4"/>
                    <w:right w:val="single" w:color="000000" w:sz="4"/>
                  </w:tcBorders>
                  <w:tcMar>
                    <w:top w:type="dxa" w:w="10"/>
                    <w:left w:type="dxa" w:w="10"/>
                    <w:bottom w:type="dxa" w:w="0"/>
                    <w:right w:type="dxa" w:w="10"/>
                  </w:tcMar>
                </w:tcPr>
                <w:p>
                  <w:pPr>
                    <w:pStyle w:val="null3"/>
                    <w:spacing w:before="150"/>
                    <w:jc w:val="both"/>
                  </w:pPr>
                  <w:r>
                    <w:rPr>
                      <w:rFonts w:ascii="宋体" w:hAnsi="宋体" w:cs="宋体" w:eastAsia="宋体"/>
                      <w:sz w:val="24"/>
                    </w:rPr>
                    <w:t>用户培训服务，在项目维护期内对客户技术人员提供必要的技术培训；对客户工作人员提供必要的用户操作培训。</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pPr>
            <w:r>
              <w:rPr/>
              <w:t xml:space="preserve"> </w:t>
            </w:r>
          </w:p>
          <w:p>
            <w:pPr>
              <w:pStyle w:val="null3"/>
              <w:ind w:firstLine="643"/>
              <w:jc w:val="left"/>
            </w:pPr>
            <w:r>
              <w:rPr>
                <w:rFonts w:ascii="仿宋_gb2312" w:hAnsi="仿宋_gb2312" w:cs="仿宋_gb2312" w:eastAsia="仿宋_gb2312"/>
                <w:sz w:val="18"/>
                <w:b/>
              </w:rPr>
              <w:t>项目要求</w:t>
            </w:r>
          </w:p>
          <w:p>
            <w:pPr>
              <w:pStyle w:val="null3"/>
              <w:numPr>
                <w:ilvl w:val="0"/>
                <w:numId w:val="1"/>
              </w:numPr>
              <w:jc w:val="left"/>
            </w:pPr>
            <w:r>
              <w:rPr>
                <w:rFonts w:ascii="仿宋_gb2312" w:hAnsi="仿宋_gb2312" w:cs="仿宋_gb2312" w:eastAsia="仿宋_gb2312"/>
                <w:sz w:val="18"/>
              </w:rPr>
              <w:t>服务期内：确保系统正常、稳定运行；</w:t>
            </w:r>
          </w:p>
          <w:p>
            <w:pPr>
              <w:pStyle w:val="null3"/>
              <w:numPr>
                <w:ilvl w:val="0"/>
                <w:numId w:val="1"/>
              </w:numPr>
              <w:jc w:val="left"/>
            </w:pPr>
            <w:r>
              <w:rPr>
                <w:rFonts w:ascii="仿宋_gb2312" w:hAnsi="仿宋_gb2312" w:cs="仿宋_gb2312" w:eastAsia="仿宋_gb2312"/>
                <w:sz w:val="18"/>
              </w:rPr>
              <w:t>服务期内：提供</w:t>
            </w:r>
            <w:r>
              <w:rPr>
                <w:rFonts w:ascii="仿宋_gb2312" w:hAnsi="仿宋_gb2312" w:cs="仿宋_gb2312" w:eastAsia="仿宋_gb2312"/>
                <w:sz w:val="18"/>
              </w:rPr>
              <w:t>7*24 小时应急服务，一般故障应在 30分钟内排除故障，重大故障应在 1小时内抵达现场，确保系统正常运行。</w:t>
            </w:r>
          </w:p>
        </w:tc>
      </w:tr>
    </w:tbl>
    <w:p>
      <w:pPr>
        <w:pStyle w:val="null3"/>
        <w:outlineLvl w:val="2"/>
      </w:pPr>
      <w:r>
        <w:rPr>
          <w:sz w:val="28"/>
          <w:b/>
        </w:rPr>
        <w:t>3.2.3人员配置要求</w:t>
      </w:r>
    </w:p>
    <w:p>
      <w:pPr>
        <w:pStyle w:val="null3"/>
      </w:pPr>
      <w:r>
        <w:rPr/>
        <w:t>采购包1：</w:t>
      </w:r>
    </w:p>
    <w:p>
      <w:pPr>
        <w:pStyle w:val="null3"/>
      </w:pPr>
      <w:r>
        <w:rPr/>
        <w:t>详见采购内容及要求。</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2024年10月31日前完成合同约定</w:t>
      </w:r>
    </w:p>
    <w:p>
      <w:pPr>
        <w:pStyle w:val="null3"/>
        <w:outlineLvl w:val="3"/>
      </w:pPr>
      <w:r>
        <w:rPr>
          <w:sz w:val="24"/>
          <w:b/>
        </w:rPr>
        <w:t>3.3.2服务地点</w:t>
      </w:r>
    </w:p>
    <w:p>
      <w:pPr>
        <w:pStyle w:val="null3"/>
      </w:pPr>
      <w:r>
        <w:rPr/>
        <w:t>采购包1：</w:t>
      </w:r>
    </w:p>
    <w:p>
      <w:pPr>
        <w:pStyle w:val="null3"/>
      </w:pPr>
      <w:r>
        <w:rPr/>
        <w:t>西安市医疗保障局</w:t>
      </w:r>
    </w:p>
    <w:p>
      <w:pPr>
        <w:pStyle w:val="null3"/>
        <w:outlineLvl w:val="3"/>
      </w:pPr>
      <w:r>
        <w:rPr>
          <w:sz w:val="24"/>
          <w:b/>
        </w:rPr>
        <w:t>3.3.3考核（验收）标准和方法</w:t>
      </w:r>
    </w:p>
    <w:p>
      <w:pPr>
        <w:pStyle w:val="null3"/>
      </w:pPr>
      <w:r>
        <w:rPr/>
        <w:t>采购包1：</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升级扩容完成并验收合格后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运行满1年后支付10%</w:t>
      </w:r>
      <w:r>
        <w:rPr/>
        <w:t xml:space="preserve"> ，达到付款条件起 </w:t>
      </w:r>
      <w:r>
        <w:rPr/>
        <w:t>30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壹套（投标文件双面打印）、电子版壹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供应商应授权合法的人员参加磋商全过程，其中法定代表人直接参加，须出具法定代表人身份证，并与营业执照上信息一致。法定代表人授权代表参加磋商的，须出具法定代表人授权书及授权代表身份证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2024年10月31日前完成合同约定</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合同签订后先付30%，升级扩容完成并验收合格后支付60%，运行满1年后支付10%</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项目整体理解</w:t>
            </w:r>
          </w:p>
        </w:tc>
        <w:tc>
          <w:tcPr>
            <w:tcW w:type="dxa" w:w="2492"/>
          </w:tcPr>
          <w:p>
            <w:pPr>
              <w:pStyle w:val="null3"/>
            </w:pPr>
            <w:r>
              <w:rPr/>
              <w:t>1、项目需求分析内容完整、分析透彻、理解程度高得8分; 2、项目需求分析内容有待完善，有一定的针对性得6分; 3、提供了常规、通用的项目需求分析及解决方案得4分； 4、提供的方案有缺陷或疏漏的得2分; 5、未提供不得分。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供应商提供针对本项目的实施方案，方案针对本项目实施提出：1、重点、难点分析并给出相应的解决方案；2、进度安排；3、质量保证及验收方案的描述等内容。 方案各项内容全面详细、阐述条理清晰详尽、符合本项目采购需求、能有效保障本项目实施的得9分，每有一个缺项扣3分，每有一处内容存在缺陷，扣1分，扣完为止。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系统运行方案</w:t>
            </w:r>
          </w:p>
        </w:tc>
        <w:tc>
          <w:tcPr>
            <w:tcW w:type="dxa" w:w="2492"/>
          </w:tcPr>
          <w:p>
            <w:pPr>
              <w:pStyle w:val="null3"/>
            </w:pPr>
            <w:r>
              <w:rPr/>
              <w:t>供应商提供针对本项目的系统运行方案，方案针对本项目实施提出：1、所响应的内容能够支持目前通用的各类操作系统环境，提供具体可行的兼容方案;2、供应商针对本项目系统升级、新建档案管理和全文检索模块等，有具体可行的解决方案;3、目有切实可行的信息安全防护体系，全面保证采购人系统安全，确保数据及相关信息不泄密等。 方案各项内容全面详细、阐述条理清晰详尽、符合本项目采购需求、能有效保障本项目实施的得9分，每有一个缺项扣3分，每有一处内容存在缺陷，扣1分，扣完为止。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运维服务方案</w:t>
            </w:r>
          </w:p>
        </w:tc>
        <w:tc>
          <w:tcPr>
            <w:tcW w:type="dxa" w:w="2492"/>
          </w:tcPr>
          <w:p>
            <w:pPr>
              <w:pStyle w:val="null3"/>
            </w:pPr>
            <w:r>
              <w:rPr/>
              <w:t>供应商提供投标产品的运维服务方案：至少包含：1、整合下属单位业务；2、文件在线编辑；3、档案管理功能；4、全文检索功能；5、系统安全运维等。 方案各项内容全面详细、阐述条理清晰、技术先进、功能配置合理，能有效保障本项目实施得15分，每有一项缺项扣3分，每有一处内容存在缺陷，扣1分，扣完为止。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1、提供了内容完整、详实可行，有针对性的方案，可行性强，拟投入软件性能稳定，具有较好的使用效果；符合相关标准或行业标准得6分； 2、提供的方案，虽结合需求进行了分析，但内容有待完善一得4分; 3、提供的方案简单、有所欠缺的，得2分;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项目负责人1</w:t>
            </w:r>
          </w:p>
        </w:tc>
        <w:tc>
          <w:tcPr>
            <w:tcW w:type="dxa" w:w="2492"/>
          </w:tcPr>
          <w:p>
            <w:pPr>
              <w:pStyle w:val="null3"/>
            </w:pPr>
            <w:r>
              <w:rPr/>
              <w:t>拟派项目负责人具有类似相关行业从业经验，具备相关能力，并提供项目经理简历表，缺项或未提供不得分。（需对类似相关行业从业经验有描述内容，无描述内容此项不得分）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项目负责人2</w:t>
            </w:r>
          </w:p>
        </w:tc>
        <w:tc>
          <w:tcPr>
            <w:tcW w:type="dxa" w:w="2492"/>
          </w:tcPr>
          <w:p>
            <w:pPr>
              <w:pStyle w:val="null3"/>
            </w:pPr>
            <w:r>
              <w:rPr/>
              <w:t>拟派项目负责人具备计算机或软件能力相关职称证，中级职称证书得1分，高级职称证书得2分，满分2分。（多个中级职称仅计1分）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项目团队配备方案</w:t>
            </w:r>
          </w:p>
        </w:tc>
        <w:tc>
          <w:tcPr>
            <w:tcW w:type="dxa" w:w="2492"/>
          </w:tcPr>
          <w:p>
            <w:pPr>
              <w:pStyle w:val="null3"/>
            </w:pPr>
            <w:r>
              <w:rPr/>
              <w:t>供应商结合项目实际情况提供针对本项目的团队（除项目负责人外）配备方案，内容包括：1、人员配备齐全、结构合理，人员配备能力完备等；2、人员安排计划及分配工作情况科学合理有针对性；3、内控制度：具有管理组织机构、问责机制、监督机制、自查制度。 内容全面详细、阐述条理清晰，能有效保障本项目实施得9分，每有一项缺项扣3分，每有一处内容存在缺陷，扣1分，扣完为止。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培训服务方案</w:t>
            </w:r>
          </w:p>
        </w:tc>
        <w:tc>
          <w:tcPr>
            <w:tcW w:type="dxa" w:w="2492"/>
          </w:tcPr>
          <w:p>
            <w:pPr>
              <w:pStyle w:val="null3"/>
            </w:pPr>
            <w:r>
              <w:rPr/>
              <w:t>供应商提供针对本项目的培训服务方案，内容包括：1.培训采购人指定的操作和维修人员；2.培训内容应包括所提供产品的原理和技术性能、操作维护方法、安装调试、排除故障等各个方面。 方案内容全面详细、阐述条理清晰、配置合理，能有效保障本项目实施得6分，每有一项缺项扣3分，每有一处内容存在缺陷，扣1分，扣完为止。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应急服务方案</w:t>
            </w:r>
          </w:p>
        </w:tc>
        <w:tc>
          <w:tcPr>
            <w:tcW w:type="dxa" w:w="2492"/>
          </w:tcPr>
          <w:p>
            <w:pPr>
              <w:pStyle w:val="null3"/>
            </w:pPr>
            <w:r>
              <w:rPr/>
              <w:t>供应商提供针对本项目的应急服务方案，至少包含：1、可能发生的风险事件及应急处置方案；2、重要时期的人员保障；3、重点业务的的技术保障。 方案内容全面详细、阐述条理清晰、配置合理，能有效保障本项目实施得6分，每有一项缺项扣2分，每有一处内容存在缺陷，扣1分，扣完为止。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供应商提供针对本项目的合理化建议。 1、内容合理、阐述条理清晰得4分； 2、内容虽结合需求进行了分析，但内容有待完善得3分； 3、内容未贴合项目实际情况进行论述得1分；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履约能力</w:t>
            </w:r>
          </w:p>
        </w:tc>
        <w:tc>
          <w:tcPr>
            <w:tcW w:type="dxa" w:w="2492"/>
          </w:tcPr>
          <w:p>
            <w:pPr>
              <w:pStyle w:val="null3"/>
            </w:pPr>
            <w:r>
              <w:rPr/>
              <w:t>1、供应商具有有效期内的质量管理体系认证证书，提供复印件得2分，不提供不得分。 2、供应商具有效期内的信息安全服务资质认证证书(安全运维）证书，提供复印件得2分，不提供不得分。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提供2021年1月1日以来类似项目合同，每提供一个得2分，满分10分。以合同签订日期为准，提供合同复印件加盖公章。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满足磋商文件要求且投标价格最低的磋商报价为评标基准价，其价格分为满分。其他供应商的价格分统一按照下列公式计算：投标报价得分=（评标基准价/投标报价）×投标报价总分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磋商报价表及分项报价表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详见附件：服务方案、人员表及供应商认为有必要提供的其他内容</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详见附件：合同格式与主要条款.docx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