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白鹿原校区学生宿舍室内消防工程改造项目</w:t>
      </w:r>
    </w:p>
    <w:p>
      <w:pPr>
        <w:pStyle w:val="null3"/>
        <w:jc w:val="center"/>
        <w:outlineLvl w:val="2"/>
      </w:pPr>
      <w:r>
        <w:rPr>
          <w:sz w:val="28"/>
          <w:b/>
        </w:rPr>
        <w:t>采购项目编号：</w:t>
      </w:r>
      <w:r>
        <w:rPr>
          <w:sz w:val="28"/>
          <w:b/>
        </w:rPr>
        <w:t>SZT2024-SN-SC-ZC-GC-0817</w:t>
      </w:r>
      <w:r>
        <w:br/>
      </w:r>
      <w:r>
        <w:br/>
      </w:r>
      <w:r>
        <w:br/>
      </w:r>
    </w:p>
    <w:p>
      <w:pPr>
        <w:pStyle w:val="null3"/>
        <w:jc w:val="center"/>
        <w:outlineLvl w:val="2"/>
      </w:pPr>
      <w:r>
        <w:rPr>
          <w:sz w:val="28"/>
          <w:b/>
        </w:rPr>
        <w:t>陕西职业技术学院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2024年08月01日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陕西职业技术学院</w:t>
      </w:r>
      <w:r>
        <w:rPr/>
        <w:t>委托，拟对</w:t>
      </w:r>
      <w:r>
        <w:rPr/>
        <w:t>白鹿原校区学生宿舍室内消防工程改造项目</w:t>
      </w:r>
      <w:r>
        <w:rPr/>
        <w:t>采用竞争性磋商采购方式进行采购，兹邀请供应商参加本项目的竞争性磋商。</w:t>
      </w:r>
    </w:p>
    <w:p>
      <w:pPr>
        <w:pStyle w:val="null3"/>
        <w:outlineLvl w:val="2"/>
      </w:pPr>
      <w:r>
        <w:rPr>
          <w:sz w:val="28"/>
          <w:b/>
        </w:rPr>
        <w:t>一、采购项目编号：</w:t>
      </w:r>
      <w:r>
        <w:rPr>
          <w:sz w:val="28"/>
          <w:b/>
        </w:rPr>
        <w:t>SZT2024-SN-SC-ZC-GC-0817</w:t>
      </w:r>
    </w:p>
    <w:p>
      <w:pPr>
        <w:pStyle w:val="null3"/>
        <w:outlineLvl w:val="2"/>
      </w:pPr>
      <w:r>
        <w:rPr>
          <w:sz w:val="28"/>
          <w:b/>
        </w:rPr>
        <w:t>二、采购项目名称：</w:t>
      </w:r>
      <w:r>
        <w:rPr>
          <w:sz w:val="28"/>
          <w:b/>
        </w:rPr>
        <w:t>白鹿原校区学生宿舍室内消防工程改造项目</w:t>
      </w:r>
    </w:p>
    <w:p>
      <w:pPr>
        <w:pStyle w:val="null3"/>
        <w:outlineLvl w:val="2"/>
      </w:pPr>
      <w:r>
        <w:rPr>
          <w:sz w:val="28"/>
          <w:b/>
        </w:rPr>
        <w:t>三、磋商项目简介</w:t>
      </w:r>
    </w:p>
    <w:p>
      <w:pPr>
        <w:pStyle w:val="null3"/>
        <w:ind w:firstLine="480"/>
      </w:pPr>
      <w:r>
        <w:rPr/>
        <w:t>白鹿原校区学生宿舍有9栋，建筑面积5.7万平方米，公寓建设时间在2005年至2009年之间，均为砖混结构。层高以6层为主。</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采购包1（白鹿原校区学生宿舍室内消防工程改造）：属于专门面向中小企业采购。</w:t>
      </w:r>
    </w:p>
    <w:p>
      <w:pPr>
        <w:pStyle w:val="null3"/>
        <w:ind w:firstLine="480"/>
      </w:pPr>
      <w:r>
        <w:rPr/>
        <w:t>（三）本项目的特定资格要求：</w:t>
      </w:r>
    </w:p>
    <w:p>
      <w:pPr>
        <w:pStyle w:val="null3"/>
      </w:pPr>
      <w:r>
        <w:rPr/>
        <w:t>采购包1：</w:t>
      </w:r>
    </w:p>
    <w:p>
      <w:pPr>
        <w:pStyle w:val="null3"/>
      </w:pPr>
      <w:r>
        <w:rPr/>
        <w:t>1、法定代表人授权书：供应商应授权合法的人员参加磋商全过程，其 中法定代表人直接参加磋商的，须出具法定代 表人身份证，并与营业执照上信息一致。法定 代表人授权代表参加磋商的，须出具法定代表人授权书及授权代表身份证。非法人单位的负 责人参照执行；</w:t>
      </w:r>
    </w:p>
    <w:p>
      <w:pPr>
        <w:pStyle w:val="null3"/>
      </w:pPr>
      <w:r>
        <w:rPr/>
        <w:t>2、公司资质：建筑工程施工总承包三级及以上资质同时具有消防设施工程专业承包二级以上（含二级）资质；</w:t>
      </w:r>
    </w:p>
    <w:p>
      <w:pPr>
        <w:pStyle w:val="null3"/>
      </w:pPr>
      <w:r>
        <w:rPr/>
        <w:t>3、拟派项目负责人资质和专业要求：投标人拟派项目经理具有建筑工程专业贰级及以上注册建造师证书，并具有安全考核证，无在建项目（提供无在建项目承诺书）；</w:t>
      </w:r>
    </w:p>
    <w:p>
      <w:pPr>
        <w:pStyle w:val="null3"/>
      </w:pPr>
      <w:r>
        <w:rPr/>
        <w:t>4、信息查询：投标人及项目经理在“陕西省住房和城乡建设厅（企业库、人员库）”可查询；（提供截图）</w:t>
      </w:r>
    </w:p>
    <w:p>
      <w:pPr>
        <w:pStyle w:val="null3"/>
      </w:pPr>
      <w:r>
        <w:rPr/>
        <w:t>5、安全生产许可证：具备有效的安全生产许可证。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陕西职业技术学院</w:t>
      </w:r>
    </w:p>
    <w:p>
      <w:pPr>
        <w:pStyle w:val="null3"/>
      </w:pPr>
      <w:r>
        <w:rPr/>
        <w:t xml:space="preserve"> 地址： </w:t>
      </w:r>
      <w:r>
        <w:rPr/>
        <w:t>西安市灞桥区狄寨路2028号</w:t>
      </w:r>
    </w:p>
    <w:p>
      <w:pPr>
        <w:pStyle w:val="null3"/>
      </w:pPr>
      <w:r>
        <w:rPr/>
        <w:t xml:space="preserve"> 邮编： </w:t>
      </w:r>
      <w:r>
        <w:rPr/>
        <w:t>710038</w:t>
      </w:r>
    </w:p>
    <w:p>
      <w:pPr>
        <w:pStyle w:val="null3"/>
      </w:pPr>
      <w:r>
        <w:rPr/>
        <w:t xml:space="preserve"> 联系人： </w:t>
      </w:r>
      <w:r>
        <w:rPr/>
        <w:t>姚老师</w:t>
      </w:r>
    </w:p>
    <w:p>
      <w:pPr>
        <w:pStyle w:val="null3"/>
      </w:pPr>
      <w:r>
        <w:rPr/>
        <w:t xml:space="preserve"> 联系电话： </w:t>
      </w:r>
      <w:r>
        <w:rPr/>
        <w:t xml:space="preserve"> 029-83325395</w:t>
      </w:r>
    </w:p>
    <w:p>
      <w:pPr>
        <w:pStyle w:val="null3"/>
        <w:outlineLvl w:val="3"/>
      </w:pPr>
      <w:r>
        <w:rPr>
          <w:sz w:val="24"/>
          <w:b/>
        </w:rPr>
        <w:t>代理机构：</w:t>
      </w:r>
      <w:r>
        <w:rPr>
          <w:sz w:val="24"/>
          <w:b/>
        </w:rPr>
        <w:t>陕西中技招标有限公司</w:t>
      </w:r>
    </w:p>
    <w:p>
      <w:pPr>
        <w:pStyle w:val="null3"/>
      </w:pPr>
      <w:r>
        <w:rPr/>
        <w:t xml:space="preserve"> 地址： </w:t>
      </w:r>
      <w:r>
        <w:rPr/>
        <w:t>西安市高新四路1号高科广场A座1001室</w:t>
      </w:r>
    </w:p>
    <w:p>
      <w:pPr>
        <w:pStyle w:val="null3"/>
      </w:pPr>
      <w:r>
        <w:rPr/>
        <w:t xml:space="preserve"> 邮编： </w:t>
      </w:r>
      <w:r>
        <w:rPr/>
        <w:t>710075</w:t>
      </w:r>
    </w:p>
    <w:p>
      <w:pPr>
        <w:pStyle w:val="null3"/>
      </w:pPr>
      <w:r>
        <w:rPr/>
        <w:t xml:space="preserve"> 联系人： </w:t>
      </w:r>
      <w:r>
        <w:rPr/>
        <w:t>崔敬、肖懿、史肖霞</w:t>
      </w:r>
    </w:p>
    <w:p>
      <w:pPr>
        <w:pStyle w:val="null3"/>
      </w:pPr>
      <w:r>
        <w:rPr/>
        <w:t xml:space="preserve"> 联系电话： </w:t>
      </w:r>
      <w:r>
        <w:rPr/>
        <w:t>029-88364979-850、806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采购包1保证金金额：30,000.00元</w:t>
            </w:r>
          </w:p>
          <w:p>
            <w:pPr>
              <w:pStyle w:val="null3"/>
            </w:pPr>
            <w:r>
              <w:rPr/>
              <w:t>缴交渠道：电子保函,转账、支票、汇票等（需通过实体账户、户名及开户行信息）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招标代理机构交纳招标代理服务费。招标代理服务费的收取参见国家计委颁布的《招标代理服务收费管理暂行办法》（计价格[2002]1980号）和（发改办价格[2003]857号）标准收取，在领取成交通知书时向招标代理机构一次性交纳。</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踏勘时间：2024-08-07 09:30:00</w:t>
            </w:r>
          </w:p>
          <w:p>
            <w:pPr>
              <w:pStyle w:val="null3"/>
              <w:ind w:firstLine="975"/>
            </w:pPr>
            <w:r>
              <w:rPr/>
              <w:t>踏勘地点：白鹿原校区1号教学楼前</w:t>
            </w:r>
          </w:p>
          <w:p>
            <w:pPr>
              <w:pStyle w:val="null3"/>
              <w:ind w:firstLine="975"/>
            </w:pPr>
            <w:r>
              <w:rPr/>
              <w:t>联系人：邱辉</w:t>
            </w:r>
          </w:p>
          <w:p>
            <w:pPr>
              <w:pStyle w:val="null3"/>
              <w:ind w:firstLine="975"/>
            </w:pPr>
            <w:r>
              <w:rPr/>
              <w:t>联系电话号码：13572260152</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陕西职业技术学院</w:t>
      </w:r>
      <w:r>
        <w:rPr/>
        <w:t>和</w:t>
      </w:r>
      <w:r>
        <w:rPr/>
        <w:t>陕西中技招标有限公司</w:t>
      </w:r>
      <w:r>
        <w:rPr/>
        <w:t>享有。对磋商文件中供应商参加本次政府采购活动应当具备的条件，磋商项目技术、服务、商务及其他要求，评审细则及标准由</w:t>
      </w:r>
      <w:r>
        <w:rPr/>
        <w:t>陕西职业技术学院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以合同约定为准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1,600,000.00</w:t>
      </w:r>
    </w:p>
    <w:p>
      <w:pPr>
        <w:pStyle w:val="null3"/>
      </w:pPr>
      <w:r>
        <w:rPr/>
        <w:t>采购包最高限价（元）: 1,597,290.72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对白鹿原校区学生9栋宿舍，建筑面积5.7万平方米，均为砖混结构。层高以6层为主，进行宿舍室内消防改造</w:t>
            </w:r>
          </w:p>
        </w:tc>
        <w:tc>
          <w:tcPr>
            <w:tcW w:type="dxa" w:w="1384"/>
          </w:tcPr>
          <w:p>
            <w:pPr>
              <w:pStyle w:val="null3"/>
              <w:jc w:val="right"/>
            </w:pPr>
            <w:r>
              <w:rPr/>
              <w:t>1.00</w:t>
            </w:r>
          </w:p>
        </w:tc>
        <w:tc>
          <w:tcPr>
            <w:tcW w:type="dxa" w:w="1384"/>
          </w:tcPr>
          <w:p>
            <w:pPr>
              <w:pStyle w:val="null3"/>
              <w:jc w:val="right"/>
            </w:pPr>
            <w:r>
              <w:rPr/>
              <w:t>1,600,000.00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标的名称：对白鹿原校区学生9栋宿舍，建筑面积5.7万平方米，均为砖混结构。层高以6层为主，进行宿舍室内消防改造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345" w:after="330"/>
              <w:jc w:val="center"/>
              <w:outlineLvl w:val="0"/>
            </w:pPr>
            <w:r>
              <w:rPr>
                <w:rFonts w:ascii="simsun" w:hAnsi="simsun" w:cs="simsun" w:eastAsia="simsun"/>
                <w:sz w:val="24"/>
                <w:b/>
              </w:rPr>
              <w:t>清单编制</w:t>
            </w:r>
            <w:r>
              <w:rPr>
                <w:rFonts w:ascii="simsun" w:hAnsi="simsun" w:cs="simsun" w:eastAsia="simsun"/>
                <w:sz w:val="24"/>
                <w:b/>
              </w:rPr>
              <w:t>说明</w:t>
            </w:r>
          </w:p>
          <w:p>
            <w:pPr>
              <w:pStyle w:val="null3"/>
              <w:spacing w:before="255" w:after="255"/>
              <w:jc w:val="left"/>
            </w:pPr>
            <w:r>
              <w:rPr>
                <w:rFonts w:ascii="simsun" w:hAnsi="simsun" w:cs="simsun" w:eastAsia="simsun"/>
                <w:sz w:val="24"/>
                <w:b/>
              </w:rPr>
              <w:t>工程概况：</w:t>
            </w:r>
          </w:p>
          <w:p>
            <w:pPr>
              <w:pStyle w:val="null3"/>
              <w:jc w:val="left"/>
            </w:pPr>
            <w:r>
              <w:rPr>
                <w:rFonts w:ascii="simsun" w:hAnsi="simsun" w:cs="simsun" w:eastAsia="simsun"/>
                <w:color w:val="000000"/>
              </w:rPr>
              <w:t>项目名称：</w:t>
            </w:r>
            <w:r>
              <w:rPr>
                <w:rFonts w:ascii="simsun" w:hAnsi="simsun" w:cs="simsun" w:eastAsia="simsun"/>
                <w:color w:val="000000"/>
              </w:rPr>
              <w:t>白鹿原校区学生宿舍室内消防改造工程</w:t>
            </w:r>
          </w:p>
          <w:p>
            <w:pPr>
              <w:pStyle w:val="null3"/>
              <w:jc w:val="both"/>
            </w:pPr>
            <w:r>
              <w:rPr>
                <w:rFonts w:ascii="simsun" w:hAnsi="simsun" w:cs="simsun" w:eastAsia="simsun"/>
                <w:color w:val="000000"/>
              </w:rPr>
              <w:t>建设地点：</w:t>
            </w:r>
            <w:r>
              <w:rPr>
                <w:rFonts w:ascii="simsun" w:hAnsi="simsun" w:cs="simsun" w:eastAsia="simsun"/>
              </w:rPr>
              <w:t>陕西职业技术学院（</w:t>
            </w:r>
            <w:r>
              <w:rPr>
                <w:rFonts w:ascii="simsun" w:hAnsi="simsun" w:cs="simsun" w:eastAsia="simsun"/>
                <w:color w:val="000000"/>
              </w:rPr>
              <w:t>白鹿原校区</w:t>
            </w:r>
            <w:r>
              <w:rPr>
                <w:rFonts w:ascii="simsun" w:hAnsi="simsun" w:cs="simsun" w:eastAsia="simsun"/>
              </w:rPr>
              <w:t>）</w:t>
            </w:r>
          </w:p>
          <w:p>
            <w:pPr>
              <w:pStyle w:val="null3"/>
              <w:jc w:val="both"/>
            </w:pPr>
            <w:r>
              <w:rPr>
                <w:rFonts w:ascii="simsun" w:hAnsi="simsun" w:cs="simsun" w:eastAsia="simsun"/>
                <w:color w:val="000000"/>
              </w:rPr>
              <w:t>工程范围：</w:t>
            </w:r>
            <w:r>
              <w:rPr>
                <w:rFonts w:ascii="simsun" w:hAnsi="simsun" w:cs="simsun" w:eastAsia="simsun"/>
              </w:rPr>
              <w:t>包括1号楼、2号楼、3号楼、4号楼、5号楼、6号楼、7号楼、8号楼、9号楼、10号楼、11号楼等11栋学生公寓楼的消防维修改造。</w:t>
            </w:r>
          </w:p>
          <w:p>
            <w:pPr>
              <w:pStyle w:val="null3"/>
              <w:spacing w:before="255" w:after="255"/>
              <w:jc w:val="left"/>
              <w:outlineLvl w:val="1"/>
            </w:pPr>
            <w:r>
              <w:rPr>
                <w:rFonts w:ascii="simsun" w:hAnsi="simsun" w:cs="simsun" w:eastAsia="simsun"/>
                <w:sz w:val="24"/>
                <w:b/>
              </w:rPr>
              <w:t>编制依据：</w:t>
            </w:r>
          </w:p>
          <w:p>
            <w:pPr>
              <w:pStyle w:val="null3"/>
              <w:jc w:val="both"/>
            </w:pPr>
            <w:r>
              <w:rPr>
                <w:rFonts w:ascii="simsun" w:hAnsi="simsun" w:cs="simsun" w:eastAsia="simsun"/>
                <w:color w:val="000000"/>
              </w:rPr>
              <w:t>1</w:t>
            </w:r>
            <w:r>
              <w:rPr>
                <w:rFonts w:ascii="simsun" w:hAnsi="simsun" w:cs="simsun" w:eastAsia="simsun"/>
                <w:color w:val="000000"/>
              </w:rPr>
              <w:t>、《陕西省建设工程工程量清单计价规则》（2009）。</w:t>
            </w:r>
          </w:p>
          <w:p>
            <w:pPr>
              <w:pStyle w:val="null3"/>
              <w:jc w:val="both"/>
            </w:pPr>
            <w:r>
              <w:rPr>
                <w:rFonts w:ascii="simsun" w:hAnsi="simsun" w:cs="simsun" w:eastAsia="simsun"/>
                <w:color w:val="000000"/>
              </w:rPr>
              <w:t>2</w:t>
            </w:r>
            <w:r>
              <w:rPr>
                <w:rFonts w:ascii="simsun" w:hAnsi="simsun" w:cs="simsun" w:eastAsia="simsun"/>
                <w:color w:val="000000"/>
              </w:rPr>
              <w:t>、《陕西省建筑、装饰、安装工程消耗量定额》（2004）、《陕西省建设工程工程量清单计价费率》（2009）、《全统修缮定额土建工程陕西省价目表（2001）》等及其配套文件中的计价依据和办法。</w:t>
            </w:r>
          </w:p>
          <w:p>
            <w:pPr>
              <w:pStyle w:val="null3"/>
              <w:jc w:val="both"/>
            </w:pPr>
            <w:r>
              <w:rPr>
                <w:rFonts w:ascii="simsun" w:hAnsi="simsun" w:cs="simsun" w:eastAsia="simsun"/>
                <w:color w:val="000000"/>
              </w:rPr>
              <w:t>3</w:t>
            </w:r>
            <w:r>
              <w:rPr>
                <w:rFonts w:ascii="simsun" w:hAnsi="simsun" w:cs="simsun" w:eastAsia="simsun"/>
                <w:color w:val="000000"/>
              </w:rPr>
              <w:t>、《陕西省住房和城乡建设厅关于印发2009陕西省建设工程工程量清单计价依据的通知》（陕建发[2009]199号）。</w:t>
            </w:r>
          </w:p>
          <w:p>
            <w:pPr>
              <w:pStyle w:val="null3"/>
              <w:jc w:val="both"/>
            </w:pPr>
            <w:r>
              <w:rPr>
                <w:rFonts w:ascii="simsun" w:hAnsi="simsun" w:cs="simsun" w:eastAsia="simsun"/>
                <w:color w:val="000000"/>
              </w:rPr>
              <w:t>4</w:t>
            </w:r>
            <w:r>
              <w:rPr>
                <w:rFonts w:ascii="simsun" w:hAnsi="simsun" w:cs="simsun" w:eastAsia="simsun"/>
                <w:color w:val="000000"/>
              </w:rPr>
              <w:t>、《关于调整我省建设工程计价依据的通知》（陕建发[2019]45号文）。</w:t>
            </w:r>
          </w:p>
          <w:p>
            <w:pPr>
              <w:pStyle w:val="null3"/>
              <w:jc w:val="both"/>
            </w:pPr>
            <w:r>
              <w:rPr>
                <w:rFonts w:ascii="simsun" w:hAnsi="simsun" w:cs="simsun" w:eastAsia="simsun"/>
                <w:color w:val="000000"/>
              </w:rPr>
              <w:t>5</w:t>
            </w:r>
            <w:r>
              <w:rPr>
                <w:rFonts w:ascii="simsun" w:hAnsi="simsun" w:cs="simsun" w:eastAsia="simsun"/>
                <w:color w:val="000000"/>
              </w:rPr>
              <w:t>、《关于发布我省落实建筑工人实名制管理计价依据的通知》（陕建发[2019]1246号）。</w:t>
            </w:r>
          </w:p>
          <w:p>
            <w:pPr>
              <w:pStyle w:val="null3"/>
              <w:jc w:val="both"/>
            </w:pPr>
            <w:r>
              <w:rPr>
                <w:rFonts w:ascii="simsun" w:hAnsi="simsun" w:cs="simsun" w:eastAsia="simsun"/>
                <w:color w:val="000000"/>
              </w:rPr>
              <w:t>6</w:t>
            </w:r>
            <w:r>
              <w:rPr>
                <w:rFonts w:ascii="simsun" w:hAnsi="simsun" w:cs="simsun" w:eastAsia="simsun"/>
                <w:color w:val="000000"/>
              </w:rPr>
              <w:t>、扬尘治理专项措施费执行陕建发【2017】270号文件《关于增加建设工程扬尘治理专项措施费及综合人工单价调整的通知》；</w:t>
            </w:r>
          </w:p>
          <w:p>
            <w:pPr>
              <w:pStyle w:val="null3"/>
              <w:jc w:val="both"/>
            </w:pPr>
            <w:r>
              <w:rPr>
                <w:rFonts w:ascii="simsun" w:hAnsi="simsun" w:cs="simsun" w:eastAsia="simsun"/>
                <w:color w:val="000000"/>
              </w:rPr>
              <w:t>7</w:t>
            </w:r>
            <w:r>
              <w:rPr>
                <w:rFonts w:ascii="simsun" w:hAnsi="simsun" w:cs="simsun" w:eastAsia="simsun"/>
                <w:color w:val="000000"/>
              </w:rPr>
              <w:t>、《关于建筑施工安全生产责任保险费用计价的通知》（陕建发〔2020〕1097号）。</w:t>
            </w:r>
          </w:p>
          <w:p>
            <w:pPr>
              <w:pStyle w:val="null3"/>
              <w:jc w:val="both"/>
            </w:pPr>
            <w:r>
              <w:rPr>
                <w:rFonts w:ascii="simsun" w:hAnsi="simsun" w:cs="simsun" w:eastAsia="simsun"/>
                <w:color w:val="000000"/>
              </w:rPr>
              <w:t>8</w:t>
            </w:r>
            <w:r>
              <w:rPr>
                <w:rFonts w:ascii="simsun" w:hAnsi="simsun" w:cs="simsun" w:eastAsia="simsun"/>
                <w:color w:val="000000"/>
              </w:rPr>
              <w:t>、《关于全省统一停止收缴建筑业劳保费用的通知》（陕建发〔2021〕1021号）。</w:t>
            </w:r>
          </w:p>
          <w:p>
            <w:pPr>
              <w:pStyle w:val="null3"/>
              <w:jc w:val="both"/>
            </w:pPr>
            <w:r>
              <w:rPr>
                <w:rFonts w:ascii="simsun" w:hAnsi="simsun" w:cs="simsun" w:eastAsia="simsun"/>
                <w:color w:val="000000"/>
              </w:rPr>
              <w:t>9</w:t>
            </w:r>
            <w:r>
              <w:rPr>
                <w:rFonts w:ascii="simsun" w:hAnsi="simsun" w:cs="simsun" w:eastAsia="simsun"/>
                <w:color w:val="000000"/>
              </w:rPr>
              <w:t>、《关于调整房屋建筑和市政基础设施工程工程量清单计价综合人工单价的通知》（陕建发〔2021〕1097号）。</w:t>
            </w:r>
          </w:p>
          <w:p>
            <w:pPr>
              <w:pStyle w:val="null3"/>
              <w:jc w:val="both"/>
            </w:pPr>
            <w:r>
              <w:rPr>
                <w:rFonts w:ascii="simsun" w:hAnsi="simsun" w:cs="simsun" w:eastAsia="simsun"/>
                <w:color w:val="000000"/>
              </w:rPr>
              <w:t>1</w:t>
            </w:r>
            <w:r>
              <w:rPr>
                <w:rFonts w:ascii="simsun" w:hAnsi="simsun" w:cs="simsun" w:eastAsia="simsun"/>
                <w:color w:val="000000"/>
              </w:rPr>
              <w:t>0</w:t>
            </w:r>
            <w:r>
              <w:rPr>
                <w:rFonts w:ascii="simsun" w:hAnsi="simsun" w:cs="simsun" w:eastAsia="simsun"/>
                <w:color w:val="000000"/>
              </w:rPr>
              <w:t>、材料价执行</w:t>
            </w:r>
            <w:r>
              <w:rPr>
                <w:rFonts w:ascii="simsun" w:hAnsi="simsun" w:cs="simsun" w:eastAsia="simsun"/>
                <w:color w:val="000000"/>
              </w:rPr>
              <w:t>陕西省</w:t>
            </w:r>
            <w:r>
              <w:rPr>
                <w:rFonts w:ascii="simsun" w:hAnsi="simsun" w:cs="simsun" w:eastAsia="simsun"/>
                <w:color w:val="000000"/>
              </w:rPr>
              <w:t>工程造价信息价2024年第</w:t>
            </w:r>
            <w:r>
              <w:rPr>
                <w:rFonts w:ascii="simsun" w:hAnsi="simsun" w:cs="simsun" w:eastAsia="simsun"/>
                <w:color w:val="000000"/>
              </w:rPr>
              <w:t>6</w:t>
            </w:r>
            <w:r>
              <w:rPr>
                <w:rFonts w:ascii="simsun" w:hAnsi="simsun" w:cs="simsun" w:eastAsia="simsun"/>
                <w:color w:val="000000"/>
              </w:rPr>
              <w:t>期及市场价；</w:t>
            </w:r>
          </w:p>
          <w:p>
            <w:pPr>
              <w:pStyle w:val="null3"/>
              <w:jc w:val="both"/>
            </w:pPr>
            <w:r>
              <w:rPr>
                <w:rFonts w:ascii="simsun" w:hAnsi="simsun" w:cs="simsun" w:eastAsia="simsun"/>
                <w:color w:val="000000"/>
              </w:rPr>
              <w:t>1</w:t>
            </w:r>
            <w:r>
              <w:rPr>
                <w:rFonts w:ascii="simsun" w:hAnsi="simsun" w:cs="simsun" w:eastAsia="simsun"/>
                <w:color w:val="000000"/>
              </w:rPr>
              <w:t>1</w:t>
            </w:r>
            <w:r>
              <w:rPr>
                <w:rFonts w:ascii="simsun" w:hAnsi="simsun" w:cs="simsun" w:eastAsia="simsun"/>
                <w:color w:val="000000"/>
              </w:rPr>
              <w:t>、</w:t>
            </w:r>
            <w:r>
              <w:rPr>
                <w:rFonts w:ascii="simsun" w:hAnsi="simsun" w:cs="simsun" w:eastAsia="simsun"/>
                <w:color w:val="000000"/>
              </w:rPr>
              <w:t>本</w:t>
            </w:r>
            <w:r>
              <w:rPr>
                <w:rFonts w:ascii="simsun" w:hAnsi="simsun" w:cs="simsun" w:eastAsia="simsun"/>
                <w:color w:val="000000"/>
              </w:rPr>
              <w:t>次报价</w:t>
            </w:r>
            <w:r>
              <w:rPr>
                <w:rFonts w:ascii="simsun" w:hAnsi="simsun" w:cs="simsun" w:eastAsia="simsun"/>
                <w:color w:val="000000"/>
              </w:rPr>
              <w:t>采用广联达云计价平台GCCP6.0版6.</w:t>
            </w:r>
            <w:r>
              <w:rPr>
                <w:rFonts w:ascii="simsun" w:hAnsi="simsun" w:cs="simsun" w:eastAsia="simsun"/>
                <w:color w:val="000000"/>
              </w:rPr>
              <w:t>41</w:t>
            </w:r>
            <w:r>
              <w:rPr>
                <w:rFonts w:ascii="simsun" w:hAnsi="simsun" w:cs="simsun" w:eastAsia="simsun"/>
                <w:color w:val="000000"/>
              </w:rPr>
              <w:t>00.23.</w:t>
            </w:r>
            <w:r>
              <w:rPr>
                <w:rFonts w:ascii="simsun" w:hAnsi="simsun" w:cs="simsun" w:eastAsia="simsun"/>
                <w:color w:val="000000"/>
              </w:rPr>
              <w:t>120</w:t>
            </w:r>
            <w:r>
              <w:rPr>
                <w:rFonts w:ascii="simsun" w:hAnsi="simsun" w:cs="simsun" w:eastAsia="simsun"/>
                <w:color w:val="000000"/>
              </w:rPr>
              <w:t>。</w:t>
            </w:r>
          </w:p>
          <w:p>
            <w:pPr>
              <w:pStyle w:val="null3"/>
              <w:jc w:val="both"/>
            </w:pPr>
            <w:r>
              <w:rPr>
                <w:rFonts w:ascii="simsun" w:hAnsi="simsun" w:cs="simsun" w:eastAsia="simsun"/>
                <w:sz w:val="24"/>
                <w:color w:val="000000"/>
              </w:rPr>
              <w:t>工程量清单详见附件</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工艺达到国家级行业现行技术规范标准，符合国家国家级行业验收合格标准。</w:t>
      </w:r>
    </w:p>
    <w:p>
      <w:pPr>
        <w:pStyle w:val="null3"/>
        <w:ind w:firstLine="480"/>
      </w:pPr>
      <w:r>
        <w:rPr/>
        <w:t>三、针对本项目的其他技术服务要求：</w:t>
      </w:r>
    </w:p>
    <w:p>
      <w:pPr>
        <w:pStyle w:val="null3"/>
      </w:pPr>
      <w:r>
        <w:rPr/>
        <w:t>完工周期：30日历天；质保期：二年；付款方式：本项目无预付款，竣工后分二期支付。第一期工程款：经竣工验收合格，发票办理完毕，甲方向乙方完成支付合同总价款85%的金额； 第二期工程款：待工程审计完毕后，支付至审定金额的100%。合同签订后10日内预交的合同金额3%作为质保金，质保期满后无工程质量问题,一次性无息退还。</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一、学生宿舍室内消防改造主要内容 1、扩宽（或更换）部分学生宿舍首层疏散门，保证疏散门宽度应不小于1.4米。 2、使用防火材料封闭楼梯间，加装防火门。更换原有不符合消防要求的防火门。 3、维护改造室内消火栓系统，主要包括加装试验消火栓、排气阀、启泵按钮及消防水泵结合器，更换消防水龙带，增设消防盘管等。 4、走道增设自然排烟窗及挡烟垂壁，开敞楼梯间加设挡烟垂壁。拆除改造部门窗户达到排烟要求。 5、需加装应急疏散指示系统、应急照明系统、消火栓按钮及联线（联线至消防控制室）。 6、改造部分门窗，外挂消防疏散楼梯等。 本次改造结果需满足属地住建部门验收合格要求。 二、消防设计内容 根据《关于开展排查化解高校校内建筑消防安全隐患专项行动的通知（陕教函〔2024〕18 号）》文件要求，需对现有学生宿舍室内消防进行改造，需按照项目建设时的消防技术标准完成消防设计文件，设计图纸应包含消防涉及的所有专业（水暖电等），并出图不少于3套。图纸需满足住建部门验收标准。深化设计单位应为甲级资质，并对每栋学生公寓出具消防专业图纸包括但不限于暖通专业、电气专业、建筑专业、给排水专业等。 三、其他注意事项 1、施工现场周边属于村庄土地，乙方需做好现场情况调研，特别是周边村民关系、建筑垃圾清运等。本项目若有涉及到周边街办、村委会以及村民相关事宜，发包人不负责协调事宜，由承包人负责协调，发包人予以配合，由此产生的任何费用由承包人承担。 2、承包人负责项目实施过程中的各项安全责任和承包人人员以及第三人的安全，造成的人员受伤或者死亡，承包人承担全部责任，对于项目实施过程中由于承包人原因造成的发包人设施设备的损坏，承包人负责修复并赔偿对发包人造成的损失。 3、施工方需积极与属地住建部门联系，按照属地管理部门要求进行消防改造，达到属地住建部门验收标准，学生宿舍改造完成后，应取得属地住建部门阶段性验收指导意见或相关文件。（投标单位投标保证金以保函形式提交的，请提前将保函发至代理机构邮箱，以便核对。邮箱地址：cuijing@sxzjtc.com）</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1、具有独立承担民事责任的能力（提供统一社会信用代码的营业执照（或事业法人证）等证明文件，供应商为自然人的提供身份证）； 2、2023年度经审计的财务报告或在开标日期前六个月内银行出具的资信证明； 3、具有履行合同所必需的设备和专业技术能力的说明及承诺； 4、具有依法缴纳税收和社会保障资金的良好记录（提供截止至投标文件递交时间前12个月内任一月份的缴费凭据或提供相关主管部门出具的缴纳证明）。依法免缴的申请人须提供相应文件证明其依法免缴； 5、参加政府采购活动前3年内在经营活动中没有重大违法记录的书面声明。 6、供应商需在项目电子化交易系统中按要求填写《投标函》完成承诺并进行电子签章。</w:t>
            </w:r>
          </w:p>
        </w:tc>
        <w:tc>
          <w:tcPr>
            <w:tcW w:type="dxa" w:w="1661"/>
          </w:tcPr>
          <w:p>
            <w:pPr>
              <w:pStyle w:val="null3"/>
            </w:pPr>
            <w:r>
              <w:rPr/>
              <w:t>响应文件封面 供应商基本资格证明文件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2023年度经审计的财务报告或在开标日期前六个月内银行出具的资信证明；</w:t>
            </w:r>
          </w:p>
        </w:tc>
        <w:tc>
          <w:tcPr>
            <w:tcW w:type="dxa" w:w="1661"/>
          </w:tcPr>
          <w:p>
            <w:pPr>
              <w:pStyle w:val="null3"/>
            </w:pPr>
            <w:r>
              <w:rPr/>
              <w:t>财务制度证明材料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供应商应授权合法的人员参加磋商全过程，其 中法定代表人直接参加磋商的，须出具法定代 表人身份证，并与营业执照上信息一致。法定 代表人授权代表参加磋商的，须出具法定代表人授权书及授权代表身份证。非法人单位的负 责人参照执行；</w:t>
            </w:r>
          </w:p>
        </w:tc>
        <w:tc>
          <w:tcPr>
            <w:tcW w:type="dxa" w:w="1661"/>
          </w:tcPr>
          <w:p>
            <w:pPr>
              <w:pStyle w:val="null3"/>
            </w:pPr>
            <w:r>
              <w:rPr/>
              <w:t>供应商特殊资格证明文件</w:t>
            </w:r>
          </w:p>
        </w:tc>
      </w:tr>
      <w:tr>
        <w:tc>
          <w:tcPr>
            <w:tcW w:type="dxa" w:w="831"/>
          </w:tcPr>
          <w:p>
            <w:pPr>
              <w:pStyle w:val="null3"/>
            </w:pPr>
            <w:r>
              <w:rPr/>
              <w:t>2</w:t>
            </w:r>
          </w:p>
        </w:tc>
        <w:tc>
          <w:tcPr>
            <w:tcW w:type="dxa" w:w="2492"/>
          </w:tcPr>
          <w:p>
            <w:pPr>
              <w:pStyle w:val="null3"/>
            </w:pPr>
            <w:r>
              <w:rPr/>
              <w:t>公司资质</w:t>
            </w:r>
          </w:p>
        </w:tc>
        <w:tc>
          <w:tcPr>
            <w:tcW w:type="dxa" w:w="3322"/>
          </w:tcPr>
          <w:p>
            <w:pPr>
              <w:pStyle w:val="null3"/>
            </w:pPr>
            <w:r>
              <w:rPr/>
              <w:t>建筑工程施工总承包三级及以上资质同时具有消防设施工程专业承包二级以上（含二级）资质；</w:t>
            </w:r>
          </w:p>
        </w:tc>
        <w:tc>
          <w:tcPr>
            <w:tcW w:type="dxa" w:w="1661"/>
          </w:tcPr>
          <w:p>
            <w:pPr>
              <w:pStyle w:val="null3"/>
            </w:pPr>
            <w:r>
              <w:rPr/>
              <w:t>供应商特殊资格证明文件</w:t>
            </w:r>
          </w:p>
        </w:tc>
      </w:tr>
      <w:tr>
        <w:tc>
          <w:tcPr>
            <w:tcW w:type="dxa" w:w="831"/>
          </w:tcPr>
          <w:p>
            <w:pPr>
              <w:pStyle w:val="null3"/>
            </w:pPr>
            <w:r>
              <w:rPr/>
              <w:t>3</w:t>
            </w:r>
          </w:p>
        </w:tc>
        <w:tc>
          <w:tcPr>
            <w:tcW w:type="dxa" w:w="2492"/>
          </w:tcPr>
          <w:p>
            <w:pPr>
              <w:pStyle w:val="null3"/>
            </w:pPr>
            <w:r>
              <w:rPr/>
              <w:t>拟派项目负责人资质和专业要求</w:t>
            </w:r>
          </w:p>
        </w:tc>
        <w:tc>
          <w:tcPr>
            <w:tcW w:type="dxa" w:w="3322"/>
          </w:tcPr>
          <w:p>
            <w:pPr>
              <w:pStyle w:val="null3"/>
            </w:pPr>
            <w:r>
              <w:rPr/>
              <w:t>投标人拟派项目经理具有建筑工程专业贰级及以上注册建造师证书，并具有安全考核证，无在建项目（提供无在建项目承诺书）；</w:t>
            </w:r>
          </w:p>
        </w:tc>
        <w:tc>
          <w:tcPr>
            <w:tcW w:type="dxa" w:w="1661"/>
          </w:tcPr>
          <w:p>
            <w:pPr>
              <w:pStyle w:val="null3"/>
            </w:pPr>
            <w:r>
              <w:rPr/>
              <w:t>供应商特殊资格证明文件 项目管理机构组成表</w:t>
            </w:r>
          </w:p>
        </w:tc>
      </w:tr>
      <w:tr>
        <w:tc>
          <w:tcPr>
            <w:tcW w:type="dxa" w:w="831"/>
          </w:tcPr>
          <w:p>
            <w:pPr>
              <w:pStyle w:val="null3"/>
            </w:pPr>
            <w:r>
              <w:rPr/>
              <w:t>4</w:t>
            </w:r>
          </w:p>
        </w:tc>
        <w:tc>
          <w:tcPr>
            <w:tcW w:type="dxa" w:w="2492"/>
          </w:tcPr>
          <w:p>
            <w:pPr>
              <w:pStyle w:val="null3"/>
            </w:pPr>
            <w:r>
              <w:rPr/>
              <w:t>信息查询</w:t>
            </w:r>
          </w:p>
        </w:tc>
        <w:tc>
          <w:tcPr>
            <w:tcW w:type="dxa" w:w="3322"/>
          </w:tcPr>
          <w:p>
            <w:pPr>
              <w:pStyle w:val="null3"/>
            </w:pPr>
            <w:r>
              <w:rPr/>
              <w:t>投标人及项目经理在“陕西省住房和城乡建设厅（企业库、人员库）”可查询；（提供截图）</w:t>
            </w:r>
          </w:p>
        </w:tc>
        <w:tc>
          <w:tcPr>
            <w:tcW w:type="dxa" w:w="1661"/>
          </w:tcPr>
          <w:p>
            <w:pPr>
              <w:pStyle w:val="null3"/>
            </w:pPr>
            <w:r>
              <w:rPr/>
              <w:t>供应商特殊资格证明文件</w:t>
            </w:r>
          </w:p>
        </w:tc>
      </w:tr>
      <w:tr>
        <w:tc>
          <w:tcPr>
            <w:tcW w:type="dxa" w:w="831"/>
          </w:tcPr>
          <w:p>
            <w:pPr>
              <w:pStyle w:val="null3"/>
            </w:pPr>
            <w:r>
              <w:rPr/>
              <w:t>5</w:t>
            </w:r>
          </w:p>
        </w:tc>
        <w:tc>
          <w:tcPr>
            <w:tcW w:type="dxa" w:w="2492"/>
          </w:tcPr>
          <w:p>
            <w:pPr>
              <w:pStyle w:val="null3"/>
            </w:pPr>
            <w:r>
              <w:rPr/>
              <w:t>安全生产许可证</w:t>
            </w:r>
          </w:p>
        </w:tc>
        <w:tc>
          <w:tcPr>
            <w:tcW w:type="dxa" w:w="3322"/>
          </w:tcPr>
          <w:p>
            <w:pPr>
              <w:pStyle w:val="null3"/>
            </w:pPr>
            <w:r>
              <w:rPr/>
              <w:t>具备有效的安全生产许可证。</w:t>
            </w:r>
          </w:p>
        </w:tc>
        <w:tc>
          <w:tcPr>
            <w:tcW w:type="dxa" w:w="1661"/>
          </w:tcPr>
          <w:p>
            <w:pPr>
              <w:pStyle w:val="null3"/>
            </w:pPr>
            <w:r>
              <w:rPr/>
              <w:t>供应商特殊资格证明文件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完工周期</w:t>
            </w:r>
          </w:p>
        </w:tc>
        <w:tc>
          <w:tcPr>
            <w:tcW w:type="dxa" w:w="3322"/>
          </w:tcPr>
          <w:p>
            <w:pPr>
              <w:pStyle w:val="null3"/>
            </w:pPr>
            <w:r>
              <w:rPr/>
              <w:t>完工周期是否响应磋商文件要求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质保期是否响应磋商文件要求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付款方式是否响应磋商文件要求</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投标有效期是否响应磋商文件要求</w:t>
            </w:r>
          </w:p>
        </w:tc>
        <w:tc>
          <w:tcPr>
            <w:tcW w:type="dxa" w:w="1661"/>
          </w:tcPr>
          <w:p>
            <w:pPr>
              <w:pStyle w:val="null3"/>
            </w:pPr>
            <w:r>
              <w:rPr/>
              <w:t>商务偏离表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整体方案</w:t>
            </w:r>
          </w:p>
        </w:tc>
        <w:tc>
          <w:tcPr>
            <w:tcW w:type="dxa" w:w="2492"/>
          </w:tcPr>
          <w:p>
            <w:pPr>
              <w:pStyle w:val="null3"/>
            </w:pPr>
            <w:r>
              <w:rPr/>
              <w:t>对该项目实施的重点、难点进行分析，对易发生质量通病、易出现安全问题、施工难度大、技术含量高的分项工程等进行说明，并给出施工保障措施和专项技术方案（含主要施工工法、组织措施、检验手段等），对影响本项目的外在因素和可能出现的问题进行分析，并制定相关应急预案或保证措施。 1）提供针对本项目维修施工的整体实施方案内容细致、科学合理、具体可操作性强、贴近项目情况得15分； 2）整体实施方案内容较细致，合理性高、具有一定的可操作性和针对性得7分； 3）整体实施方案内容一般，可操作性、针对性低得4分。未提供不得分。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整体方案</w:t>
            </w:r>
          </w:p>
        </w:tc>
      </w:tr>
      <w:tr>
        <w:tc>
          <w:tcPr>
            <w:tcW w:type="dxa" w:w="831"/>
            <w:vMerge/>
          </w:tcPr>
          <w:p/>
        </w:tc>
        <w:tc>
          <w:tcPr>
            <w:tcW w:type="dxa" w:w="1661"/>
          </w:tcPr>
          <w:p>
            <w:pPr>
              <w:pStyle w:val="null3"/>
            </w:pPr>
            <w:r>
              <w:rPr/>
              <w:t>人员配备</w:t>
            </w:r>
          </w:p>
        </w:tc>
        <w:tc>
          <w:tcPr>
            <w:tcW w:type="dxa" w:w="2492"/>
          </w:tcPr>
          <w:p>
            <w:pPr>
              <w:pStyle w:val="null3"/>
            </w:pPr>
            <w:r>
              <w:rPr/>
              <w:t>根据项目人员配置投入情况，项目管理机构人员岗位完整，专业 种类齐全，搭配合理，有技术职称的人员比例合理。 1）人员组织架构完整，岗位设置合理明确，人员专业性、经验性强，满足采购需求得9分； 2）人员组织架构较为完整，岗位设置较合理，人员专业性、经验性较，基本满足采购需求得7分； 3）人员组织架构一般，人员岗位设置合理性、专业性、经验性一般，得4分。未提供不得分。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拟投入本项目人员</w:t>
            </w:r>
          </w:p>
          <w:p>
            <w:pPr>
              <w:pStyle w:val="null3"/>
            </w:pPr>
            <w:r>
              <w:rPr/>
              <w:t>项目管理机构组成表</w:t>
            </w:r>
          </w:p>
        </w:tc>
      </w:tr>
      <w:tr>
        <w:tc>
          <w:tcPr>
            <w:tcW w:type="dxa" w:w="831"/>
            <w:vMerge/>
          </w:tcPr>
          <w:p/>
        </w:tc>
        <w:tc>
          <w:tcPr>
            <w:tcW w:type="dxa" w:w="1661"/>
          </w:tcPr>
          <w:p>
            <w:pPr>
              <w:pStyle w:val="null3"/>
            </w:pPr>
            <w:r>
              <w:rPr/>
              <w:t>设施设备</w:t>
            </w:r>
          </w:p>
        </w:tc>
        <w:tc>
          <w:tcPr>
            <w:tcW w:type="dxa" w:w="2492"/>
          </w:tcPr>
          <w:p>
            <w:pPr>
              <w:pStyle w:val="null3"/>
            </w:pPr>
            <w:r>
              <w:rPr/>
              <w:t>根据本项目实际需求拟投入主要施工设施设备配置。 1）配置齐全，完全满足采购需求得5分； 2）配置较齐全，基本满足采购需求得3分。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设施设备</w:t>
            </w:r>
          </w:p>
        </w:tc>
      </w:tr>
      <w:tr>
        <w:tc>
          <w:tcPr>
            <w:tcW w:type="dxa" w:w="831"/>
            <w:vMerge/>
          </w:tcPr>
          <w:p/>
        </w:tc>
        <w:tc>
          <w:tcPr>
            <w:tcW w:type="dxa" w:w="1661"/>
          </w:tcPr>
          <w:p>
            <w:pPr>
              <w:pStyle w:val="null3"/>
            </w:pPr>
            <w:r>
              <w:rPr/>
              <w:t>安全管理制度</w:t>
            </w:r>
          </w:p>
        </w:tc>
        <w:tc>
          <w:tcPr>
            <w:tcW w:type="dxa" w:w="2492"/>
          </w:tcPr>
          <w:p>
            <w:pPr>
              <w:pStyle w:val="null3"/>
            </w:pPr>
            <w:r>
              <w:rPr/>
              <w:t>根据本项目实际需求提供的安全管理制度。结合施工环境、特点，分析安全隐患，给出有针对性的安全生产、文明施工、环保施工、防尘降噪等保证措施。 1）安全管理制度详细完善，科学合理、可操作性强得6分； 2）安全管理制度较完善，可操作性较强得4分； 3）安全管理制度，可操作性低得2分。未提供不得分。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安全管理制度</w:t>
            </w:r>
          </w:p>
        </w:tc>
      </w:tr>
      <w:tr>
        <w:tc>
          <w:tcPr>
            <w:tcW w:type="dxa" w:w="831"/>
            <w:vMerge/>
          </w:tcPr>
          <w:p/>
        </w:tc>
        <w:tc>
          <w:tcPr>
            <w:tcW w:type="dxa" w:w="1661"/>
          </w:tcPr>
          <w:p>
            <w:pPr>
              <w:pStyle w:val="null3"/>
            </w:pPr>
            <w:r>
              <w:rPr/>
              <w:t>质量保证措施</w:t>
            </w:r>
          </w:p>
        </w:tc>
        <w:tc>
          <w:tcPr>
            <w:tcW w:type="dxa" w:w="2492"/>
          </w:tcPr>
          <w:p>
            <w:pPr>
              <w:pStyle w:val="null3"/>
            </w:pPr>
            <w:r>
              <w:rPr/>
              <w:t>针对本项目制定切实可行的总体质量控制目标，且对质量控制目 标进行合理分解、规划，给出有针对性分段施工方案及其编制依据，确保本项目质量标准符合相关标准，根据本项目实际需要提供质量保证措施。 1）内容完备、科学、合理、针对性措施详细，满足采购需求得6分； 2）内容较完整、有一定针对性，基本满足采购需求得4分； 3）内容粗略得2分。未提供不得分。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质量保证措施</w:t>
            </w:r>
          </w:p>
        </w:tc>
      </w:tr>
      <w:tr>
        <w:tc>
          <w:tcPr>
            <w:tcW w:type="dxa" w:w="831"/>
            <w:vMerge/>
          </w:tcPr>
          <w:p/>
        </w:tc>
        <w:tc>
          <w:tcPr>
            <w:tcW w:type="dxa" w:w="1661"/>
          </w:tcPr>
          <w:p>
            <w:pPr>
              <w:pStyle w:val="null3"/>
            </w:pPr>
            <w:r>
              <w:rPr/>
              <w:t>进度计划</w:t>
            </w:r>
          </w:p>
        </w:tc>
        <w:tc>
          <w:tcPr>
            <w:tcW w:type="dxa" w:w="2492"/>
          </w:tcPr>
          <w:p>
            <w:pPr>
              <w:pStyle w:val="null3"/>
            </w:pPr>
            <w:r>
              <w:rPr/>
              <w:t>分析本项目进度目标的关键节点，同时针对关键节点、复杂环节重点提出相应技术措施，有整体进度安排（施工进度表或施工网络图）及各阶段进度保证措施。 1）内容完备、科学合理、计划可行，有明确时间节点得6分； 2）内容基本完整、计划基本合理，有较明确的时间节点得4分； 3）内容粗略、无进度安排得2分。未提供不得分。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进度计划</w:t>
            </w:r>
          </w:p>
        </w:tc>
      </w:tr>
      <w:tr>
        <w:tc>
          <w:tcPr>
            <w:tcW w:type="dxa" w:w="831"/>
            <w:vMerge/>
          </w:tcPr>
          <w:p/>
        </w:tc>
        <w:tc>
          <w:tcPr>
            <w:tcW w:type="dxa" w:w="1661"/>
          </w:tcPr>
          <w:p>
            <w:pPr>
              <w:pStyle w:val="null3"/>
            </w:pPr>
            <w:r>
              <w:rPr/>
              <w:t>主要材料</w:t>
            </w:r>
          </w:p>
        </w:tc>
        <w:tc>
          <w:tcPr>
            <w:tcW w:type="dxa" w:w="2492"/>
          </w:tcPr>
          <w:p>
            <w:pPr>
              <w:pStyle w:val="null3"/>
            </w:pPr>
            <w:r>
              <w:rPr/>
              <w:t>供应商针对本项目提供项目的主材清单（清单内容包括但不限于材料名称、品牌、规格、材质等），主材清单完整齐全，主要材料性能有保证（提供检测报告等相关证明材料）。 1）提供的主材清单完整齐全，主要材料性能有保证，能提供检测报告及产品合法来源渠道证明材料等相关资料，计10分； 2）提供的主要材料性能一般，提供检测报告及产品合法来源渠道证明材料等相关资料较少，计7分； 3）提供的主要材料性能档次较低，提供检测报告及产品合法来源渠道证明材料等相关资料不能证明主材质量，计4分。未提供不得分。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主要材料</w:t>
            </w:r>
          </w:p>
        </w:tc>
      </w:tr>
      <w:tr>
        <w:tc>
          <w:tcPr>
            <w:tcW w:type="dxa" w:w="831"/>
            <w:vMerge/>
          </w:tcPr>
          <w:p/>
        </w:tc>
        <w:tc>
          <w:tcPr>
            <w:tcW w:type="dxa" w:w="1661"/>
          </w:tcPr>
          <w:p>
            <w:pPr>
              <w:pStyle w:val="null3"/>
            </w:pPr>
            <w:r>
              <w:rPr/>
              <w:t>节能环保产品</w:t>
            </w:r>
          </w:p>
        </w:tc>
        <w:tc>
          <w:tcPr>
            <w:tcW w:type="dxa" w:w="2492"/>
          </w:tcPr>
          <w:p>
            <w:pPr>
              <w:pStyle w:val="null3"/>
            </w:pPr>
            <w:r>
              <w:rPr/>
              <w:t>如响应材料为节能环保（非强制性）、环境标志产品，提供相关证明材料，每提供1份计0.5分，满分3分。（注：节能环保、环境标志产品以经国家确定的认证机构出具的、处于有效期内的节能产品、环境标志产品认证证书为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节能环保产品</w:t>
            </w:r>
          </w:p>
        </w:tc>
      </w:tr>
      <w:tr>
        <w:tc>
          <w:tcPr>
            <w:tcW w:type="dxa" w:w="831"/>
            <w:vMerge/>
          </w:tcPr>
          <w:p/>
        </w:tc>
        <w:tc>
          <w:tcPr>
            <w:tcW w:type="dxa" w:w="1661"/>
          </w:tcPr>
          <w:p>
            <w:pPr>
              <w:pStyle w:val="null3"/>
            </w:pPr>
            <w:r>
              <w:rPr/>
              <w:t>业绩</w:t>
            </w:r>
          </w:p>
        </w:tc>
        <w:tc>
          <w:tcPr>
            <w:tcW w:type="dxa" w:w="2492"/>
          </w:tcPr>
          <w:p>
            <w:pPr>
              <w:pStyle w:val="null3"/>
            </w:pPr>
            <w:r>
              <w:rPr/>
              <w:t>应商须提供2021年1月1日至今（以合同签订日期为准）同类项目业绩，每提供一份得2分，满分10分（以加盖公章的合同复印件为准）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综合评分法中的价格分统一采用低价优先法计算，即满足磋商文件要求且最终磋商价格最低的报价为评标基准价，其价格分为满分。其他供应商的价格分统一按照下列公式计算：报价得分=(评标基准价／最终磋商报价)×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详见附件：项目管理机构组成表</w:t>
      </w:r>
    </w:p>
    <w:p>
      <w:pPr>
        <w:pStyle w:val="null3"/>
        <w:ind w:firstLine="960"/>
      </w:pPr>
      <w:r>
        <w:rPr/>
        <w:t>详见附件：标的清单</w:t>
      </w:r>
    </w:p>
    <w:p>
      <w:pPr>
        <w:pStyle w:val="null3"/>
        <w:ind w:firstLine="960"/>
      </w:pPr>
      <w:r>
        <w:rPr/>
        <w:t>详见附件：安全管理制度</w:t>
      </w:r>
    </w:p>
    <w:p>
      <w:pPr>
        <w:pStyle w:val="null3"/>
        <w:ind w:firstLine="960"/>
      </w:pPr>
      <w:r>
        <w:rPr/>
        <w:t>详见附件：财务制度证明材料</w:t>
      </w:r>
    </w:p>
    <w:p>
      <w:pPr>
        <w:pStyle w:val="null3"/>
        <w:ind w:firstLine="960"/>
      </w:pPr>
      <w:r>
        <w:rPr/>
        <w:t>详见附件：供应商基本资格证明文件</w:t>
      </w:r>
    </w:p>
    <w:p>
      <w:pPr>
        <w:pStyle w:val="null3"/>
        <w:ind w:firstLine="960"/>
      </w:pPr>
      <w:r>
        <w:rPr/>
        <w:t>详见附件：供应商特殊资格证明文件</w:t>
      </w:r>
    </w:p>
    <w:p>
      <w:pPr>
        <w:pStyle w:val="null3"/>
        <w:ind w:firstLine="960"/>
      </w:pPr>
      <w:r>
        <w:rPr/>
        <w:t>详见附件：节能环保产品</w:t>
      </w:r>
    </w:p>
    <w:p>
      <w:pPr>
        <w:pStyle w:val="null3"/>
        <w:ind w:firstLine="960"/>
      </w:pPr>
      <w:r>
        <w:rPr/>
        <w:t>详见附件：进度计划</w:t>
      </w:r>
    </w:p>
    <w:p>
      <w:pPr>
        <w:pStyle w:val="null3"/>
        <w:ind w:firstLine="960"/>
      </w:pPr>
      <w:r>
        <w:rPr/>
        <w:t>详见附件：拟投入本项目人员</w:t>
      </w:r>
    </w:p>
    <w:p>
      <w:pPr>
        <w:pStyle w:val="null3"/>
        <w:ind w:firstLine="960"/>
      </w:pPr>
      <w:r>
        <w:rPr/>
        <w:t>详见附件：设施设备</w:t>
      </w:r>
    </w:p>
    <w:p>
      <w:pPr>
        <w:pStyle w:val="null3"/>
        <w:ind w:firstLine="960"/>
      </w:pPr>
      <w:r>
        <w:rPr/>
        <w:t>详见附件：业绩一览表</w:t>
      </w:r>
    </w:p>
    <w:p>
      <w:pPr>
        <w:pStyle w:val="null3"/>
        <w:ind w:firstLine="960"/>
      </w:pPr>
      <w:r>
        <w:rPr/>
        <w:t>详见附件：整体方案</w:t>
      </w:r>
    </w:p>
    <w:p>
      <w:pPr>
        <w:pStyle w:val="null3"/>
        <w:ind w:firstLine="960"/>
      </w:pPr>
      <w:r>
        <w:rPr/>
        <w:t>详见附件：质量保证措施</w:t>
      </w:r>
    </w:p>
    <w:p>
      <w:pPr>
        <w:pStyle w:val="null3"/>
        <w:ind w:firstLine="960"/>
      </w:pPr>
      <w:r>
        <w:rPr/>
        <w:t>详见附件：主要材料</w:t>
      </w:r>
    </w:p>
    <w:p>
      <w:pPr>
        <w:pStyle w:val="null3"/>
        <w:ind w:firstLine="960"/>
      </w:pPr>
      <w:r>
        <w:rPr/>
        <w:t>详见附件：商务偏离表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