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高水平专业群建设—数智财经训赛平台建设项目</w:t>
      </w:r>
    </w:p>
    <w:p>
      <w:pPr>
        <w:pStyle w:val="null3"/>
        <w:jc w:val="center"/>
        <w:outlineLvl w:val="2"/>
      </w:pPr>
      <w:r>
        <w:rPr>
          <w:sz w:val="28"/>
          <w:b/>
        </w:rPr>
        <w:t>采购项目编号：</w:t>
      </w:r>
      <w:r>
        <w:rPr>
          <w:sz w:val="28"/>
          <w:b/>
        </w:rPr>
        <w:t>SZT2024-SN-SC-ZC-HW-0611</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高水平专业群建设—数智财经训赛平台建设项目</w:t>
      </w:r>
      <w:r>
        <w:rPr/>
        <w:t>进行国内公开招标，兹邀请符合本次招标要求的供应商参加投标。</w:t>
      </w:r>
    </w:p>
    <w:p>
      <w:pPr>
        <w:pStyle w:val="null3"/>
        <w:outlineLvl w:val="2"/>
      </w:pPr>
      <w:r>
        <w:rPr>
          <w:sz w:val="28"/>
          <w:b/>
        </w:rPr>
        <w:t>一、采购项目编号：</w:t>
      </w:r>
      <w:r>
        <w:rPr>
          <w:sz w:val="28"/>
          <w:b/>
        </w:rPr>
        <w:t>SZT2024-SN-SC-ZC-HW-0611</w:t>
      </w:r>
    </w:p>
    <w:p>
      <w:pPr>
        <w:pStyle w:val="null3"/>
        <w:outlineLvl w:val="2"/>
      </w:pPr>
      <w:r>
        <w:rPr>
          <w:sz w:val="28"/>
          <w:b/>
        </w:rPr>
        <w:t>二、采购项目名称：</w:t>
      </w:r>
      <w:r>
        <w:rPr>
          <w:sz w:val="28"/>
          <w:b/>
        </w:rPr>
        <w:t>高水平专业群建设—数智财经训赛平台建设项目</w:t>
      </w:r>
    </w:p>
    <w:p>
      <w:pPr>
        <w:pStyle w:val="null3"/>
        <w:outlineLvl w:val="2"/>
      </w:pPr>
      <w:r>
        <w:rPr>
          <w:sz w:val="28"/>
          <w:b/>
        </w:rPr>
        <w:t>三、招标项目简介</w:t>
      </w:r>
    </w:p>
    <w:p>
      <w:pPr>
        <w:pStyle w:val="null3"/>
        <w:ind w:firstLine="480"/>
      </w:pPr>
      <w:r>
        <w:rPr/>
        <w:t>数智财经训赛平台建设项目总预算54.6万。项目结合最新一代企业数字化技术与场景要求，基于专业新标准中的“企业EPR沙盘课程”、“财务大数据分析课程”等财经商贸类专业的核心和基础课程，并对接职业院校技能大赛，包含财务数字化训赛平台配套题库包，以及数智企业经营管理沙盘竞赛系统及案例库，可满足本专业群学生同时开展在线实训课程教学。</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采购包1（高水平专业群建设——数智财经训赛平台建设项目）：属于专门面向中小企业采购。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采购包1：546,000.00元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数智财经训赛平台建设项目总预算54.6万。项目结合最新一代企业数字化技术与场景要求，基于专业新标准中的“企业EPR沙盘课程”、“财务大数据分析课程”等财经商贸类专业的核心和基础课程，并对接职业院校技能大赛，包含财务数字化训赛平台配套题库包，以及数智企业经营管理沙盘竞赛系统及案例库，可满足本专业群学生同时开展在线实训课程教学</w:t>
      </w:r>
    </w:p>
    <w:p>
      <w:pPr>
        <w:pStyle w:val="null3"/>
        <w:outlineLvl w:val="2"/>
      </w:pPr>
      <w:r>
        <w:rPr>
          <w:sz w:val="28"/>
          <w:b/>
        </w:rPr>
        <w:t>3.2采购内容</w:t>
      </w:r>
    </w:p>
    <w:p>
      <w:pPr>
        <w:pStyle w:val="null3"/>
      </w:pPr>
      <w:r>
        <w:rPr/>
        <w:t>采购包1：</w:t>
      </w:r>
    </w:p>
    <w:p>
      <w:pPr>
        <w:pStyle w:val="null3"/>
      </w:pPr>
      <w:r>
        <w:rPr/>
        <w:t>采购包预算金额（元）: 546,000.00</w:t>
      </w:r>
    </w:p>
    <w:p>
      <w:pPr>
        <w:pStyle w:val="null3"/>
      </w:pPr>
      <w:r>
        <w:rPr/>
        <w:t>采购包最高限价（元）: 546,000.00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数智财经训赛平台建设项目</w:t>
            </w:r>
          </w:p>
        </w:tc>
        <w:tc>
          <w:tcPr>
            <w:tcW w:type="dxa" w:w="831"/>
          </w:tcPr>
          <w:p>
            <w:pPr>
              <w:pStyle w:val="null3"/>
              <w:jc w:val="right"/>
            </w:pPr>
            <w:r>
              <w:rPr/>
              <w:t>1.00</w:t>
            </w:r>
          </w:p>
        </w:tc>
        <w:tc>
          <w:tcPr>
            <w:tcW w:type="dxa" w:w="831"/>
          </w:tcPr>
          <w:p>
            <w:pPr>
              <w:pStyle w:val="null3"/>
              <w:jc w:val="right"/>
            </w:pPr>
            <w:r>
              <w:rPr/>
              <w:t>546,000.00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标的名称：数智财经训赛平台建设项目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8"/>
              <w:gridCol w:w="741"/>
              <w:gridCol w:w="829"/>
              <w:gridCol w:w="394"/>
              <w:gridCol w:w="371"/>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项目名称</w:t>
                  </w:r>
                </w:p>
              </w:tc>
              <w:tc>
                <w:tcPr>
                  <w:tcW w:type="dxa" w:w="233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高水平专业群建设</w:t>
                  </w:r>
                  <w:r>
                    <w:rPr>
                      <w:rFonts w:ascii="宋体" w:hAnsi="宋体" w:cs="宋体" w:eastAsia="宋体"/>
                      <w:sz w:val="24"/>
                      <w:color w:val="000000"/>
                    </w:rPr>
                    <w:t>——数智财经训赛平台建设项目</w:t>
                  </w:r>
                </w:p>
              </w:tc>
            </w:tr>
            <w:tr>
              <w:tc>
                <w:tcPr>
                  <w:tcW w:type="dxa" w:w="218"/>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商</w:t>
                  </w:r>
                  <w:r>
                    <w:br/>
                  </w:r>
                  <w:r>
                    <w:rPr>
                      <w:rFonts w:ascii="宋体" w:hAnsi="宋体" w:cs="宋体" w:eastAsia="宋体"/>
                      <w:sz w:val="24"/>
                      <w:color w:val="000000"/>
                    </w:rPr>
                    <w:t>务</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335"/>
                  <w:gridSpan w:val="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color w:val="000000"/>
                    </w:rPr>
                    <w:t>1.</w:t>
                  </w:r>
                  <w:r>
                    <w:rPr>
                      <w:rFonts w:ascii="宋体" w:hAnsi="宋体" w:cs="宋体" w:eastAsia="宋体"/>
                      <w:sz w:val="24"/>
                      <w:color w:val="000000"/>
                    </w:rPr>
                    <w:t>项目概况：</w:t>
                  </w:r>
                  <w:r>
                    <w:rPr>
                      <w:rFonts w:ascii="calibri" w:hAnsi="calibri" w:cs="calibri" w:eastAsia="calibri"/>
                      <w:sz w:val="21"/>
                    </w:rPr>
                    <w:t xml:space="preserve"> </w:t>
                  </w:r>
                  <w:r>
                    <w:rPr>
                      <w:rFonts w:ascii="宋体" w:hAnsi="宋体" w:cs="宋体" w:eastAsia="宋体"/>
                      <w:sz w:val="24"/>
                      <w:color w:val="000000"/>
                    </w:rPr>
                    <w:t>数智财经训赛平台建设项目总预算</w:t>
                  </w:r>
                  <w:r>
                    <w:rPr>
                      <w:rFonts w:ascii="calibri" w:hAnsi="calibri" w:cs="calibri" w:eastAsia="calibri"/>
                      <w:sz w:val="24"/>
                      <w:color w:val="000000"/>
                    </w:rPr>
                    <w:t>54.6</w:t>
                  </w:r>
                  <w:r>
                    <w:rPr>
                      <w:rFonts w:ascii="宋体" w:hAnsi="宋体" w:cs="宋体" w:eastAsia="宋体"/>
                      <w:sz w:val="24"/>
                      <w:color w:val="000000"/>
                    </w:rPr>
                    <w:t>万。项目结合最新一代企业数字化技术与场景要求，基于专业新标准中的</w:t>
                  </w:r>
                  <w:r>
                    <w:rPr>
                      <w:rFonts w:ascii="微软雅黑" w:hAnsi="微软雅黑" w:cs="微软雅黑" w:eastAsia="微软雅黑"/>
                      <w:sz w:val="24"/>
                      <w:color w:val="000000"/>
                    </w:rPr>
                    <w:t>“</w:t>
                  </w:r>
                  <w:r>
                    <w:rPr>
                      <w:rFonts w:ascii="宋体" w:hAnsi="宋体" w:cs="宋体" w:eastAsia="宋体"/>
                      <w:sz w:val="24"/>
                      <w:color w:val="000000"/>
                    </w:rPr>
                    <w:t>企业</w:t>
                  </w:r>
                  <w:r>
                    <w:rPr>
                      <w:rFonts w:ascii="calibri" w:hAnsi="calibri" w:cs="calibri" w:eastAsia="calibri"/>
                      <w:sz w:val="24"/>
                      <w:color w:val="000000"/>
                    </w:rPr>
                    <w:t>EPR</w:t>
                  </w:r>
                  <w:r>
                    <w:rPr>
                      <w:rFonts w:ascii="宋体" w:hAnsi="宋体" w:cs="宋体" w:eastAsia="宋体"/>
                      <w:sz w:val="24"/>
                      <w:color w:val="000000"/>
                    </w:rPr>
                    <w:t>沙盘课程</w:t>
                  </w:r>
                  <w:r>
                    <w:rPr>
                      <w:rFonts w:ascii="微软雅黑" w:hAnsi="微软雅黑" w:cs="微软雅黑" w:eastAsia="微软雅黑"/>
                      <w:sz w:val="24"/>
                      <w:color w:val="000000"/>
                    </w:rPr>
                    <w:t>”</w:t>
                  </w:r>
                  <w:r>
                    <w:rPr>
                      <w:rFonts w:ascii="宋体" w:hAnsi="宋体" w:cs="宋体" w:eastAsia="宋体"/>
                      <w:sz w:val="24"/>
                      <w:color w:val="000000"/>
                    </w:rPr>
                    <w:t>、</w:t>
                  </w:r>
                  <w:r>
                    <w:rPr>
                      <w:rFonts w:ascii="微软雅黑" w:hAnsi="微软雅黑" w:cs="微软雅黑" w:eastAsia="微软雅黑"/>
                      <w:sz w:val="24"/>
                      <w:color w:val="000000"/>
                    </w:rPr>
                    <w:t>“</w:t>
                  </w:r>
                  <w:r>
                    <w:rPr>
                      <w:rFonts w:ascii="宋体" w:hAnsi="宋体" w:cs="宋体" w:eastAsia="宋体"/>
                      <w:sz w:val="24"/>
                      <w:color w:val="000000"/>
                    </w:rPr>
                    <w:t>财务大数据分析课程</w:t>
                  </w:r>
                  <w:r>
                    <w:rPr>
                      <w:rFonts w:ascii="微软雅黑" w:hAnsi="微软雅黑" w:cs="微软雅黑" w:eastAsia="微软雅黑"/>
                      <w:sz w:val="24"/>
                      <w:color w:val="000000"/>
                    </w:rPr>
                    <w:t>”</w:t>
                  </w:r>
                  <w:r>
                    <w:rPr>
                      <w:rFonts w:ascii="宋体" w:hAnsi="宋体" w:cs="宋体" w:eastAsia="宋体"/>
                      <w:sz w:val="24"/>
                      <w:color w:val="000000"/>
                    </w:rPr>
                    <w:t>等财经商贸类专业的核心和基础课程，并对接职业院校技能大赛，包含财务数字化训赛平台配套题库包，以及数智企业经营管理沙盘竞赛系统及案例库，可满足本专业群学生同时开展在线实训课程教学。</w:t>
                  </w:r>
                  <w:r>
                    <w:br/>
                  </w:r>
                  <w:r>
                    <w:rPr>
                      <w:rFonts w:ascii="calibri" w:hAnsi="calibri" w:cs="calibri" w:eastAsia="calibri"/>
                      <w:sz w:val="24"/>
                      <w:color w:val="000000"/>
                    </w:rPr>
                    <w:t>2.</w:t>
                  </w:r>
                  <w:r>
                    <w:rPr>
                      <w:rFonts w:ascii="宋体" w:hAnsi="宋体" w:cs="宋体" w:eastAsia="宋体"/>
                      <w:sz w:val="24"/>
                      <w:color w:val="000000"/>
                    </w:rPr>
                    <w:t>交货期：合同签订后</w:t>
                  </w:r>
                  <w:r>
                    <w:rPr>
                      <w:rFonts w:ascii="calibri" w:hAnsi="calibri" w:cs="calibri" w:eastAsia="calibri"/>
                      <w:sz w:val="24"/>
                      <w:color w:val="000000"/>
                    </w:rPr>
                    <w:t>20</w:t>
                  </w:r>
                  <w:r>
                    <w:rPr>
                      <w:rFonts w:ascii="宋体" w:hAnsi="宋体" w:cs="宋体" w:eastAsia="宋体"/>
                      <w:sz w:val="24"/>
                      <w:color w:val="000000"/>
                    </w:rPr>
                    <w:t>日。</w:t>
                  </w:r>
                  <w:r>
                    <w:br/>
                  </w:r>
                  <w:r>
                    <w:rPr>
                      <w:rFonts w:ascii="calibri" w:hAnsi="calibri" w:cs="calibri" w:eastAsia="calibri"/>
                      <w:sz w:val="24"/>
                      <w:color w:val="000000"/>
                    </w:rPr>
                    <w:t>3.</w:t>
                  </w:r>
                  <w:r>
                    <w:rPr>
                      <w:rFonts w:ascii="宋体" w:hAnsi="宋体" w:cs="宋体" w:eastAsia="宋体"/>
                      <w:sz w:val="24"/>
                      <w:color w:val="000000"/>
                    </w:rPr>
                    <w:t>质保期：本项目质保期要求不低于</w:t>
                  </w:r>
                  <w:r>
                    <w:rPr>
                      <w:rFonts w:ascii="calibri" w:hAnsi="calibri" w:cs="calibri" w:eastAsia="calibri"/>
                      <w:sz w:val="24"/>
                      <w:color w:val="000000"/>
                    </w:rPr>
                    <w:t>3</w:t>
                  </w:r>
                  <w:r>
                    <w:rPr>
                      <w:rFonts w:ascii="宋体" w:hAnsi="宋体" w:cs="宋体" w:eastAsia="宋体"/>
                      <w:sz w:val="24"/>
                      <w:color w:val="000000"/>
                    </w:rPr>
                    <w:t>年。质保期从验收合格后开始计算。质保期以整个项目为单位进行响应。</w:t>
                  </w:r>
                  <w:r>
                    <w:br/>
                  </w:r>
                  <w:r>
                    <w:rPr>
                      <w:rFonts w:ascii="calibri" w:hAnsi="calibri" w:cs="calibri" w:eastAsia="calibri"/>
                      <w:sz w:val="24"/>
                      <w:color w:val="000000"/>
                    </w:rPr>
                    <w:t>4.</w:t>
                  </w:r>
                  <w:r>
                    <w:rPr>
                      <w:rFonts w:ascii="宋体" w:hAnsi="宋体" w:cs="宋体" w:eastAsia="宋体"/>
                      <w:sz w:val="24"/>
                      <w:color w:val="000000"/>
                    </w:rPr>
                    <w:t>交货地点：陕西机电职业技术学院指定交货地点。</w:t>
                  </w:r>
                  <w:r>
                    <w:br/>
                  </w:r>
                  <w:r>
                    <w:rPr>
                      <w:rFonts w:ascii="calibri" w:hAnsi="calibri" w:cs="calibri" w:eastAsia="calibri"/>
                      <w:sz w:val="24"/>
                      <w:color w:val="000000"/>
                    </w:rPr>
                    <w:t>5.</w:t>
                  </w:r>
                  <w:r>
                    <w:rPr>
                      <w:rFonts w:ascii="宋体" w:hAnsi="宋体" w:cs="宋体" w:eastAsia="宋体"/>
                      <w:sz w:val="24"/>
                      <w:color w:val="000000"/>
                    </w:rPr>
                    <w:t>付款方式：验收合格后，于</w:t>
                  </w:r>
                  <w:r>
                    <w:rPr>
                      <w:rFonts w:ascii="calibri" w:hAnsi="calibri" w:cs="calibri" w:eastAsia="calibri"/>
                      <w:sz w:val="24"/>
                      <w:color w:val="000000"/>
                    </w:rPr>
                    <w:t>30</w:t>
                  </w:r>
                  <w:r>
                    <w:rPr>
                      <w:rFonts w:ascii="宋体" w:hAnsi="宋体" w:cs="宋体" w:eastAsia="宋体"/>
                      <w:sz w:val="24"/>
                      <w:color w:val="000000"/>
                    </w:rPr>
                    <w:t>日之内一次性支付合同总额的</w:t>
                  </w:r>
                  <w:r>
                    <w:rPr>
                      <w:rFonts w:ascii="calibri" w:hAnsi="calibri" w:cs="calibri" w:eastAsia="calibri"/>
                      <w:sz w:val="24"/>
                      <w:color w:val="000000"/>
                    </w:rPr>
                    <w:t>100%</w:t>
                  </w:r>
                  <w:r>
                    <w:rPr>
                      <w:rFonts w:ascii="宋体" w:hAnsi="宋体" w:cs="宋体" w:eastAsia="宋体"/>
                      <w:sz w:val="24"/>
                      <w:color w:val="000000"/>
                    </w:rPr>
                    <w:t>。</w:t>
                  </w:r>
                </w:p>
              </w:tc>
            </w:tr>
            <w:tr>
              <w:tc>
                <w:tcPr>
                  <w:tcW w:type="dxa" w:w="2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218"/>
                  <w:vMerge/>
                  <w:tcBorders>
                    <w:top w:val="single" w:color="000000" w:sz="4"/>
                    <w:left w:val="single" w:color="000000" w:sz="4"/>
                    <w:bottom w:val="single" w:color="000000" w:sz="4"/>
                    <w:right w:val="single" w:color="000000" w:sz="4"/>
                  </w:tcBorders>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财务数字化训赛平台</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满足会计实务国赛需求和相关大数据分析实训课程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vMerge/>
                  <w:tcBorders>
                    <w:top w:val="single" w:color="000000" w:sz="4"/>
                    <w:left w:val="single" w:color="000000" w:sz="4"/>
                    <w:bottom w:val="single" w:color="000000" w:sz="4"/>
                    <w:right w:val="single" w:color="000000" w:sz="4"/>
                  </w:tcBorders>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会计实务企业案例包</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与财务数字化训赛平台匹配，相关企业案例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r>
                    <w:rPr>
                      <w:rFonts w:ascii="宋体" w:hAnsi="宋体" w:cs="宋体" w:eastAsia="宋体"/>
                      <w:sz w:val="24"/>
                      <w:color w:val="000000"/>
                    </w:rPr>
                    <w:t>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vMerge/>
                  <w:tcBorders>
                    <w:top w:val="single" w:color="000000" w:sz="4"/>
                    <w:left w:val="single" w:color="000000" w:sz="4"/>
                    <w:bottom w:val="single" w:color="000000" w:sz="4"/>
                    <w:right w:val="single" w:color="000000" w:sz="4"/>
                  </w:tcBorders>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数智企业经营管理沙盘竞赛系统</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满足企业经营模拟大赛国赛需求和相关</w:t>
                  </w:r>
                  <w:r>
                    <w:rPr>
                      <w:rFonts w:ascii="宋体" w:hAnsi="宋体" w:cs="宋体" w:eastAsia="宋体"/>
                      <w:sz w:val="24"/>
                      <w:color w:val="000000"/>
                    </w:rPr>
                    <w:t>ERP沙盘实训课程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vMerge/>
                  <w:tcBorders>
                    <w:top w:val="single" w:color="000000" w:sz="4"/>
                    <w:left w:val="single" w:color="000000" w:sz="4"/>
                    <w:bottom w:val="single" w:color="000000" w:sz="4"/>
                    <w:right w:val="single" w:color="000000" w:sz="4"/>
                  </w:tcBorders>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沙盘行业案例</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与数智企业经营管理沙盘竞赛系统匹配，提供相关企业案例</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套</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vMerge/>
                  <w:tcBorders>
                    <w:top w:val="single" w:color="000000" w:sz="4"/>
                    <w:left w:val="single" w:color="000000" w:sz="4"/>
                    <w:bottom w:val="single" w:color="000000" w:sz="4"/>
                    <w:right w:val="single" w:color="000000" w:sz="4"/>
                  </w:tcBorders>
                </w:tcPr>
                <w:p/>
              </w:tc>
              <w:tc>
                <w:tcPr>
                  <w:tcW w:type="dxa" w:w="7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训赛专项服务</w:t>
                  </w:r>
                </w:p>
              </w:tc>
              <w:tc>
                <w:tcPr>
                  <w:tcW w:type="dxa" w:w="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提供为本项目提供赛前技术支持，赛前一个月线下</w:t>
                  </w:r>
                  <w:r>
                    <w:rPr>
                      <w:rFonts w:ascii="calibri" w:hAnsi="calibri" w:cs="calibri" w:eastAsia="calibri"/>
                      <w:sz w:val="24"/>
                      <w:color w:val="000000"/>
                    </w:rPr>
                    <w:t>+</w:t>
                  </w:r>
                  <w:r>
                    <w:rPr>
                      <w:rFonts w:ascii="宋体" w:hAnsi="宋体" w:cs="宋体" w:eastAsia="宋体"/>
                      <w:sz w:val="24"/>
                      <w:color w:val="000000"/>
                    </w:rPr>
                    <w:t>线上全程辅导，要求有两年以上参赛或大赛辅导经验教师或团队。升级服务，三年质保，质保期内提供同版本免费升级</w:t>
                  </w:r>
                </w:p>
              </w:tc>
              <w:tc>
                <w:tcPr>
                  <w:tcW w:type="dxa" w:w="3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1项</w:t>
                  </w:r>
                </w:p>
              </w:tc>
              <w:tc>
                <w:tcPr>
                  <w:tcW w:type="dxa" w:w="3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vMerge/>
                  <w:tcBorders>
                    <w:top w:val="single" w:color="000000" w:sz="4"/>
                    <w:left w:val="single" w:color="000000" w:sz="4"/>
                    <w:bottom w:val="single" w:color="000000" w:sz="4"/>
                    <w:right w:val="single" w:color="000000" w:sz="4"/>
                  </w:tcBorders>
                </w:tcPr>
                <w:p/>
              </w:tc>
              <w:tc>
                <w:tcPr>
                  <w:tcW w:type="dxa" w:w="741"/>
                  <w:vMerge/>
                  <w:tcBorders>
                    <w:top w:val="none" w:color="000000" w:sz="4"/>
                    <w:left w:val="none" w:color="000000" w:sz="4"/>
                    <w:bottom w:val="single" w:color="000000" w:sz="4"/>
                    <w:right w:val="single" w:color="000000" w:sz="4"/>
                  </w:tcBorders>
                </w:tcPr>
                <w:p/>
              </w:tc>
              <w:tc>
                <w:tcPr>
                  <w:tcW w:type="dxa" w:w="829"/>
                  <w:vMerge/>
                  <w:tcBorders>
                    <w:top w:val="none" w:color="000000" w:sz="4"/>
                    <w:left w:val="none" w:color="000000" w:sz="4"/>
                    <w:bottom w:val="single" w:color="000000" w:sz="4"/>
                    <w:right w:val="single" w:color="000000" w:sz="4"/>
                  </w:tcBorders>
                </w:tcPr>
                <w:p/>
              </w:tc>
              <w:tc>
                <w:tcPr>
                  <w:tcW w:type="dxa" w:w="394"/>
                  <w:vMerge/>
                  <w:tcBorders>
                    <w:top w:val="none" w:color="000000" w:sz="4"/>
                    <w:left w:val="none" w:color="000000" w:sz="4"/>
                    <w:bottom w:val="single" w:color="000000" w:sz="4"/>
                    <w:right w:val="single" w:color="000000" w:sz="4"/>
                  </w:tcBorders>
                </w:tcPr>
                <w:p/>
              </w:tc>
              <w:tc>
                <w:tcPr>
                  <w:tcW w:type="dxa" w:w="371"/>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0"/>
              <w:gridCol w:w="189"/>
              <w:gridCol w:w="1819"/>
              <w:gridCol w:w="193"/>
              <w:gridCol w:w="193"/>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设备名称</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参数要求</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财务数字化训赛平台（核心产品）</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一、平台总体要求：需包含广泛使用的会计信息系统、融合财务机器人设计器的业务系统、数据可视化分析系统、数据清洗工具、数据挖掘工具、数据中心、仿真电子税务局等功能；支持以企业真实</w:t>
                  </w:r>
                  <w:r>
                    <w:rPr>
                      <w:rFonts w:ascii="宋体" w:hAnsi="宋体" w:cs="宋体" w:eastAsia="宋体"/>
                      <w:sz w:val="22"/>
                      <w:color w:val="000000"/>
                    </w:rPr>
                    <w:t>“工作场景”为背景，以企业真实的业财信息系统、财务数字化工具、财务机器人设计工具为操作平台。</w:t>
                  </w:r>
                  <w:r>
                    <w:br/>
                  </w:r>
                  <w:r>
                    <w:rPr>
                      <w:rFonts w:ascii="宋体" w:hAnsi="宋体" w:cs="宋体" w:eastAsia="宋体"/>
                      <w:sz w:val="22"/>
                      <w:color w:val="000000"/>
                    </w:rPr>
                    <w:t>1、平台整体需要包括赛务、答题、机器自动评分、业财信息化实践和财务数字化实践模块。</w:t>
                  </w:r>
                  <w:r>
                    <w:br/>
                  </w:r>
                  <w:r>
                    <w:rPr>
                      <w:rFonts w:ascii="宋体" w:hAnsi="宋体" w:cs="宋体" w:eastAsia="宋体"/>
                      <w:sz w:val="22"/>
                      <w:color w:val="000000"/>
                    </w:rPr>
                    <w:t>2、平台需要有系统管理功能，可以维护考赛管理员、场次管理员、监考员，维护不同管理员考赛类型功能，可以导入删除试卷功能，及查看在线考生及强制下线；</w:t>
                  </w:r>
                  <w:r>
                    <w:br/>
                  </w:r>
                  <w:r>
                    <w:rPr>
                      <w:rFonts w:ascii="宋体" w:hAnsi="宋体" w:cs="宋体" w:eastAsia="宋体"/>
                      <w:sz w:val="22"/>
                      <w:color w:val="000000"/>
                    </w:rPr>
                    <w:t>3、平台需要有赛务端，支持教师同时开启多场次训赛，每个场次可以同时建立多个类型的训赛，每个场次独立进行训赛，并可为助教开通专门账号，均可查看实时成绩，互不影响。</w:t>
                  </w:r>
                  <w:r>
                    <w:br/>
                  </w:r>
                  <w:r>
                    <w:rPr>
                      <w:rFonts w:ascii="宋体" w:hAnsi="宋体" w:cs="宋体" w:eastAsia="宋体"/>
                      <w:sz w:val="22"/>
                      <w:color w:val="000000"/>
                    </w:rPr>
                    <w:t>4、平台可以实现实时展示赛事进程：动态显示实时成绩、得分排名、团队排名、任务完成情况、团队任务完成情况；</w:t>
                  </w:r>
                  <w:r>
                    <w:br/>
                  </w:r>
                  <w:r>
                    <w:rPr>
                      <w:rFonts w:ascii="宋体" w:hAnsi="宋体" w:cs="宋体" w:eastAsia="宋体"/>
                      <w:sz w:val="22"/>
                      <w:color w:val="000000"/>
                    </w:rPr>
                    <w:t>5、平台可以支持针对每个队伍，自动维护数据可视化分析系统地址、python地址、数据中心地址、国税局地址、数据清洗数据挖掘地址，方便教学及竞赛训练使用；</w:t>
                  </w:r>
                  <w:r>
                    <w:br/>
                  </w:r>
                  <w:r>
                    <w:rPr>
                      <w:rFonts w:ascii="宋体" w:hAnsi="宋体" w:cs="宋体" w:eastAsia="宋体"/>
                      <w:sz w:val="22"/>
                      <w:color w:val="000000"/>
                    </w:rPr>
                    <w:t>6、答题端功能支持一键登陆，进行自由上传分析报表、链接数据库、链接表格、自定义设计可视化看板、自由设置可视化图形、自由新增字段设计维度及指标、自由设计可视化驾驶舱考核；</w:t>
                  </w:r>
                </w:p>
                <w:p>
                  <w:pPr>
                    <w:pStyle w:val="null3"/>
                    <w:jc w:val="left"/>
                  </w:pPr>
                  <w:r>
                    <w:rPr>
                      <w:rFonts w:ascii="宋体" w:hAnsi="宋体" w:cs="宋体" w:eastAsia="宋体"/>
                      <w:sz w:val="22"/>
                      <w:color w:val="000000"/>
                    </w:rPr>
                    <w:t>二、平台内置会计信息系统，需要包含以下模块应用：</w:t>
                  </w:r>
                  <w:r>
                    <w:br/>
                  </w:r>
                  <w:r>
                    <w:rPr>
                      <w:rFonts w:ascii="宋体" w:hAnsi="宋体" w:cs="宋体" w:eastAsia="宋体"/>
                      <w:sz w:val="22"/>
                      <w:color w:val="000000"/>
                    </w:rPr>
                    <w:t>1.动态建模平台至少组织建模、流程建模、共享服务建模；支持共享服务中心动态组织建模。学生可以根据案例设计多种财务共享服务中心模式。可以自由设计共享服务中心所处理费用、应收、应付、资产、资金、自有表单等模块的业务范围，并与共享服务教学端进行数据对接。</w:t>
                  </w:r>
                </w:p>
                <w:p>
                  <w:pPr>
                    <w:pStyle w:val="null3"/>
                    <w:jc w:val="left"/>
                  </w:pPr>
                  <w:r>
                    <w:rPr>
                      <w:rFonts w:ascii="宋体" w:hAnsi="宋体" w:cs="宋体" w:eastAsia="宋体"/>
                      <w:sz w:val="22"/>
                      <w:color w:val="000000"/>
                    </w:rPr>
                    <w:t>▲</w:t>
                  </w:r>
                  <w:r>
                    <w:rPr>
                      <w:rFonts w:ascii="宋体" w:hAnsi="宋体" w:cs="宋体" w:eastAsia="宋体"/>
                      <w:sz w:val="22"/>
                      <w:color w:val="000000"/>
                    </w:rPr>
                    <w:t>2.支持将设计的业财一体化共享流程在实训系统中配置实现，至少包括费用共享、采购应付共享、销售应收共享、固定资产共享、资金结算共享、税务共享等全面业财融合共享业务；</w:t>
                  </w:r>
                </w:p>
                <w:p>
                  <w:pPr>
                    <w:pStyle w:val="null3"/>
                    <w:jc w:val="left"/>
                  </w:pPr>
                  <w:r>
                    <w:rPr>
                      <w:rFonts w:ascii="宋体" w:hAnsi="宋体" w:cs="宋体" w:eastAsia="宋体"/>
                      <w:sz w:val="22"/>
                      <w:color w:val="000000"/>
                    </w:rPr>
                    <w:t>3.总账：财务核算系统的核心系统，支持处理从会计凭证编制到财务账簿查询的全部会计处理过程。</w:t>
                  </w:r>
                </w:p>
                <w:p>
                  <w:pPr>
                    <w:pStyle w:val="null3"/>
                    <w:jc w:val="left"/>
                  </w:pPr>
                  <w:r>
                    <w:rPr>
                      <w:rFonts w:ascii="宋体" w:hAnsi="宋体" w:cs="宋体" w:eastAsia="宋体"/>
                      <w:sz w:val="22"/>
                      <w:color w:val="000000"/>
                    </w:rPr>
                    <w:t>4.应收应付管理：支持处理企业所有债权业务及相关管理工作，应收账款和应付账款确认可通过业务财务一体化自动生成会计凭证。</w:t>
                  </w:r>
                </w:p>
                <w:p>
                  <w:pPr>
                    <w:pStyle w:val="null3"/>
                    <w:jc w:val="left"/>
                  </w:pPr>
                  <w:r>
                    <w:rPr>
                      <w:rFonts w:ascii="宋体" w:hAnsi="宋体" w:cs="宋体" w:eastAsia="宋体"/>
                      <w:sz w:val="22"/>
                      <w:color w:val="000000"/>
                    </w:rPr>
                    <w:t>5.费用报销：费用管理用于帮助企业实现员工基于互联网进行费用报销，帮助企业处理所有日常费用报销业务，并提供更多的查询统计报告。</w:t>
                  </w:r>
                </w:p>
                <w:p>
                  <w:pPr>
                    <w:pStyle w:val="null3"/>
                    <w:jc w:val="left"/>
                  </w:pPr>
                  <w:r>
                    <w:rPr>
                      <w:rFonts w:ascii="宋体" w:hAnsi="宋体" w:cs="宋体" w:eastAsia="宋体"/>
                      <w:sz w:val="22"/>
                      <w:color w:val="000000"/>
                    </w:rPr>
                    <w:t>6.存货核算：反映企业物料的成本信息。支持接收各业务系统的数据，如：采购入库单、销售出库单、和其他出入库单等。</w:t>
                  </w:r>
                </w:p>
                <w:p>
                  <w:pPr>
                    <w:pStyle w:val="null3"/>
                    <w:jc w:val="left"/>
                  </w:pPr>
                  <w:r>
                    <w:rPr>
                      <w:rFonts w:ascii="宋体" w:hAnsi="宋体" w:cs="宋体" w:eastAsia="宋体"/>
                      <w:sz w:val="22"/>
                      <w:color w:val="000000"/>
                    </w:rPr>
                    <w:t>7.会计平台：可以将各业务单据自动转换成总账凭证、责任凭证、财税凭证，支持按不同报告要求建立多个核算账簿、多准则、多币种、国际化等的应用。</w:t>
                  </w:r>
                </w:p>
                <w:p>
                  <w:pPr>
                    <w:pStyle w:val="null3"/>
                    <w:jc w:val="left"/>
                  </w:pPr>
                  <w:r>
                    <w:rPr>
                      <w:rFonts w:ascii="宋体" w:hAnsi="宋体" w:cs="宋体" w:eastAsia="宋体"/>
                      <w:sz w:val="22"/>
                      <w:color w:val="000000"/>
                    </w:rPr>
                    <w:t>8.财务报表：支持报表数据手工录入和自动计算，提供为满足教学设计案例企业的内部管理和外部监管上报要求的各种报表进行审核、汇总的服务，提供报表数据的报送管理服务，提供计划任务对报表数据进行自动批量计算。</w:t>
                  </w:r>
                </w:p>
                <w:p>
                  <w:pPr>
                    <w:pStyle w:val="null3"/>
                    <w:jc w:val="left"/>
                  </w:pPr>
                  <w:r>
                    <w:rPr>
                      <w:rFonts w:ascii="宋体" w:hAnsi="宋体" w:cs="宋体" w:eastAsia="宋体"/>
                      <w:sz w:val="22"/>
                      <w:color w:val="000000"/>
                    </w:rPr>
                    <w:t>9.共享服务作业平台：学生可以根据共享服务案例设计，将设计的贡献服务中心组织建模方案在实训系统中进行配置，实现共享服务教学端进行无缝集成，便于教学组织；支持创建共享中心，支持设置委托关系、具体业务单位的业务委托给指定的共享中心。</w:t>
                  </w:r>
                </w:p>
                <w:p>
                  <w:pPr>
                    <w:pStyle w:val="null3"/>
                    <w:jc w:val="left"/>
                  </w:pPr>
                  <w:r>
                    <w:rPr>
                      <w:rFonts w:ascii="宋体" w:hAnsi="宋体" w:cs="宋体" w:eastAsia="宋体"/>
                      <w:sz w:val="22"/>
                      <w:color w:val="000000"/>
                    </w:rPr>
                    <w:t xml:space="preserve">10.库存管理：企业采购、生产、设备运维等日常计划和控制的基础，支持通过对仓库、货位等管理及出入库业务的管理来及时反映各种物料的仓储和流向情况，为企业其他的日常业务活动和财务核算提供依据，支持库存统计和分析。 </w:t>
                  </w:r>
                  <w:r>
                    <w:br/>
                  </w:r>
                  <w:r>
                    <w:rPr>
                      <w:rFonts w:ascii="宋体" w:hAnsi="宋体" w:cs="宋体" w:eastAsia="宋体"/>
                      <w:sz w:val="22"/>
                      <w:color w:val="000000"/>
                    </w:rPr>
                    <w:t>三、数据可视化分析系统要求</w:t>
                  </w:r>
                  <w:r>
                    <w:br/>
                  </w:r>
                  <w:r>
                    <w:rPr>
                      <w:rFonts w:ascii="宋体" w:hAnsi="宋体" w:cs="宋体" w:eastAsia="宋体"/>
                      <w:sz w:val="22"/>
                      <w:color w:val="000000"/>
                    </w:rPr>
                    <w:t>1.可以用户选择可视化、创建综合分析界面，设置联动、链接；选择多个可视化创建报表和故事板，无需编写代码，把可视化对象在故事板页面中拖拽布局，支持故事板页面分页。</w:t>
                  </w:r>
                  <w:r>
                    <w:br/>
                  </w:r>
                  <w:r>
                    <w:rPr>
                      <w:rFonts w:ascii="宋体" w:hAnsi="宋体" w:cs="宋体" w:eastAsia="宋体"/>
                      <w:sz w:val="22"/>
                      <w:color w:val="000000"/>
                    </w:rPr>
                    <w:t>2.数据可视化分析系统内置至少30种图表，包括柱状图、阶梯瀑布图、条形图、图案填充条形图、堆叠柱状图、堆叠条形图、饼图、环形图等。</w:t>
                  </w:r>
                </w:p>
                <w:p>
                  <w:pPr>
                    <w:pStyle w:val="null3"/>
                    <w:jc w:val="left"/>
                  </w:pPr>
                  <w:r>
                    <w:rPr>
                      <w:rFonts w:ascii="宋体" w:hAnsi="宋体" w:cs="宋体" w:eastAsia="宋体"/>
                      <w:sz w:val="22"/>
                      <w:color w:val="000000"/>
                    </w:rPr>
                    <w:t>四、财务机器人设计器功能要求</w:t>
                  </w:r>
                  <w:r>
                    <w:br/>
                  </w:r>
                  <w:r>
                    <w:rPr>
                      <w:rFonts w:ascii="宋体" w:hAnsi="宋体" w:cs="宋体" w:eastAsia="宋体"/>
                      <w:sz w:val="22"/>
                      <w:color w:val="000000"/>
                    </w:rPr>
                    <w:t>1.财务机器人设计器能够支持流程设计、数据操作、图像识别、用户交互、文件操作、Office读写、网络服务、邮件操作、浏览器操作、ERP类操作等插件命令，可使用各种命令组合，便捷高效地设计机器人流程模板。</w:t>
                  </w:r>
                </w:p>
                <w:p>
                  <w:pPr>
                    <w:pStyle w:val="null3"/>
                    <w:jc w:val="left"/>
                  </w:pPr>
                  <w:r>
                    <w:rPr>
                      <w:rFonts w:ascii="宋体" w:hAnsi="宋体" w:cs="宋体" w:eastAsia="宋体"/>
                      <w:sz w:val="22"/>
                      <w:color w:val="000000"/>
                    </w:rPr>
                    <w:t>五、大数据辅助工具功能要求</w:t>
                  </w:r>
                  <w:r>
                    <w:br/>
                  </w:r>
                  <w:r>
                    <w:rPr>
                      <w:rFonts w:ascii="宋体" w:hAnsi="宋体" w:cs="宋体" w:eastAsia="宋体"/>
                      <w:sz w:val="22"/>
                      <w:color w:val="000000"/>
                    </w:rPr>
                    <w:t>1、数据清洗工具：对上传的数据可以进行自动清洗。通过教学管理平台预置数据，学生可以自行上传数据表格。</w:t>
                  </w:r>
                  <w:r>
                    <w:br/>
                  </w:r>
                  <w:r>
                    <w:rPr>
                      <w:rFonts w:ascii="宋体" w:hAnsi="宋体" w:cs="宋体" w:eastAsia="宋体"/>
                      <w:sz w:val="22"/>
                      <w:color w:val="000000"/>
                    </w:rPr>
                    <w:t>2、代码编辑器：预置有“代码模式”。代码模式：服务器端安装全部程序，学生端无需搭建环境，打开即可使用，支持语法高亮、代码自动补全、实时代码。</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会计实务企业案例包</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会计实务企业案例库支持财务数字化训赛平台运行使用，支持业财信息化与财务数字化相关实践课程和会计实务赛项竞赛训练。</w:t>
                  </w:r>
                </w:p>
                <w:p>
                  <w:pPr>
                    <w:pStyle w:val="null3"/>
                    <w:jc w:val="left"/>
                  </w:pPr>
                  <w:r>
                    <w:rPr>
                      <w:rFonts w:ascii="宋体" w:hAnsi="宋体" w:cs="宋体" w:eastAsia="宋体"/>
                      <w:sz w:val="22"/>
                      <w:color w:val="000000"/>
                    </w:rPr>
                    <w:t>平台题库包：每包练习案例包含不少于</w:t>
                  </w:r>
                  <w:r>
                    <w:rPr>
                      <w:rFonts w:ascii="宋体" w:hAnsi="宋体" w:cs="宋体" w:eastAsia="宋体"/>
                      <w:sz w:val="22"/>
                      <w:color w:val="000000"/>
                    </w:rPr>
                    <w:t>5家企业的完整案例，且购买不同题库包中企业案例不得重复出现。须与财务数字化训赛平台配套使用，投标须提供每个案例概述。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数智企业经营管理沙盘竞赛系统</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整体要求：数智企业经营管理沙盘需通过沙盘模拟经营的方式，采用分岗经营模式，以协作的方式理解经营，了解企业管理过程中的主要流程。系统能够对沙盘模拟中的产能数据、销售数据、进出库等数据进行实时爬取，经系统分解建模计算后，通过图形面板的形式展示。通过数字化系统，将经营数据从过期数据改换为实时数据，管理岗位可以实时的分析数据，调整经营决策。</w:t>
                  </w:r>
                  <w:r>
                    <w:br/>
                  </w:r>
                  <w:r>
                    <w:rPr>
                      <w:rFonts w:ascii="宋体" w:hAnsi="宋体" w:cs="宋体" w:eastAsia="宋体"/>
                      <w:sz w:val="22"/>
                      <w:color w:val="000000"/>
                    </w:rPr>
                    <w:t>1. 系统包含教学管理平台，且与沙盘系统实现无缝衔接，同一平台，单点登录，无需切换网址。实训组织形式，针对我校教学计划及学生基础不同，支持选择集中实训或按照周课时进行实训，支持学生单人全岗、多人分岗的实训方式，教师可随时掌控学生整体进度。实训案例需包含工业品制造业、快消品制造至少三种不同的规则参数，让学生充分学习不同类型的企业，经营重点的区别。案例DIY编辑，提供教师自编案例的工具。教师可通过案例开发功能，主动编辑案例。</w:t>
                  </w:r>
                  <w:r>
                    <w:br/>
                  </w:r>
                  <w:r>
                    <w:rPr>
                      <w:rFonts w:ascii="宋体" w:hAnsi="宋体" w:cs="宋体" w:eastAsia="宋体"/>
                      <w:sz w:val="22"/>
                      <w:color w:val="000000"/>
                    </w:rPr>
                    <w:t>2.为教师提供数字化的分析工具，内置算法，将学生的关键数据指标化，并形成图形进行对比，助力教师便捷分析实践结果。包括但不限于市场占有率、成本利润率、广告产出比分析等。</w:t>
                  </w:r>
                  <w:r>
                    <w:br/>
                  </w:r>
                  <w:r>
                    <w:rPr>
                      <w:rFonts w:ascii="宋体" w:hAnsi="宋体" w:cs="宋体" w:eastAsia="宋体"/>
                      <w:sz w:val="22"/>
                      <w:color w:val="000000"/>
                    </w:rPr>
                    <w:t>二、沙盘功能要求</w:t>
                  </w:r>
                  <w:r>
                    <w:br/>
                  </w:r>
                  <w:r>
                    <w:rPr>
                      <w:rFonts w:ascii="宋体" w:hAnsi="宋体" w:cs="宋体" w:eastAsia="宋体"/>
                      <w:sz w:val="22"/>
                      <w:b/>
                      <w:color w:val="000000"/>
                    </w:rPr>
                    <w:t>1.企业信息化经营模拟阶段:</w:t>
                  </w:r>
                  <w:r>
                    <w:rPr>
                      <w:rFonts w:ascii="宋体" w:hAnsi="宋体" w:cs="宋体" w:eastAsia="宋体"/>
                      <w:sz w:val="22"/>
                      <w:color w:val="000000"/>
                    </w:rPr>
                    <w:t>依据市场需求和竞争态势实施市场营销，获取订单。根据订单，以销定产，通过人力资源招聘，营运资金管理，供应链生产管理生产产品，交付订单，获取利润，推进企业发展，检验团队企业经营管理综合能力。</w:t>
                  </w:r>
                  <w:r>
                    <w:br/>
                  </w:r>
                  <w:r>
                    <w:rPr>
                      <w:rFonts w:ascii="宋体" w:hAnsi="宋体" w:cs="宋体" w:eastAsia="宋体"/>
                      <w:sz w:val="22"/>
                      <w:b/>
                      <w:color w:val="000000"/>
                    </w:rPr>
                    <w:t>2.企业数字化经营模拟阶段:</w:t>
                  </w:r>
                  <w:r>
                    <w:rPr>
                      <w:rFonts w:ascii="宋体" w:hAnsi="宋体" w:cs="宋体" w:eastAsia="宋体"/>
                      <w:sz w:val="22"/>
                      <w:color w:val="000000"/>
                    </w:rPr>
                    <w:t>使用数字化管理平台驱动营销管理、生产管理、人力资源管理、财务管理，实时分析竞争对手企业各类信息，挖掘数据，依据数据经营，以数字技术、数字意识驱动企业数字化变革，展现团队的协作意识，创新意识</w:t>
                  </w:r>
                  <w:r>
                    <w:br/>
                  </w:r>
                  <w:r>
                    <w:rPr>
                      <w:rFonts w:ascii="宋体" w:hAnsi="宋体" w:cs="宋体" w:eastAsia="宋体"/>
                      <w:sz w:val="22"/>
                      <w:color w:val="000000"/>
                    </w:rPr>
                    <w:t>三、学生岗位功能</w:t>
                  </w:r>
                  <w:r>
                    <w:br/>
                  </w:r>
                  <w:r>
                    <w:rPr>
                      <w:rFonts w:ascii="宋体" w:hAnsi="宋体" w:cs="宋体" w:eastAsia="宋体"/>
                      <w:sz w:val="22"/>
                      <w:b/>
                      <w:color w:val="000000"/>
                    </w:rPr>
                    <w:t>1.财务总监:</w:t>
                  </w:r>
                  <w:r>
                    <w:rPr>
                      <w:rFonts w:ascii="宋体" w:hAnsi="宋体" w:cs="宋体" w:eastAsia="宋体"/>
                      <w:sz w:val="22"/>
                      <w:color w:val="000000"/>
                    </w:rPr>
                    <w:t>预算控制中财务总监岗位对其他岗位分配预算，帮助学生认知企业财务的工作流程，并在实践中学习成本控制的原则。融资管理中财务总监岗位可以通过贷款进行企业的融资，让学生训练对筹资决策的分析能力。包含应收账款管理、应付账款管理、费用管理、报表管理、报表管理等</w:t>
                  </w:r>
                  <w:r>
                    <w:br/>
                  </w:r>
                  <w:r>
                    <w:rPr>
                      <w:rFonts w:ascii="宋体" w:hAnsi="宋体" w:cs="宋体" w:eastAsia="宋体"/>
                      <w:sz w:val="22"/>
                      <w:b/>
                      <w:color w:val="000000"/>
                    </w:rPr>
                    <w:t>2.人力资源总监:</w:t>
                  </w:r>
                  <w:r>
                    <w:rPr>
                      <w:rFonts w:ascii="宋体" w:hAnsi="宋体" w:cs="宋体" w:eastAsia="宋体"/>
                      <w:sz w:val="22"/>
                      <w:color w:val="000000"/>
                    </w:rPr>
                    <w:t>通过岗位管理，可以训练人力资源岗位学生对企业薪酬设计和薪酬管理的能力。包含培训管理、激励管理、智能算法辅助招聘。</w:t>
                  </w:r>
                </w:p>
                <w:p>
                  <w:pPr>
                    <w:pStyle w:val="null3"/>
                    <w:jc w:val="left"/>
                  </w:pPr>
                  <w:r>
                    <w:rPr>
                      <w:rFonts w:ascii="宋体" w:hAnsi="宋体" w:cs="宋体" w:eastAsia="宋体"/>
                      <w:sz w:val="22"/>
                      <w:b/>
                      <w:color w:val="000000"/>
                    </w:rPr>
                    <w:t>3.生产总监:</w:t>
                  </w:r>
                  <w:r>
                    <w:rPr>
                      <w:rFonts w:ascii="宋体" w:hAnsi="宋体" w:cs="宋体" w:eastAsia="宋体"/>
                      <w:sz w:val="22"/>
                      <w:color w:val="000000"/>
                    </w:rPr>
                    <w:t>工人管理、设备管理、设计管理、智能生产等，智能生产中呈现智能制造应用场景。系统开启智能生产后，系统需根据算法，自动以最优的组合给企业里的所有生产线排产，并且系统会自动更新最新的产品</w:t>
                  </w:r>
                  <w:r>
                    <w:rPr>
                      <w:rFonts w:ascii="宋体" w:hAnsi="宋体" w:cs="宋体" w:eastAsia="宋体"/>
                      <w:sz w:val="22"/>
                      <w:color w:val="000000"/>
                    </w:rPr>
                    <w:t>bom设计以及自动去供应商购买原材料。</w:t>
                  </w:r>
                  <w:r>
                    <w:br/>
                  </w:r>
                  <w:r>
                    <w:rPr>
                      <w:rFonts w:ascii="宋体" w:hAnsi="宋体" w:cs="宋体" w:eastAsia="宋体"/>
                      <w:sz w:val="22"/>
                      <w:b/>
                      <w:color w:val="000000"/>
                    </w:rPr>
                    <w:t>4.营销总监:</w:t>
                  </w:r>
                  <w:r>
                    <w:rPr>
                      <w:rFonts w:ascii="宋体" w:hAnsi="宋体" w:cs="宋体" w:eastAsia="宋体"/>
                      <w:sz w:val="22"/>
                      <w:color w:val="000000"/>
                    </w:rPr>
                    <w:t>营销总监负责开拓企业的销售渠道，他需要制定渠道计划，逐步的拓展更大的销售市场，通过渠道管理、促销管理、交付管理、营销数据可视化看板等进行营销管理。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沙盘行业案例</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结合我校行业办学特色，沙盘行业案例需包含以工程机械行业为背景的实践案例。</w:t>
                  </w:r>
                  <w:r>
                    <w:br/>
                  </w:r>
                  <w:r>
                    <w:rPr>
                      <w:rFonts w:ascii="宋体" w:hAnsi="宋体" w:cs="宋体" w:eastAsia="宋体"/>
                      <w:sz w:val="22"/>
                      <w:color w:val="000000"/>
                    </w:rPr>
                    <w:t>（</w:t>
                  </w:r>
                  <w:r>
                    <w:rPr>
                      <w:rFonts w:ascii="宋体" w:hAnsi="宋体" w:cs="宋体" w:eastAsia="宋体"/>
                      <w:sz w:val="22"/>
                      <w:color w:val="000000"/>
                    </w:rPr>
                    <w:t>1）对标制造行业，以重工工程企业为案例背景。培养学生关于机械工程基本理论和基础知识，能在机械工程领域从事工程设计、生产制造、技术开发、生产组织管理等方面工作的复合型高级工程人才。掌握企业经营流程、管理知识、转型认知等多样化技能。</w:t>
                  </w:r>
                  <w:r>
                    <w:br/>
                  </w:r>
                  <w:r>
                    <w:rPr>
                      <w:rFonts w:ascii="宋体" w:hAnsi="宋体" w:cs="宋体" w:eastAsia="宋体"/>
                      <w:sz w:val="22"/>
                      <w:color w:val="000000"/>
                    </w:rPr>
                    <w:t>（</w:t>
                  </w:r>
                  <w:r>
                    <w:rPr>
                      <w:rFonts w:ascii="宋体" w:hAnsi="宋体" w:cs="宋体" w:eastAsia="宋体"/>
                      <w:sz w:val="22"/>
                      <w:color w:val="000000"/>
                    </w:rPr>
                    <w:t>2）支持面向国内与国外大市场经营；</w:t>
                  </w:r>
                  <w:r>
                    <w:br/>
                  </w:r>
                  <w:r>
                    <w:rPr>
                      <w:rFonts w:ascii="宋体" w:hAnsi="宋体" w:cs="宋体" w:eastAsia="宋体"/>
                      <w:sz w:val="22"/>
                      <w:color w:val="000000"/>
                    </w:rPr>
                    <w:t>（</w:t>
                  </w:r>
                  <w:r>
                    <w:rPr>
                      <w:rFonts w:ascii="宋体" w:hAnsi="宋体" w:cs="宋体" w:eastAsia="宋体"/>
                      <w:sz w:val="22"/>
                      <w:color w:val="000000"/>
                    </w:rPr>
                    <w:t>3）支持传统设备、半自动设备、自动设备三大生产线运营；支持大、中、小三大级别重型机械设备经营产品生产；</w:t>
                  </w:r>
                  <w:r>
                    <w:br/>
                  </w:r>
                  <w:r>
                    <w:rPr>
                      <w:rFonts w:ascii="宋体" w:hAnsi="宋体" w:cs="宋体" w:eastAsia="宋体"/>
                      <w:sz w:val="22"/>
                      <w:color w:val="000000"/>
                    </w:rPr>
                    <w:t>（</w:t>
                  </w:r>
                  <w:r>
                    <w:rPr>
                      <w:rFonts w:ascii="宋体" w:hAnsi="宋体" w:cs="宋体" w:eastAsia="宋体"/>
                      <w:sz w:val="22"/>
                      <w:color w:val="000000"/>
                    </w:rPr>
                    <w:t>4）支持传动系统、行驶系统、制动系统、工作装置等设备配件四大主原材料供给；</w:t>
                  </w:r>
                  <w:r>
                    <w:br/>
                  </w:r>
                  <w:r>
                    <w:rPr>
                      <w:rFonts w:ascii="宋体" w:hAnsi="宋体" w:cs="宋体" w:eastAsia="宋体"/>
                      <w:sz w:val="22"/>
                      <w:color w:val="000000"/>
                    </w:rPr>
                    <w:t>（</w:t>
                  </w:r>
                  <w:r>
                    <w:rPr>
                      <w:rFonts w:ascii="宋体" w:hAnsi="宋体" w:cs="宋体" w:eastAsia="宋体"/>
                      <w:sz w:val="22"/>
                      <w:color w:val="000000"/>
                    </w:rPr>
                    <w:t>5）内置多维度评分模式，教师可以自由设定比例，系统会根据学生的学习情况以及教师的打分情况，自动计算出学生的最终得分。</w:t>
                  </w:r>
                  <w:r>
                    <w:br/>
                  </w:r>
                  <w:r>
                    <w:rPr>
                      <w:rFonts w:ascii="宋体" w:hAnsi="宋体" w:cs="宋体" w:eastAsia="宋体"/>
                      <w:sz w:val="22"/>
                      <w:color w:val="000000"/>
                    </w:rPr>
                    <w:t>（</w:t>
                  </w:r>
                  <w:r>
                    <w:rPr>
                      <w:rFonts w:ascii="宋体" w:hAnsi="宋体" w:cs="宋体" w:eastAsia="宋体"/>
                      <w:sz w:val="22"/>
                      <w:color w:val="000000"/>
                    </w:rPr>
                    <w:t>6）支持选择集中实训或按照周课时进行实训，支持学生单人全岗、多人分岗的实训方式，教师可随时掌控学生整体进度。</w:t>
                  </w:r>
                  <w:r>
                    <w:br/>
                  </w:r>
                  <w:r>
                    <w:rPr>
                      <w:rFonts w:ascii="宋体" w:hAnsi="宋体" w:cs="宋体" w:eastAsia="宋体"/>
                      <w:sz w:val="22"/>
                      <w:color w:val="000000"/>
                    </w:rPr>
                    <w:t>（</w:t>
                  </w:r>
                  <w:r>
                    <w:rPr>
                      <w:rFonts w:ascii="宋体" w:hAnsi="宋体" w:cs="宋体" w:eastAsia="宋体"/>
                      <w:sz w:val="22"/>
                      <w:color w:val="000000"/>
                    </w:rPr>
                    <w:t>7）支持提供数字化场景的管理方式，体验从传统管理升级到智能化管理后的管理理念变革。使用智能算法推动智能生产。构造“产研供”一体的生产结构，学生操作后，自动购买原材料、自动配置最优的工人进行全自动生产。</w:t>
                  </w:r>
                  <w:r>
                    <w:br/>
                  </w:r>
                  <w:r>
                    <w:rPr>
                      <w:rFonts w:ascii="宋体" w:hAnsi="宋体" w:cs="宋体" w:eastAsia="宋体"/>
                      <w:sz w:val="22"/>
                      <w:color w:val="000000"/>
                    </w:rPr>
                    <w:t>（</w:t>
                  </w:r>
                  <w:r>
                    <w:rPr>
                      <w:rFonts w:ascii="宋体" w:hAnsi="宋体" w:cs="宋体" w:eastAsia="宋体"/>
                      <w:sz w:val="22"/>
                      <w:color w:val="000000"/>
                    </w:rPr>
                    <w:t>8）支持提供大数据看板，通过自身认知，构建DIY的大数据看板，分析自身企业在生产方面的现状，预测数据，驱动企业的向前发展。</w:t>
                  </w:r>
                  <w:r>
                    <w:br/>
                  </w:r>
                  <w:r>
                    <w:rPr>
                      <w:rFonts w:ascii="宋体" w:hAnsi="宋体" w:cs="宋体" w:eastAsia="宋体"/>
                      <w:sz w:val="22"/>
                      <w:color w:val="000000"/>
                    </w:rPr>
                    <w:t>（</w:t>
                  </w:r>
                  <w:r>
                    <w:rPr>
                      <w:rFonts w:ascii="宋体" w:hAnsi="宋体" w:cs="宋体" w:eastAsia="宋体"/>
                      <w:sz w:val="22"/>
                      <w:color w:val="000000"/>
                    </w:rPr>
                    <w:t>9）支持多人多岗，单人多岗的协作模式。</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训赛专项培训</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（一）提供平台安装服务，包含：（</w:t>
                  </w:r>
                  <w:r>
                    <w:rPr>
                      <w:rFonts w:ascii="宋体" w:hAnsi="宋体" w:cs="宋体" w:eastAsia="宋体"/>
                      <w:sz w:val="22"/>
                      <w:color w:val="000000"/>
                    </w:rPr>
                    <w:t>1）服务器基础架构搭建服务；（2）院校基础信息配置服务；（3）院校管理员、老师、学生账号配置服务；（4）基础应用权限配置服务；（5）平台环境调试测试服务。</w:t>
                  </w:r>
                  <w:r>
                    <w:br/>
                  </w:r>
                  <w:r>
                    <w:rPr>
                      <w:rFonts w:ascii="宋体" w:hAnsi="宋体" w:cs="宋体" w:eastAsia="宋体"/>
                      <w:sz w:val="22"/>
                      <w:color w:val="000000"/>
                    </w:rPr>
                    <w:t>（二）为减少院校的操作错误概率，为学校培训熟练的独立操作工作人员，确保用户正确使用平台。为本项目提供赛前技术支持，赛前一个月线下</w:t>
                  </w:r>
                  <w:r>
                    <w:rPr>
                      <w:rFonts w:ascii="宋体" w:hAnsi="宋体" w:cs="宋体" w:eastAsia="宋体"/>
                      <w:sz w:val="22"/>
                      <w:color w:val="000000"/>
                    </w:rPr>
                    <w:t>+线上全程辅导，要求有两年以上参赛或大赛辅导经验教师或团队。</w:t>
                  </w:r>
                  <w:r>
                    <w:br/>
                  </w:r>
                  <w:r>
                    <w:rPr>
                      <w:rFonts w:ascii="宋体" w:hAnsi="宋体" w:cs="宋体" w:eastAsia="宋体"/>
                      <w:sz w:val="22"/>
                      <w:color w:val="000000"/>
                    </w:rPr>
                    <w:t>（三）升级服务。三年质保，质保期内提供同版本免费升级。</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项</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合同签订后20日。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本项目质保期要求不低于3年。质保期从验收合格后开始计算。质保期以整个项目为单位进行响应。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 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投标文件制作注意事项（必看）</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合同签订后20日。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本项目质保期要求不低于3年。质保期从验收合格后开始计算。质保期以整个项目为单位进行响应。</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技术先进，性能稳定，产品来源渠道正规，确保生产供应的产品无假货、水货、翻新货且无产权纠纷，提供的投标产品合法来源渠道证明文件（不限于代理协议、原厂授权等）齐全；得4分；产品来源渠道证明文件内容有缺陷、单一、响应粗略得2分； 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根据各供应商针对本项目的售后服务方案，至少包含：1、售后服务内容及承诺；2、现有服务体系；3、服务网点固定场所；4、产品故障解决方案、响应时间、人员安排等。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