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版本号：240723001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高水平专业群建设—数字媒体与动漫制作实训基地项目</w:t>
      </w:r>
    </w:p>
    <w:p>
      <w:pPr>
        <w:pStyle w:val="null3"/>
        <w:jc w:val="center"/>
        <w:outlineLvl w:val="2"/>
      </w:pPr>
      <w:r>
        <w:rPr>
          <w:sz w:val="28"/>
          <w:b/>
        </w:rPr>
        <w:t>采购项目编号：</w:t>
      </w:r>
      <w:r>
        <w:rPr>
          <w:sz w:val="28"/>
          <w:b/>
        </w:rPr>
        <w:t>SZT2024-SN-SC-ZC-HW-0612</w:t>
      </w:r>
      <w:r>
        <w:br/>
      </w:r>
      <w:r>
        <w:br/>
      </w:r>
      <w:r>
        <w:br/>
      </w:r>
    </w:p>
    <w:p>
      <w:pPr>
        <w:pStyle w:val="null3"/>
        <w:jc w:val="center"/>
        <w:outlineLvl w:val="2"/>
      </w:pPr>
      <w:r>
        <w:rPr>
          <w:sz w:val="28"/>
          <w:b/>
        </w:rPr>
        <w:t>陕西机电职业技术学院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2024年07月23日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陕西机电职业技术学院</w:t>
      </w:r>
      <w:r>
        <w:rPr/>
        <w:t>委托，拟对</w:t>
      </w:r>
      <w:r>
        <w:rPr/>
        <w:t>高水平专业群建设—数字媒体与动漫制作实训基地项目</w:t>
      </w:r>
      <w:r>
        <w:rPr/>
        <w:t>进行国内公开招标，兹邀请符合本次招标要求的供应商参加投标。</w:t>
      </w:r>
    </w:p>
    <w:p>
      <w:pPr>
        <w:pStyle w:val="null3"/>
        <w:outlineLvl w:val="2"/>
      </w:pPr>
      <w:r>
        <w:rPr>
          <w:sz w:val="28"/>
          <w:b/>
        </w:rPr>
        <w:t>一、采购项目编号：</w:t>
      </w:r>
      <w:r>
        <w:rPr>
          <w:sz w:val="28"/>
          <w:b/>
        </w:rPr>
        <w:t>SZT2024-SN-SC-ZC-HW-0612</w:t>
      </w:r>
    </w:p>
    <w:p>
      <w:pPr>
        <w:pStyle w:val="null3"/>
        <w:outlineLvl w:val="2"/>
      </w:pPr>
      <w:r>
        <w:rPr>
          <w:sz w:val="28"/>
          <w:b/>
        </w:rPr>
        <w:t>二、采购项目名称：</w:t>
      </w:r>
      <w:r>
        <w:rPr>
          <w:sz w:val="28"/>
          <w:b/>
        </w:rPr>
        <w:t>高水平专业群建设—数字媒体与动漫制作实训基地项目</w:t>
      </w:r>
    </w:p>
    <w:p>
      <w:pPr>
        <w:pStyle w:val="null3"/>
        <w:outlineLvl w:val="2"/>
      </w:pPr>
      <w:r>
        <w:rPr>
          <w:sz w:val="28"/>
          <w:b/>
        </w:rPr>
        <w:t>三、招标项目简介</w:t>
      </w:r>
    </w:p>
    <w:p>
      <w:pPr>
        <w:pStyle w:val="null3"/>
        <w:ind w:firstLine="480"/>
      </w:pPr>
      <w:r>
        <w:rPr/>
        <w:t>目前缺少动漫制作技术和数字媒体技术专业的实训基地，以及两个专业的精品课程。因此，需要建设动漫制作和数字媒体实训室共3个，精品课程2门。</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法定代表人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陕西机电职业技术学院</w:t>
      </w:r>
    </w:p>
    <w:p>
      <w:pPr>
        <w:pStyle w:val="null3"/>
      </w:pPr>
      <w:r>
        <w:rPr/>
        <w:t xml:space="preserve"> 地址： </w:t>
      </w:r>
      <w:r>
        <w:rPr/>
        <w:t>宝鸡市宝福路56号</w:t>
      </w:r>
    </w:p>
    <w:p>
      <w:pPr>
        <w:pStyle w:val="null3"/>
      </w:pPr>
      <w:r>
        <w:rPr/>
        <w:t xml:space="preserve"> 邮编： </w:t>
      </w:r>
      <w:r>
        <w:rPr/>
        <w:t>721000</w:t>
      </w:r>
    </w:p>
    <w:p>
      <w:pPr>
        <w:pStyle w:val="null3"/>
      </w:pPr>
      <w:r>
        <w:rPr/>
        <w:t xml:space="preserve"> 联系人： </w:t>
      </w:r>
      <w:r>
        <w:rPr/>
        <w:t>韩老师</w:t>
      </w:r>
    </w:p>
    <w:p>
      <w:pPr>
        <w:pStyle w:val="null3"/>
      </w:pPr>
      <w:r>
        <w:rPr/>
        <w:t xml:space="preserve"> 联系电话： </w:t>
      </w:r>
      <w:r>
        <w:rPr/>
        <w:t>0917-3633960</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西安市高新四路1号高科广场A座1001室</w:t>
      </w:r>
    </w:p>
    <w:p>
      <w:pPr>
        <w:pStyle w:val="null3"/>
      </w:pPr>
      <w:r>
        <w:rPr/>
        <w:t xml:space="preserve"> 邮编： </w:t>
      </w:r>
      <w:r>
        <w:rPr/>
        <w:t>710000</w:t>
      </w:r>
    </w:p>
    <w:p>
      <w:pPr>
        <w:pStyle w:val="null3"/>
      </w:pPr>
      <w:r>
        <w:rPr/>
        <w:t xml:space="preserve"> 联系人： </w:t>
      </w:r>
      <w:r>
        <w:rPr/>
        <w:t>肖娇娇、李文俊</w:t>
      </w:r>
    </w:p>
    <w:p>
      <w:pPr>
        <w:pStyle w:val="null3"/>
      </w:pPr>
      <w:r>
        <w:rPr/>
        <w:t xml:space="preserve"> 联系电话： </w:t>
      </w:r>
      <w:r>
        <w:rPr/>
        <w:t>029-88364979-848</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采购包1：1,500,000.00元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采购包1保证金金额：20,000.00元</w:t>
            </w:r>
          </w:p>
          <w:p>
            <w:pPr>
              <w:pStyle w:val="null3"/>
            </w:pPr>
            <w:r>
              <w:rPr/>
              <w:t>缴交渠道：转账、支票、汇票等（需通过实体账户、户名及开户行信息）</w:t>
            </w:r>
          </w:p>
          <w:p>
            <w:pPr>
              <w:pStyle w:val="null3"/>
            </w:pPr>
            <w:r>
              <w:rPr/>
              <w:t>开户名称：陕西中技招标有限公司（向我公司转账时，请备注清楚项目编号后四位）</w:t>
            </w:r>
          </w:p>
          <w:p>
            <w:pPr>
              <w:pStyle w:val="null3"/>
            </w:pPr>
            <w:r>
              <w:rPr/>
              <w:t>开户银行：招商银行西安分行营业部</w:t>
            </w:r>
          </w:p>
          <w:p>
            <w:pPr>
              <w:pStyle w:val="null3"/>
            </w:pPr>
            <w:r>
              <w:rPr/>
              <w:t>银行账号：1299 1681 2810 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成交供应商应向采购代理机构交纳招标代理服务费。采购代理服务费的收取参照国家计委颁布的《招标代理服务费收费管理暂行办法》（计价格[2002]1980号）中货物的收费标准，按照成交金额差额定率累进法下浮20％计算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陕西机电职业技术学院</w:t>
      </w:r>
      <w:r>
        <w:rPr/>
        <w:t>和</w:t>
      </w:r>
      <w:r>
        <w:rPr/>
        <w:t>陕西中技招标有限公司</w:t>
      </w:r>
      <w:r>
        <w:rPr/>
        <w:t>享有。对招标文件中供应商参加本次政府采购活动应当具备的条件，招标项目技术、服务、商务及其他要求，评标细则及标准由</w:t>
      </w:r>
      <w:r>
        <w:rPr/>
        <w:t>陕西机电职业技术学院</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陕西机电职业技术学院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60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1、招标文件、投标文件、澄清表（函）； 2、本合同及附件文本； 3、国家相应的标准、规范。</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目前缺少动漫制作技术和数字媒体技术专业的实训基地，以及两个专业的精品课程。因此，需要建设动漫制作和数字媒体实训室共3个，精品课程2门</w:t>
      </w:r>
    </w:p>
    <w:p>
      <w:pPr>
        <w:pStyle w:val="null3"/>
        <w:outlineLvl w:val="2"/>
      </w:pPr>
      <w:r>
        <w:rPr>
          <w:sz w:val="28"/>
          <w:b/>
        </w:rPr>
        <w:t>3.2采购内容</w:t>
      </w:r>
    </w:p>
    <w:p>
      <w:pPr>
        <w:pStyle w:val="null3"/>
      </w:pPr>
      <w:r>
        <w:rPr/>
        <w:t>采购包1：</w:t>
      </w:r>
    </w:p>
    <w:p>
      <w:pPr>
        <w:pStyle w:val="null3"/>
      </w:pPr>
      <w:r>
        <w:rPr/>
        <w:t>采购包预算金额（元）: 1,500,000.00</w:t>
      </w:r>
    </w:p>
    <w:p>
      <w:pPr>
        <w:pStyle w:val="null3"/>
      </w:pPr>
      <w:r>
        <w:rPr/>
        <w:t>采购包最高限价（元）: 1,500,000.00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数字媒体与动漫制作实训基地项目</w:t>
            </w:r>
          </w:p>
        </w:tc>
        <w:tc>
          <w:tcPr>
            <w:tcW w:type="dxa" w:w="831"/>
          </w:tcPr>
          <w:p>
            <w:pPr>
              <w:pStyle w:val="null3"/>
              <w:jc w:val="right"/>
            </w:pPr>
            <w:r>
              <w:rPr/>
              <w:t>1.00</w:t>
            </w:r>
          </w:p>
        </w:tc>
        <w:tc>
          <w:tcPr>
            <w:tcW w:type="dxa" w:w="831"/>
          </w:tcPr>
          <w:p>
            <w:pPr>
              <w:pStyle w:val="null3"/>
              <w:jc w:val="right"/>
            </w:pPr>
            <w:r>
              <w:rPr/>
              <w:t>1,500,000.00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标的名称：数字媒体与动漫制作实训基地项目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1"/>
              <w:gridCol w:w="399"/>
              <w:gridCol w:w="1723"/>
              <w:gridCol w:w="140"/>
              <w:gridCol w:w="100"/>
            </w:tblGrid>
            <w:tr>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项目名称</w:t>
                  </w:r>
                </w:p>
              </w:tc>
              <w:tc>
                <w:tcPr>
                  <w:tcW w:type="dxa" w:w="2362"/>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高水平专业群建设</w:t>
                  </w:r>
                  <w:r>
                    <w:rPr>
                      <w:rFonts w:ascii="calibri" w:hAnsi="calibri" w:cs="calibri" w:eastAsia="calibri"/>
                      <w:sz w:val="24"/>
                      <w:color w:val="000000"/>
                    </w:rPr>
                    <w:t>--</w:t>
                  </w:r>
                  <w:r>
                    <w:rPr>
                      <w:rFonts w:ascii="宋体" w:hAnsi="宋体" w:cs="宋体" w:eastAsia="宋体"/>
                      <w:sz w:val="24"/>
                    </w:rPr>
                    <w:t>数字媒体与动漫制作实训基地项目</w:t>
                  </w:r>
                </w:p>
              </w:tc>
            </w:tr>
            <w:tr>
              <w:tc>
                <w:tcPr>
                  <w:tcW w:type="dxa" w:w="191"/>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pPr>
                  <w:r>
                    <w:rPr>
                      <w:rFonts w:ascii="宋体" w:hAnsi="宋体" w:cs="宋体" w:eastAsia="宋体"/>
                      <w:sz w:val="24"/>
                    </w:rPr>
                    <w:t>商</w:t>
                  </w:r>
                  <w:r>
                    <w:br/>
                  </w:r>
                  <w:r>
                    <w:rPr>
                      <w:rFonts w:ascii="宋体" w:hAnsi="宋体" w:cs="宋体" w:eastAsia="宋体"/>
                      <w:sz w:val="24"/>
                    </w:rPr>
                    <w:t>务</w:t>
                  </w:r>
                  <w:r>
                    <w:br/>
                  </w:r>
                  <w:r>
                    <w:rPr>
                      <w:rFonts w:ascii="宋体" w:hAnsi="宋体" w:cs="宋体" w:eastAsia="宋体"/>
                      <w:sz w:val="24"/>
                    </w:rPr>
                    <w:t>需</w:t>
                  </w:r>
                  <w:r>
                    <w:br/>
                  </w:r>
                  <w:r>
                    <w:rPr>
                      <w:rFonts w:ascii="宋体" w:hAnsi="宋体" w:cs="宋体" w:eastAsia="宋体"/>
                      <w:sz w:val="24"/>
                    </w:rPr>
                    <w:t>求</w:t>
                  </w:r>
                </w:p>
              </w:tc>
              <w:tc>
                <w:tcPr>
                  <w:tcW w:type="dxa" w:w="236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24"/>
                      <w:color w:val="000000"/>
                    </w:rPr>
                    <w:t>1.</w:t>
                  </w:r>
                  <w:r>
                    <w:rPr>
                      <w:rFonts w:ascii="宋体" w:hAnsi="宋体" w:cs="宋体" w:eastAsia="宋体"/>
                      <w:sz w:val="24"/>
                    </w:rPr>
                    <w:t>项目概况：目前缺少动漫制作技术和数字媒体技术专业的实训基地，以及两个专业的精品课程。因此，需要建设动漫制作和数字媒体实训室共</w:t>
                  </w:r>
                  <w:r>
                    <w:rPr>
                      <w:rFonts w:ascii="calibri" w:hAnsi="calibri" w:cs="calibri" w:eastAsia="calibri"/>
                      <w:sz w:val="24"/>
                      <w:color w:val="000000"/>
                    </w:rPr>
                    <w:t>3</w:t>
                  </w:r>
                  <w:r>
                    <w:rPr>
                      <w:rFonts w:ascii="宋体" w:hAnsi="宋体" w:cs="宋体" w:eastAsia="宋体"/>
                      <w:sz w:val="24"/>
                    </w:rPr>
                    <w:t>个，精品课程</w:t>
                  </w:r>
                  <w:r>
                    <w:rPr>
                      <w:rFonts w:ascii="calibri" w:hAnsi="calibri" w:cs="calibri" w:eastAsia="calibri"/>
                      <w:sz w:val="24"/>
                      <w:color w:val="000000"/>
                    </w:rPr>
                    <w:t>2</w:t>
                  </w:r>
                  <w:r>
                    <w:rPr>
                      <w:rFonts w:ascii="宋体" w:hAnsi="宋体" w:cs="宋体" w:eastAsia="宋体"/>
                      <w:sz w:val="24"/>
                    </w:rPr>
                    <w:t>门。</w:t>
                  </w:r>
                  <w:r>
                    <w:br/>
                  </w:r>
                  <w:r>
                    <w:rPr>
                      <w:rFonts w:ascii="calibri" w:hAnsi="calibri" w:cs="calibri" w:eastAsia="calibri"/>
                      <w:sz w:val="24"/>
                      <w:color w:val="000000"/>
                    </w:rPr>
                    <w:t>2.</w:t>
                  </w:r>
                  <w:r>
                    <w:rPr>
                      <w:rFonts w:ascii="宋体" w:hAnsi="宋体" w:cs="宋体" w:eastAsia="宋体"/>
                      <w:sz w:val="24"/>
                    </w:rPr>
                    <w:t>交货期：合同签订后</w:t>
                  </w:r>
                  <w:r>
                    <w:rPr>
                      <w:rFonts w:ascii="calibri" w:hAnsi="calibri" w:cs="calibri" w:eastAsia="calibri"/>
                      <w:sz w:val="24"/>
                      <w:color w:val="000000"/>
                    </w:rPr>
                    <w:t>40</w:t>
                  </w:r>
                  <w:r>
                    <w:rPr>
                      <w:rFonts w:ascii="宋体" w:hAnsi="宋体" w:cs="宋体" w:eastAsia="宋体"/>
                      <w:sz w:val="24"/>
                    </w:rPr>
                    <w:t>日。</w:t>
                  </w:r>
                  <w:r>
                    <w:br/>
                  </w:r>
                  <w:r>
                    <w:rPr>
                      <w:rFonts w:ascii="calibri" w:hAnsi="calibri" w:cs="calibri" w:eastAsia="calibri"/>
                      <w:sz w:val="24"/>
                      <w:color w:val="000000"/>
                    </w:rPr>
                    <w:t>3.</w:t>
                  </w:r>
                  <w:r>
                    <w:rPr>
                      <w:rFonts w:ascii="宋体" w:hAnsi="宋体" w:cs="宋体" w:eastAsia="宋体"/>
                      <w:sz w:val="24"/>
                    </w:rPr>
                    <w:t>质保期：本项目质保期要求不低于</w:t>
                  </w:r>
                  <w:r>
                    <w:rPr>
                      <w:rFonts w:ascii="calibri" w:hAnsi="calibri" w:cs="calibri" w:eastAsia="calibri"/>
                      <w:sz w:val="24"/>
                      <w:color w:val="000000"/>
                    </w:rPr>
                    <w:t>1</w:t>
                  </w:r>
                  <w:r>
                    <w:rPr>
                      <w:rFonts w:ascii="宋体" w:hAnsi="宋体" w:cs="宋体" w:eastAsia="宋体"/>
                      <w:sz w:val="24"/>
                    </w:rPr>
                    <w:t>年。质保期从验收合格后开始计算。质保期以整个项目为单位进行响应。</w:t>
                  </w:r>
                  <w:r>
                    <w:br/>
                  </w:r>
                  <w:r>
                    <w:rPr>
                      <w:rFonts w:ascii="calibri" w:hAnsi="calibri" w:cs="calibri" w:eastAsia="calibri"/>
                      <w:sz w:val="24"/>
                      <w:color w:val="000000"/>
                    </w:rPr>
                    <w:t>4.</w:t>
                  </w:r>
                  <w:r>
                    <w:rPr>
                      <w:rFonts w:ascii="宋体" w:hAnsi="宋体" w:cs="宋体" w:eastAsia="宋体"/>
                      <w:sz w:val="24"/>
                    </w:rPr>
                    <w:t>交货地点：陕西机电职业技术学院指定交货地点。</w:t>
                  </w:r>
                  <w:r>
                    <w:br/>
                  </w:r>
                  <w:r>
                    <w:rPr>
                      <w:rFonts w:ascii="calibri" w:hAnsi="calibri" w:cs="calibri" w:eastAsia="calibri"/>
                      <w:sz w:val="24"/>
                      <w:color w:val="000000"/>
                    </w:rPr>
                    <w:t>5.</w:t>
                  </w:r>
                  <w:r>
                    <w:rPr>
                      <w:rFonts w:ascii="宋体" w:hAnsi="宋体" w:cs="宋体" w:eastAsia="宋体"/>
                      <w:sz w:val="24"/>
                    </w:rPr>
                    <w:t>付款方式：验收合格后，于</w:t>
                  </w:r>
                  <w:r>
                    <w:rPr>
                      <w:rFonts w:ascii="calibri" w:hAnsi="calibri" w:cs="calibri" w:eastAsia="calibri"/>
                      <w:sz w:val="24"/>
                      <w:color w:val="000000"/>
                    </w:rPr>
                    <w:t>30</w:t>
                  </w:r>
                  <w:r>
                    <w:rPr>
                      <w:rFonts w:ascii="宋体" w:hAnsi="宋体" w:cs="宋体" w:eastAsia="宋体"/>
                      <w:sz w:val="24"/>
                    </w:rPr>
                    <w:t>日之内一次性支付合同总额的</w:t>
                  </w:r>
                  <w:r>
                    <w:rPr>
                      <w:rFonts w:ascii="calibri" w:hAnsi="calibri" w:cs="calibri" w:eastAsia="calibri"/>
                      <w:sz w:val="24"/>
                      <w:color w:val="000000"/>
                    </w:rPr>
                    <w:t>100%</w:t>
                  </w:r>
                  <w:r>
                    <w:rPr>
                      <w:rFonts w:ascii="宋体" w:hAnsi="宋体" w:cs="宋体" w:eastAsia="宋体"/>
                      <w:sz w:val="24"/>
                    </w:rPr>
                    <w:t>。</w:t>
                  </w:r>
                </w:p>
              </w:tc>
            </w:tr>
            <w:tr>
              <w:tc>
                <w:tcPr>
                  <w:tcW w:type="dxa" w:w="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技</w:t>
                  </w:r>
                  <w:r>
                    <w:br/>
                  </w:r>
                  <w:r>
                    <w:rPr>
                      <w:rFonts w:ascii="宋体" w:hAnsi="宋体" w:cs="宋体" w:eastAsia="宋体"/>
                      <w:sz w:val="24"/>
                    </w:rPr>
                    <w:t>术</w:t>
                  </w:r>
                  <w:r>
                    <w:br/>
                  </w:r>
                  <w:r>
                    <w:rPr>
                      <w:rFonts w:ascii="宋体" w:hAnsi="宋体" w:cs="宋体" w:eastAsia="宋体"/>
                      <w:sz w:val="24"/>
                    </w:rPr>
                    <w:t>需</w:t>
                  </w:r>
                  <w:r>
                    <w:br/>
                  </w:r>
                  <w:r>
                    <w:rPr>
                      <w:rFonts w:ascii="宋体" w:hAnsi="宋体" w:cs="宋体" w:eastAsia="宋体"/>
                      <w:sz w:val="24"/>
                    </w:rPr>
                    <w:t>求</w:t>
                  </w: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产品</w:t>
                  </w:r>
                  <w:r>
                    <w:rPr>
                      <w:rFonts w:ascii="calibri" w:hAnsi="calibri" w:cs="calibri" w:eastAsia="calibri"/>
                      <w:sz w:val="24"/>
                      <w:color w:val="000000"/>
                    </w:rPr>
                    <w:t>/</w:t>
                  </w:r>
                  <w:r>
                    <w:rPr>
                      <w:rFonts w:ascii="宋体" w:hAnsi="宋体" w:cs="宋体" w:eastAsia="宋体"/>
                      <w:sz w:val="24"/>
                    </w:rPr>
                    <w:t>服务名称</w:t>
                  </w:r>
                </w:p>
              </w:tc>
              <w:tc>
                <w:tcPr>
                  <w:tcW w:type="dxa" w:w="1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技术规格及功能要求</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备注</w:t>
                  </w:r>
                </w:p>
              </w:tc>
            </w:tr>
            <w:tr>
              <w:tc>
                <w:tcPr>
                  <w:tcW w:type="dxa" w:w="191"/>
                  <w:vMerge/>
                  <w:tcBorders>
                    <w:top w:val="none" w:color="000000" w:sz="4"/>
                    <w:left w:val="singl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学生教学工作站</w:t>
                  </w:r>
                </w:p>
              </w:tc>
              <w:tc>
                <w:tcPr>
                  <w:tcW w:type="dxa" w:w="1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calibri" w:hAnsi="calibri" w:cs="calibri" w:eastAsia="calibri"/>
                      <w:sz w:val="24"/>
                      <w:color w:val="000000"/>
                    </w:rPr>
                    <w:t xml:space="preserve"> I5</w:t>
                  </w:r>
                  <w:r>
                    <w:rPr>
                      <w:rFonts w:ascii="宋体" w:hAnsi="宋体" w:cs="宋体" w:eastAsia="宋体"/>
                      <w:sz w:val="24"/>
                    </w:rPr>
                    <w:t>及以上；</w:t>
                  </w:r>
                  <w:r>
                    <w:rPr>
                      <w:rFonts w:ascii="calibri" w:hAnsi="calibri" w:cs="calibri" w:eastAsia="calibri"/>
                      <w:sz w:val="24"/>
                      <w:color w:val="000000"/>
                    </w:rPr>
                    <w:t>16</w:t>
                  </w:r>
                  <w:r>
                    <w:rPr>
                      <w:rFonts w:ascii="calibri" w:hAnsi="calibri" w:cs="calibri" w:eastAsia="calibri"/>
                      <w:sz w:val="24"/>
                      <w:color w:val="000000"/>
                    </w:rPr>
                    <w:t>G DDR</w:t>
                  </w:r>
                  <w:r>
                    <w:rPr>
                      <w:rFonts w:ascii="calibri" w:hAnsi="calibri" w:cs="calibri" w:eastAsia="calibri"/>
                      <w:sz w:val="24"/>
                      <w:color w:val="000000"/>
                    </w:rPr>
                    <w:t>4</w:t>
                  </w:r>
                  <w:r>
                    <w:rPr>
                      <w:rFonts w:ascii="宋体" w:hAnsi="宋体" w:cs="宋体" w:eastAsia="宋体"/>
                      <w:sz w:val="24"/>
                      <w:color w:val="000000"/>
                    </w:rPr>
                    <w:t>或以上</w:t>
                  </w:r>
                  <w:r>
                    <w:rPr>
                      <w:rFonts w:ascii="宋体" w:hAnsi="宋体" w:cs="宋体" w:eastAsia="宋体"/>
                      <w:sz w:val="24"/>
                    </w:rPr>
                    <w:t>内存；</w:t>
                  </w:r>
                  <w:r>
                    <w:rPr>
                      <w:rFonts w:ascii="calibri" w:hAnsi="calibri" w:cs="calibri" w:eastAsia="calibri"/>
                      <w:sz w:val="24"/>
                      <w:color w:val="000000"/>
                    </w:rPr>
                    <w:t>550-4G</w:t>
                  </w:r>
                  <w:r>
                    <w:rPr>
                      <w:rFonts w:ascii="宋体" w:hAnsi="宋体" w:cs="宋体" w:eastAsia="宋体"/>
                      <w:sz w:val="24"/>
                    </w:rPr>
                    <w:t>独立显卡；</w:t>
                  </w:r>
                  <w:r>
                    <w:rPr>
                      <w:rFonts w:ascii="calibri" w:hAnsi="calibri" w:cs="calibri" w:eastAsia="calibri"/>
                      <w:sz w:val="24"/>
                      <w:color w:val="000000"/>
                    </w:rPr>
                    <w:t>:</w:t>
                  </w:r>
                  <w:r>
                    <w:rPr>
                      <w:rFonts w:ascii="calibri" w:hAnsi="calibri" w:cs="calibri" w:eastAsia="calibri"/>
                      <w:sz w:val="24"/>
                      <w:color w:val="000000"/>
                    </w:rPr>
                    <w:t>512</w:t>
                  </w:r>
                  <w:r>
                    <w:rPr>
                      <w:rFonts w:ascii="calibri" w:hAnsi="calibri" w:cs="calibri" w:eastAsia="calibri"/>
                      <w:sz w:val="24"/>
                      <w:color w:val="000000"/>
                    </w:rPr>
                    <w:t>G M.2 NVME SSD</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91"/>
                  <w:vMerge/>
                  <w:tcBorders>
                    <w:top w:val="none" w:color="000000" w:sz="4"/>
                    <w:left w:val="singl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教师教学工作站</w:t>
                  </w:r>
                </w:p>
              </w:tc>
              <w:tc>
                <w:tcPr>
                  <w:tcW w:type="dxa" w:w="1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I5或以上；32G（2*16G）</w:t>
                  </w:r>
                  <w:r>
                    <w:rPr>
                      <w:rFonts w:ascii="calibri" w:hAnsi="calibri" w:cs="calibri" w:eastAsia="calibri"/>
                      <w:sz w:val="24"/>
                      <w:color w:val="000000"/>
                    </w:rPr>
                    <w:t>DDR</w:t>
                  </w:r>
                  <w:r>
                    <w:rPr>
                      <w:rFonts w:ascii="calibri" w:hAnsi="calibri" w:cs="calibri" w:eastAsia="calibri"/>
                      <w:sz w:val="24"/>
                      <w:color w:val="000000"/>
                    </w:rPr>
                    <w:t>4</w:t>
                  </w:r>
                  <w:r>
                    <w:rPr>
                      <w:rFonts w:ascii="宋体" w:hAnsi="宋体" w:cs="宋体" w:eastAsia="宋体"/>
                      <w:sz w:val="24"/>
                      <w:color w:val="000000"/>
                    </w:rPr>
                    <w:t>或以上</w:t>
                  </w:r>
                  <w:r>
                    <w:rPr>
                      <w:rFonts w:ascii="宋体" w:hAnsi="宋体" w:cs="宋体" w:eastAsia="宋体"/>
                      <w:sz w:val="24"/>
                    </w:rPr>
                    <w:t>内存；</w:t>
                  </w:r>
                  <w:r>
                    <w:rPr>
                      <w:rFonts w:ascii="宋体" w:hAnsi="宋体" w:cs="宋体" w:eastAsia="宋体"/>
                      <w:sz w:val="24"/>
                    </w:rPr>
                    <w:t>NVIDIA T400 4G独立显卡；硬盘:512G M.2 NVME SSD</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00"/>
                  <w:vMerge/>
                  <w:tcBorders>
                    <w:top w:val="none" w:color="000000" w:sz="4"/>
                    <w:left w:val="none" w:color="000000" w:sz="4"/>
                    <w:bottom w:val="single" w:color="000000" w:sz="4"/>
                    <w:right w:val="single" w:color="000000" w:sz="4"/>
                  </w:tcBorders>
                </w:tcPr>
                <w:p/>
              </w:tc>
            </w:tr>
            <w:tr>
              <w:tc>
                <w:tcPr>
                  <w:tcW w:type="dxa" w:w="191"/>
                  <w:vMerge/>
                  <w:tcBorders>
                    <w:top w:val="none" w:color="000000" w:sz="4"/>
                    <w:left w:val="singl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学生教学终端</w:t>
                  </w:r>
                </w:p>
              </w:tc>
              <w:tc>
                <w:tcPr>
                  <w:tcW w:type="dxa" w:w="1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 xml:space="preserve">CPU：≥Intel I5-12500处理器(3.0GHz 主频、18M 缓存) 内存: ≥16G </w:t>
                  </w:r>
                  <w:r>
                    <w:rPr>
                      <w:rFonts w:ascii="calibri" w:hAnsi="calibri" w:cs="calibri" w:eastAsia="calibri"/>
                      <w:sz w:val="24"/>
                      <w:color w:val="000000"/>
                    </w:rPr>
                    <w:t>DDR</w:t>
                  </w:r>
                  <w:r>
                    <w:rPr>
                      <w:rFonts w:ascii="calibri" w:hAnsi="calibri" w:cs="calibri" w:eastAsia="calibri"/>
                      <w:sz w:val="24"/>
                      <w:color w:val="000000"/>
                    </w:rPr>
                    <w:t>4</w:t>
                  </w:r>
                  <w:r>
                    <w:rPr>
                      <w:rFonts w:ascii="宋体" w:hAnsi="宋体" w:cs="宋体" w:eastAsia="宋体"/>
                      <w:sz w:val="24"/>
                      <w:color w:val="000000"/>
                    </w:rPr>
                    <w:t>或以上</w:t>
                  </w:r>
                  <w:r>
                    <w:rPr>
                      <w:rFonts w:ascii="宋体" w:hAnsi="宋体" w:cs="宋体" w:eastAsia="宋体"/>
                      <w:sz w:val="24"/>
                    </w:rPr>
                    <w:t>3200MHz 内存，256G或以上SSD硬盘，提供4个内存槽位</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00"/>
                  <w:vMerge/>
                  <w:tcBorders>
                    <w:top w:val="none" w:color="000000" w:sz="4"/>
                    <w:left w:val="none" w:color="000000" w:sz="4"/>
                    <w:bottom w:val="single" w:color="000000" w:sz="4"/>
                    <w:right w:val="single" w:color="000000" w:sz="4"/>
                  </w:tcBorders>
                </w:tcPr>
                <w:p/>
              </w:tc>
            </w:tr>
            <w:tr>
              <w:tc>
                <w:tcPr>
                  <w:tcW w:type="dxa" w:w="191"/>
                  <w:vMerge/>
                  <w:tcBorders>
                    <w:top w:val="none" w:color="000000" w:sz="4"/>
                    <w:left w:val="singl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精品课程建设</w:t>
                  </w:r>
                </w:p>
              </w:tc>
              <w:tc>
                <w:tcPr>
                  <w:tcW w:type="dxa" w:w="1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2门课程的教学设计和视频录制每门不少于500分钟</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00"/>
                  <w:vMerge/>
                  <w:tcBorders>
                    <w:top w:val="none" w:color="000000" w:sz="4"/>
                    <w:left w:val="none" w:color="000000" w:sz="4"/>
                    <w:bottom w:val="single" w:color="000000" w:sz="4"/>
                    <w:right w:val="single" w:color="000000" w:sz="4"/>
                  </w:tcBorders>
                </w:tcPr>
                <w:p/>
              </w:tc>
            </w:tr>
            <w:tr>
              <w:tc>
                <w:tcPr>
                  <w:tcW w:type="dxa" w:w="191"/>
                  <w:vMerge/>
                  <w:tcBorders>
                    <w:top w:val="none" w:color="000000" w:sz="4"/>
                    <w:left w:val="singl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计算机管理软件</w:t>
                  </w:r>
                </w:p>
              </w:tc>
              <w:tc>
                <w:tcPr>
                  <w:tcW w:type="dxa" w:w="1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流行的基本管理功能</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00"/>
                  <w:vMerge/>
                  <w:tcBorders>
                    <w:top w:val="none" w:color="000000" w:sz="4"/>
                    <w:left w:val="none" w:color="000000" w:sz="4"/>
                    <w:bottom w:val="single" w:color="000000" w:sz="4"/>
                    <w:right w:val="single" w:color="000000" w:sz="4"/>
                  </w:tcBorders>
                </w:tcPr>
                <w:p/>
              </w:tc>
            </w:tr>
            <w:tr>
              <w:tc>
                <w:tcPr>
                  <w:tcW w:type="dxa" w:w="191"/>
                  <w:vMerge/>
                  <w:tcBorders>
                    <w:top w:val="none" w:color="000000" w:sz="4"/>
                    <w:left w:val="singl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智慧黑板</w:t>
                  </w:r>
                </w:p>
              </w:tc>
              <w:tc>
                <w:tcPr>
                  <w:tcW w:type="dxa" w:w="1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内置</w:t>
                  </w:r>
                  <w:r>
                    <w:rPr>
                      <w:rFonts w:ascii="宋体" w:hAnsi="宋体" w:cs="宋体" w:eastAsia="宋体"/>
                      <w:sz w:val="24"/>
                    </w:rPr>
                    <w:t>OPS电脑，包含安卓白板软件和教学软件</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00"/>
                  <w:vMerge/>
                  <w:tcBorders>
                    <w:top w:val="none" w:color="000000" w:sz="4"/>
                    <w:left w:val="none" w:color="000000" w:sz="4"/>
                    <w:bottom w:val="single" w:color="000000" w:sz="4"/>
                    <w:right w:val="single" w:color="000000" w:sz="4"/>
                  </w:tcBorders>
                </w:tcPr>
                <w:p/>
              </w:tc>
            </w:tr>
            <w:tr>
              <w:tc>
                <w:tcPr>
                  <w:tcW w:type="dxa" w:w="191"/>
                  <w:vMerge/>
                  <w:tcBorders>
                    <w:top w:val="none" w:color="000000" w:sz="4"/>
                    <w:left w:val="singl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实验室其他配套设备</w:t>
                  </w:r>
                </w:p>
              </w:tc>
              <w:tc>
                <w:tcPr>
                  <w:tcW w:type="dxa" w:w="1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质量可靠，兼容性强，符合国家各项标准</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00"/>
                  <w:vMerge/>
                  <w:tcBorders>
                    <w:top w:val="none" w:color="000000" w:sz="4"/>
                    <w:left w:val="none" w:color="000000" w:sz="4"/>
                    <w:bottom w:val="single" w:color="000000" w:sz="4"/>
                    <w:right w:val="single" w:color="000000" w:sz="4"/>
                  </w:tcBorders>
                </w:tcPr>
                <w:p/>
              </w:tc>
            </w:tr>
            <w:tr>
              <w:tc>
                <w:tcPr>
                  <w:tcW w:type="dxa" w:w="191"/>
                  <w:vMerge/>
                  <w:tcBorders>
                    <w:top w:val="none" w:color="000000" w:sz="4"/>
                    <w:left w:val="single" w:color="000000" w:sz="4"/>
                    <w:bottom w:val="single" w:color="000000" w:sz="4"/>
                    <w:right w:val="single" w:color="000000" w:sz="4"/>
                  </w:tcBorders>
                </w:tcPr>
                <w:p/>
              </w:tc>
              <w:tc>
                <w:tcPr>
                  <w:tcW w:type="dxa" w:w="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综合布线及文化建设</w:t>
                  </w:r>
                </w:p>
              </w:tc>
              <w:tc>
                <w:tcPr>
                  <w:tcW w:type="dxa" w:w="17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质量可靠，兼容性强，符合国家各项标准</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100"/>
                  <w:vMerge/>
                  <w:tcBorders>
                    <w:top w:val="none" w:color="000000" w:sz="4"/>
                    <w:left w:val="none" w:color="000000" w:sz="4"/>
                    <w:bottom w:val="single" w:color="000000" w:sz="4"/>
                    <w:right w:val="single" w:color="000000" w:sz="4"/>
                  </w:tcBorders>
                </w:tcPr>
                <w:p/>
              </w:tc>
            </w:tr>
          </w:tbl>
          <w:p/>
        </w:tc>
      </w:tr>
      <w:tr>
        <w:tc>
          <w:tcPr>
            <w:tcW w:type="dxa" w:w="2769"/>
          </w:tcPr>
          <w:p/>
        </w:tc>
        <w:tc>
          <w:tcPr>
            <w:tcW w:type="dxa" w:w="2769"/>
          </w:tcPr>
          <w:p>
            <w:pPr>
              <w:pStyle w:val="null3"/>
            </w:pPr>
            <w:r>
              <w:rPr/>
              <w:t>2</w:t>
            </w:r>
          </w:p>
        </w:tc>
        <w:tc>
          <w:tcPr>
            <w:tcW w:type="dxa" w:w="2769"/>
          </w:tcPr>
          <w:tbl>
            <w:tblPr>
              <w:tblInd w:type="dxa" w:w="195"/>
              <w:tblBorders>
                <w:top w:val="none" w:color="000000" w:sz="4"/>
                <w:left w:val="none" w:color="000000" w:sz="4"/>
                <w:bottom w:val="none" w:color="000000" w:sz="4"/>
                <w:right w:val="none" w:color="000000" w:sz="4"/>
                <w:insideH w:val="none"/>
                <w:insideV w:val="none"/>
              </w:tblBorders>
            </w:tblPr>
            <w:tblGrid>
              <w:gridCol w:w="144"/>
              <w:gridCol w:w="223"/>
              <w:gridCol w:w="1790"/>
              <w:gridCol w:w="140"/>
              <w:gridCol w:w="159"/>
            </w:tblGrid>
            <w:tr>
              <w:tc>
                <w:tcPr>
                  <w:tcW w:type="dxa" w:w="144"/>
                  <w:tcBorders>
                    <w:top w:val="single" w:color="000000" w:sz="4"/>
                    <w:left w:val="single" w:color="000000" w:sz="4"/>
                    <w:bottom w:val="single" w:color="000000" w:sz="4"/>
                    <w:right w:val="single" w:color="000000" w:sz="4"/>
                  </w:tcBorders>
                  <w:shd w:fill="00B0F0"/>
                  <w:tcMar>
                    <w:top w:type="dxa" w:w="0"/>
                    <w:left w:type="dxa" w:w="105"/>
                    <w:bottom w:type="dxa" w:w="0"/>
                    <w:right w:type="dxa" w:w="105"/>
                  </w:tcMar>
                  <w:vAlign w:val="top"/>
                </w:tcPr>
                <w:p>
                  <w:pPr>
                    <w:pStyle w:val="null3"/>
                  </w:pPr>
                  <w:r>
                    <w:rPr>
                      <w:rFonts w:ascii="宋体" w:hAnsi="宋体" w:cs="宋体" w:eastAsia="宋体"/>
                      <w:sz w:val="24"/>
                    </w:rPr>
                    <w:t>序号</w:t>
                  </w:r>
                </w:p>
              </w:tc>
              <w:tc>
                <w:tcPr>
                  <w:tcW w:type="dxa" w:w="223"/>
                  <w:tcBorders>
                    <w:top w:val="single" w:color="000000" w:sz="4"/>
                    <w:left w:val="none" w:color="000000" w:sz="4"/>
                    <w:bottom w:val="single" w:color="000000" w:sz="4"/>
                    <w:right w:val="single" w:color="000000" w:sz="4"/>
                  </w:tcBorders>
                  <w:shd w:fill="00B0F0"/>
                  <w:tcMar>
                    <w:top w:type="dxa" w:w="0"/>
                    <w:left w:type="dxa" w:w="105"/>
                    <w:bottom w:type="dxa" w:w="0"/>
                    <w:right w:type="dxa" w:w="105"/>
                  </w:tcMar>
                  <w:vAlign w:val="top"/>
                </w:tcPr>
                <w:p>
                  <w:pPr>
                    <w:pStyle w:val="null3"/>
                  </w:pPr>
                  <w:r>
                    <w:rPr>
                      <w:rFonts w:ascii="宋体" w:hAnsi="宋体" w:cs="宋体" w:eastAsia="宋体"/>
                      <w:sz w:val="24"/>
                    </w:rPr>
                    <w:t>设备名称</w:t>
                  </w:r>
                </w:p>
              </w:tc>
              <w:tc>
                <w:tcPr>
                  <w:tcW w:type="dxa" w:w="1790"/>
                  <w:tcBorders>
                    <w:top w:val="single" w:color="000000" w:sz="4"/>
                    <w:left w:val="none" w:color="000000" w:sz="4"/>
                    <w:bottom w:val="single" w:color="000000" w:sz="4"/>
                    <w:right w:val="single" w:color="000000" w:sz="4"/>
                  </w:tcBorders>
                  <w:shd w:fill="00B0F0"/>
                  <w:tcMar>
                    <w:top w:type="dxa" w:w="0"/>
                    <w:left w:type="dxa" w:w="105"/>
                    <w:bottom w:type="dxa" w:w="0"/>
                    <w:right w:type="dxa" w:w="105"/>
                  </w:tcMar>
                  <w:vAlign w:val="top"/>
                </w:tcPr>
                <w:p>
                  <w:pPr>
                    <w:pStyle w:val="null3"/>
                  </w:pPr>
                  <w:r>
                    <w:rPr>
                      <w:rFonts w:ascii="宋体" w:hAnsi="宋体" w:cs="宋体" w:eastAsia="宋体"/>
                      <w:sz w:val="24"/>
                    </w:rPr>
                    <w:t>参数</w:t>
                  </w:r>
                </w:p>
              </w:tc>
              <w:tc>
                <w:tcPr>
                  <w:tcW w:type="dxa" w:w="140"/>
                  <w:tcBorders>
                    <w:top w:val="single" w:color="000000" w:sz="4"/>
                    <w:left w:val="none" w:color="000000" w:sz="4"/>
                    <w:bottom w:val="single" w:color="000000" w:sz="4"/>
                    <w:right w:val="single" w:color="000000" w:sz="4"/>
                  </w:tcBorders>
                  <w:shd w:fill="00B0F0"/>
                  <w:tcMar>
                    <w:top w:type="dxa" w:w="0"/>
                    <w:left w:type="dxa" w:w="105"/>
                    <w:bottom w:type="dxa" w:w="0"/>
                    <w:right w:type="dxa" w:w="105"/>
                  </w:tcMar>
                  <w:vAlign w:val="top"/>
                </w:tcPr>
                <w:p>
                  <w:pPr>
                    <w:pStyle w:val="null3"/>
                  </w:pPr>
                  <w:r>
                    <w:rPr>
                      <w:rFonts w:ascii="宋体" w:hAnsi="宋体" w:cs="宋体" w:eastAsia="宋体"/>
                      <w:sz w:val="24"/>
                    </w:rPr>
                    <w:t>数量</w:t>
                  </w:r>
                </w:p>
              </w:tc>
              <w:tc>
                <w:tcPr>
                  <w:tcW w:type="dxa" w:w="159"/>
                  <w:tcBorders>
                    <w:top w:val="single" w:color="000000" w:sz="4"/>
                    <w:left w:val="none" w:color="000000" w:sz="4"/>
                    <w:bottom w:val="single" w:color="000000" w:sz="4"/>
                    <w:right w:val="single" w:color="000000" w:sz="4"/>
                  </w:tcBorders>
                  <w:shd w:fill="00B0F0"/>
                  <w:tcMar>
                    <w:top w:type="dxa" w:w="0"/>
                    <w:left w:type="dxa" w:w="105"/>
                    <w:bottom w:type="dxa" w:w="0"/>
                    <w:right w:type="dxa" w:w="105"/>
                  </w:tcMar>
                  <w:vAlign w:val="top"/>
                </w:tcPr>
                <w:p>
                  <w:pPr>
                    <w:pStyle w:val="null3"/>
                  </w:pPr>
                  <w:r>
                    <w:rPr>
                      <w:rFonts w:ascii="宋体" w:hAnsi="宋体" w:cs="宋体" w:eastAsia="宋体"/>
                      <w:sz w:val="24"/>
                    </w:rPr>
                    <w:t>单位</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学生教学工作站（核心产品）</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1.处理器：≥酷睿i5-13500处理器，主频≥2.5GHz，核数≥14核，线程≥20；</w:t>
                  </w:r>
                </w:p>
                <w:p>
                  <w:pPr>
                    <w:pStyle w:val="null3"/>
                  </w:pPr>
                  <w:r>
                    <w:rPr>
                      <w:rFonts w:ascii="宋体" w:hAnsi="宋体" w:cs="宋体" w:eastAsia="宋体"/>
                      <w:sz w:val="24"/>
                    </w:rPr>
                    <w:t>2.内存：≥16G DDR4或以上 3200MHz 内存，提供4内存插槽方便扩展；</w:t>
                  </w:r>
                </w:p>
                <w:p>
                  <w:pPr>
                    <w:pStyle w:val="null3"/>
                  </w:pPr>
                  <w:r>
                    <w:rPr>
                      <w:rFonts w:ascii="宋体" w:hAnsi="宋体" w:cs="宋体" w:eastAsia="宋体"/>
                      <w:sz w:val="24"/>
                    </w:rPr>
                    <w:t>3.硬盘：≥</w:t>
                  </w:r>
                  <w:r>
                    <w:rPr>
                      <w:rFonts w:ascii="宋体" w:hAnsi="宋体" w:cs="宋体" w:eastAsia="宋体"/>
                      <w:sz w:val="24"/>
                    </w:rPr>
                    <w:t>512</w:t>
                  </w:r>
                  <w:r>
                    <w:rPr>
                      <w:rFonts w:ascii="宋体" w:hAnsi="宋体" w:cs="宋体" w:eastAsia="宋体"/>
                      <w:sz w:val="24"/>
                    </w:rPr>
                    <w:t>GB M.2 NVME SSD；</w:t>
                  </w:r>
                </w:p>
                <w:p>
                  <w:pPr>
                    <w:pStyle w:val="null3"/>
                  </w:pPr>
                  <w:r>
                    <w:rPr>
                      <w:rFonts w:ascii="宋体" w:hAnsi="宋体" w:cs="宋体" w:eastAsia="宋体"/>
                      <w:sz w:val="24"/>
                    </w:rPr>
                    <w:t>4.显卡：配置R</w:t>
                  </w:r>
                  <w:r>
                    <w:rPr>
                      <w:rFonts w:ascii="宋体" w:hAnsi="宋体" w:cs="宋体" w:eastAsia="宋体"/>
                      <w:sz w:val="24"/>
                    </w:rPr>
                    <w:t>X550-4G；</w:t>
                  </w:r>
                </w:p>
                <w:p>
                  <w:pPr>
                    <w:pStyle w:val="null3"/>
                  </w:pPr>
                  <w:r>
                    <w:rPr>
                      <w:rFonts w:ascii="宋体" w:hAnsi="宋体" w:cs="宋体" w:eastAsia="宋体"/>
                      <w:sz w:val="24"/>
                    </w:rPr>
                    <w:t>5.网卡：1000M以太网卡；</w:t>
                  </w:r>
                </w:p>
                <w:p>
                  <w:pPr>
                    <w:pStyle w:val="null3"/>
                  </w:pPr>
                  <w:r>
                    <w:rPr>
                      <w:rFonts w:ascii="宋体" w:hAnsi="宋体" w:cs="宋体" w:eastAsia="宋体"/>
                      <w:sz w:val="24"/>
                    </w:rPr>
                    <w:t>6.键鼠：原厂防水键盘、抗菌鼠标；</w:t>
                  </w:r>
                </w:p>
                <w:p>
                  <w:pPr>
                    <w:pStyle w:val="null3"/>
                  </w:pPr>
                  <w:r>
                    <w:rPr>
                      <w:rFonts w:ascii="宋体" w:hAnsi="宋体" w:cs="宋体" w:eastAsia="宋体"/>
                      <w:sz w:val="24"/>
                    </w:rPr>
                    <w:t>7.插槽：≥1个PCIE x16 ，≥2个PCIE x4；</w:t>
                  </w:r>
                </w:p>
                <w:p>
                  <w:pPr>
                    <w:pStyle w:val="null3"/>
                  </w:pPr>
                  <w:r>
                    <w:rPr>
                      <w:rFonts w:ascii="宋体" w:hAnsi="宋体" w:cs="宋体" w:eastAsia="宋体"/>
                      <w:sz w:val="24"/>
                    </w:rPr>
                    <w:t>8.USB接口：≥4个USB接口，至少2个USB3.2接口、≥1个TYPE-C接口，具备USB接口管控技术，仅识别键盘鼠标，可以设置无法读取其他USB设备；</w:t>
                  </w:r>
                </w:p>
                <w:p>
                  <w:pPr>
                    <w:pStyle w:val="null3"/>
                  </w:pPr>
                  <w:r>
                    <w:rPr>
                      <w:rFonts w:ascii="宋体" w:hAnsi="宋体" w:cs="宋体" w:eastAsia="宋体"/>
                      <w:sz w:val="24"/>
                    </w:rPr>
                    <w:t>9.其它接口：≥1个VGA接口，≥1个HDMI接口，≥1个DP接口，≥1个RJ45网口；</w:t>
                  </w:r>
                </w:p>
                <w:p>
                  <w:pPr>
                    <w:pStyle w:val="null3"/>
                  </w:pPr>
                  <w:r>
                    <w:rPr>
                      <w:rFonts w:ascii="宋体" w:hAnsi="宋体" w:cs="宋体" w:eastAsia="宋体"/>
                      <w:sz w:val="24"/>
                    </w:rPr>
                    <w:t>10.电源：≥500W高效电源；</w:t>
                  </w:r>
                </w:p>
                <w:p>
                  <w:pPr>
                    <w:pStyle w:val="null3"/>
                  </w:pPr>
                  <w:r>
                    <w:rPr>
                      <w:rFonts w:ascii="宋体" w:hAnsi="宋体" w:cs="宋体" w:eastAsia="宋体"/>
                      <w:sz w:val="24"/>
                    </w:rPr>
                    <w:t>11.机箱：尺寸≥17L；</w:t>
                  </w:r>
                </w:p>
                <w:p>
                  <w:pPr>
                    <w:pStyle w:val="null3"/>
                  </w:pPr>
                  <w:r>
                    <w:rPr>
                      <w:rFonts w:ascii="宋体" w:hAnsi="宋体" w:cs="宋体" w:eastAsia="宋体"/>
                      <w:sz w:val="24"/>
                    </w:rPr>
                    <w:t>12.操作系统：</w:t>
                  </w:r>
                  <w:r>
                    <w:rPr>
                      <w:rFonts w:ascii="宋体" w:hAnsi="宋体" w:cs="宋体" w:eastAsia="宋体"/>
                      <w:sz w:val="24"/>
                      <w:color w:val="000000"/>
                    </w:rPr>
                    <w:t>支持</w:t>
                  </w:r>
                  <w:r>
                    <w:rPr>
                      <w:rFonts w:ascii="宋体" w:hAnsi="宋体" w:cs="宋体" w:eastAsia="宋体"/>
                      <w:sz w:val="24"/>
                    </w:rPr>
                    <w:t xml:space="preserve"> </w:t>
                  </w:r>
                  <w:r>
                    <w:rPr>
                      <w:rFonts w:ascii="宋体" w:hAnsi="宋体" w:cs="宋体" w:eastAsia="宋体"/>
                      <w:sz w:val="24"/>
                    </w:rPr>
                    <w:t>Windows 11 64位操作系统；</w:t>
                  </w:r>
                </w:p>
                <w:p>
                  <w:pPr>
                    <w:pStyle w:val="null3"/>
                  </w:pPr>
                  <w:r>
                    <w:rPr>
                      <w:rFonts w:ascii="宋体" w:hAnsi="宋体" w:cs="宋体" w:eastAsia="宋体"/>
                      <w:sz w:val="24"/>
                    </w:rPr>
                    <w:t>13.安全特性：配置BIOS底层集成智能USB技术(非软件实现)，实现仅识别USB键盘、鼠标，无法识别其他USB读取设备，有效防止数据泄露;</w:t>
                  </w:r>
                </w:p>
                <w:p>
                  <w:pPr>
                    <w:pStyle w:val="null3"/>
                  </w:pPr>
                  <w:r>
                    <w:rPr>
                      <w:rFonts w:ascii="宋体" w:hAnsi="宋体" w:cs="宋体" w:eastAsia="宋体"/>
                      <w:sz w:val="24"/>
                    </w:rPr>
                    <w:t>14.</w:t>
                  </w:r>
                  <w:r>
                    <w:rPr>
                      <w:rFonts w:ascii="宋体" w:hAnsi="宋体" w:cs="宋体" w:eastAsia="宋体"/>
                      <w:sz w:val="24"/>
                    </w:rPr>
                    <w:t>显示器</w:t>
                  </w:r>
                  <w:r>
                    <w:rPr>
                      <w:rFonts w:ascii="宋体" w:hAnsi="宋体" w:cs="宋体" w:eastAsia="宋体"/>
                      <w:sz w:val="24"/>
                    </w:rPr>
                    <w:t>: ≥23.8寸高清 1920*1080；</w:t>
                  </w:r>
                </w:p>
                <w:p>
                  <w:pPr>
                    <w:pStyle w:val="null3"/>
                  </w:pPr>
                  <w:r>
                    <w:rPr>
                      <w:rFonts w:ascii="宋体" w:hAnsi="宋体" w:cs="宋体" w:eastAsia="宋体"/>
                      <w:sz w:val="24"/>
                    </w:rPr>
                    <w:t>15.服务要求：生产厂商主机三年免费上门保修，提供售后服务承诺函。</w:t>
                  </w:r>
                </w:p>
                <w:p>
                  <w:pPr>
                    <w:pStyle w:val="null3"/>
                  </w:p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50</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台</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教师教学工作站</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1.处理器：≥酷睿i5-13500处理器，主频≥2.5GHz，核数≥14核，线程≥20；</w:t>
                  </w:r>
                </w:p>
                <w:p>
                  <w:pPr>
                    <w:pStyle w:val="null3"/>
                  </w:pPr>
                  <w:r>
                    <w:rPr>
                      <w:rFonts w:ascii="宋体" w:hAnsi="宋体" w:cs="宋体" w:eastAsia="宋体"/>
                      <w:sz w:val="24"/>
                    </w:rPr>
                    <w:t>2.内存：≥</w:t>
                  </w:r>
                  <w:r>
                    <w:rPr>
                      <w:rFonts w:ascii="宋体" w:hAnsi="宋体" w:cs="宋体" w:eastAsia="宋体"/>
                      <w:sz w:val="24"/>
                    </w:rPr>
                    <w:t>32</w:t>
                  </w:r>
                  <w:r>
                    <w:rPr>
                      <w:rFonts w:ascii="宋体" w:hAnsi="宋体" w:cs="宋体" w:eastAsia="宋体"/>
                      <w:sz w:val="24"/>
                    </w:rPr>
                    <w:t>G DDR4或以上 3200MHz 内存，提供4内存插槽方便扩展；</w:t>
                  </w:r>
                </w:p>
                <w:p>
                  <w:pPr>
                    <w:pStyle w:val="null3"/>
                  </w:pPr>
                  <w:r>
                    <w:rPr>
                      <w:rFonts w:ascii="宋体" w:hAnsi="宋体" w:cs="宋体" w:eastAsia="宋体"/>
                      <w:sz w:val="24"/>
                    </w:rPr>
                    <w:t>3.硬盘：≥</w:t>
                  </w:r>
                  <w:r>
                    <w:rPr>
                      <w:rFonts w:ascii="宋体" w:hAnsi="宋体" w:cs="宋体" w:eastAsia="宋体"/>
                      <w:sz w:val="24"/>
                    </w:rPr>
                    <w:t>512</w:t>
                  </w:r>
                  <w:r>
                    <w:rPr>
                      <w:rFonts w:ascii="宋体" w:hAnsi="宋体" w:cs="宋体" w:eastAsia="宋体"/>
                      <w:sz w:val="24"/>
                    </w:rPr>
                    <w:t>GB M.2 NVME SSD；</w:t>
                  </w:r>
                </w:p>
                <w:p>
                  <w:pPr>
                    <w:pStyle w:val="null3"/>
                  </w:pPr>
                  <w:r>
                    <w:rPr>
                      <w:rFonts w:ascii="宋体" w:hAnsi="宋体" w:cs="宋体" w:eastAsia="宋体"/>
                      <w:sz w:val="24"/>
                    </w:rPr>
                    <w:t>4.显卡：配置</w:t>
                  </w:r>
                  <w:r>
                    <w:rPr>
                      <w:rFonts w:ascii="宋体" w:hAnsi="宋体" w:cs="宋体" w:eastAsia="宋体"/>
                      <w:sz w:val="24"/>
                    </w:rPr>
                    <w:t>T400-4G；</w:t>
                  </w:r>
                </w:p>
                <w:p>
                  <w:pPr>
                    <w:pStyle w:val="null3"/>
                  </w:pPr>
                  <w:r>
                    <w:rPr>
                      <w:rFonts w:ascii="宋体" w:hAnsi="宋体" w:cs="宋体" w:eastAsia="宋体"/>
                      <w:sz w:val="24"/>
                    </w:rPr>
                    <w:t>5.网卡：1000M以太网卡；</w:t>
                  </w:r>
                </w:p>
                <w:p>
                  <w:pPr>
                    <w:pStyle w:val="null3"/>
                  </w:pPr>
                  <w:r>
                    <w:rPr>
                      <w:rFonts w:ascii="宋体" w:hAnsi="宋体" w:cs="宋体" w:eastAsia="宋体"/>
                      <w:sz w:val="24"/>
                    </w:rPr>
                    <w:t>6.键鼠：原厂防水键盘、抗菌鼠标；</w:t>
                  </w:r>
                </w:p>
                <w:p>
                  <w:pPr>
                    <w:pStyle w:val="null3"/>
                  </w:pPr>
                  <w:r>
                    <w:rPr>
                      <w:rFonts w:ascii="宋体" w:hAnsi="宋体" w:cs="宋体" w:eastAsia="宋体"/>
                      <w:sz w:val="24"/>
                    </w:rPr>
                    <w:t>7.插槽：≥1个PCIE x16 ，≥2个PCIE x4；</w:t>
                  </w:r>
                </w:p>
                <w:p>
                  <w:pPr>
                    <w:pStyle w:val="null3"/>
                  </w:pPr>
                  <w:r>
                    <w:rPr>
                      <w:rFonts w:ascii="宋体" w:hAnsi="宋体" w:cs="宋体" w:eastAsia="宋体"/>
                      <w:sz w:val="24"/>
                    </w:rPr>
                    <w:t>8.USB接口：≥4个USB接口，至少4个USB3.2接口、≥1个TYPE-C接口，具备USB接口管控技术，仅识别键盘鼠标，可以设置无法读取其他USB设备；</w:t>
                  </w:r>
                </w:p>
                <w:p>
                  <w:pPr>
                    <w:pStyle w:val="null3"/>
                  </w:pPr>
                  <w:r>
                    <w:rPr>
                      <w:rFonts w:ascii="宋体" w:hAnsi="宋体" w:cs="宋体" w:eastAsia="宋体"/>
                      <w:sz w:val="24"/>
                    </w:rPr>
                    <w:t>9.其它接口：≥1个VGA接口，≥1个HDMI接口，≥1个DP接口，≥1个RJ45网口；</w:t>
                  </w:r>
                </w:p>
                <w:p>
                  <w:pPr>
                    <w:pStyle w:val="null3"/>
                  </w:pPr>
                  <w:r>
                    <w:rPr>
                      <w:rFonts w:ascii="宋体" w:hAnsi="宋体" w:cs="宋体" w:eastAsia="宋体"/>
                      <w:sz w:val="24"/>
                    </w:rPr>
                    <w:t>10.电源：≥500W高效电源；</w:t>
                  </w:r>
                </w:p>
                <w:p>
                  <w:pPr>
                    <w:pStyle w:val="null3"/>
                  </w:pPr>
                  <w:r>
                    <w:rPr>
                      <w:rFonts w:ascii="宋体" w:hAnsi="宋体" w:cs="宋体" w:eastAsia="宋体"/>
                      <w:sz w:val="24"/>
                    </w:rPr>
                    <w:t>11.机箱：尺寸≥17L；</w:t>
                  </w:r>
                </w:p>
                <w:p>
                  <w:pPr>
                    <w:pStyle w:val="null3"/>
                  </w:pPr>
                  <w:r>
                    <w:rPr>
                      <w:rFonts w:ascii="宋体" w:hAnsi="宋体" w:cs="宋体" w:eastAsia="宋体"/>
                      <w:sz w:val="24"/>
                    </w:rPr>
                    <w:t>12.操作系统：</w:t>
                  </w:r>
                  <w:r>
                    <w:rPr>
                      <w:rFonts w:ascii="宋体" w:hAnsi="宋体" w:cs="宋体" w:eastAsia="宋体"/>
                      <w:sz w:val="24"/>
                      <w:color w:val="000000"/>
                    </w:rPr>
                    <w:t>支持</w:t>
                  </w:r>
                  <w:r>
                    <w:rPr>
                      <w:rFonts w:ascii="宋体" w:hAnsi="宋体" w:cs="宋体" w:eastAsia="宋体"/>
                      <w:sz w:val="24"/>
                    </w:rPr>
                    <w:t xml:space="preserve"> </w:t>
                  </w:r>
                  <w:r>
                    <w:rPr>
                      <w:rFonts w:ascii="宋体" w:hAnsi="宋体" w:cs="宋体" w:eastAsia="宋体"/>
                      <w:sz w:val="24"/>
                    </w:rPr>
                    <w:t>Windows 11 64位操作系统；</w:t>
                  </w:r>
                </w:p>
                <w:p>
                  <w:pPr>
                    <w:pStyle w:val="null3"/>
                  </w:pPr>
                  <w:r>
                    <w:rPr>
                      <w:rFonts w:ascii="宋体" w:hAnsi="宋体" w:cs="宋体" w:eastAsia="宋体"/>
                      <w:sz w:val="24"/>
                    </w:rPr>
                    <w:t>13.安全特性：配置BIOS底层集成智能USB技术(非软件实现)，实现仅识别USB键盘、鼠标，无法识别其他USB读取设备，有效防止数据泄露；</w:t>
                  </w:r>
                </w:p>
                <w:p>
                  <w:pPr>
                    <w:pStyle w:val="null3"/>
                  </w:pPr>
                  <w:r>
                    <w:rPr>
                      <w:rFonts w:ascii="宋体" w:hAnsi="宋体" w:cs="宋体" w:eastAsia="宋体"/>
                      <w:sz w:val="24"/>
                    </w:rPr>
                    <w:t>14.</w:t>
                  </w:r>
                  <w:r>
                    <w:rPr>
                      <w:rFonts w:ascii="宋体" w:hAnsi="宋体" w:cs="宋体" w:eastAsia="宋体"/>
                      <w:sz w:val="24"/>
                    </w:rPr>
                    <w:t>显示器</w:t>
                  </w:r>
                  <w:r>
                    <w:rPr>
                      <w:rFonts w:ascii="宋体" w:hAnsi="宋体" w:cs="宋体" w:eastAsia="宋体"/>
                      <w:sz w:val="24"/>
                    </w:rPr>
                    <w:t>: ≥23.8寸高清 1920*1080；</w:t>
                  </w:r>
                </w:p>
                <w:p>
                  <w:pPr>
                    <w:pStyle w:val="null3"/>
                  </w:pPr>
                  <w:r>
                    <w:rPr>
                      <w:rFonts w:ascii="宋体" w:hAnsi="宋体" w:cs="宋体" w:eastAsia="宋体"/>
                      <w:sz w:val="24"/>
                    </w:rPr>
                    <w:t>15.服务要求：生产厂商主机三年免费上门保修，提供售后服务承诺函。</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台</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学生教学终端</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1.CPU：≥Intel I5-12500处理器(3.0GHz 主频、18M 缓存)；</w:t>
                  </w:r>
                </w:p>
                <w:p>
                  <w:pPr>
                    <w:pStyle w:val="null3"/>
                  </w:pPr>
                  <w:r>
                    <w:rPr>
                      <w:rFonts w:ascii="宋体" w:hAnsi="宋体" w:cs="宋体" w:eastAsia="宋体"/>
                      <w:sz w:val="24"/>
                    </w:rPr>
                    <w:t>2.主板：≥Intel Q670及以上芯片组；</w:t>
                  </w:r>
                </w:p>
                <w:p>
                  <w:pPr>
                    <w:pStyle w:val="null3"/>
                  </w:pPr>
                  <w:r>
                    <w:rPr>
                      <w:rFonts w:ascii="宋体" w:hAnsi="宋体" w:cs="宋体" w:eastAsia="宋体"/>
                      <w:sz w:val="24"/>
                    </w:rPr>
                    <w:t>3.内存: ≥</w:t>
                  </w:r>
                  <w:r>
                    <w:rPr>
                      <w:rFonts w:ascii="宋体" w:hAnsi="宋体" w:cs="宋体" w:eastAsia="宋体"/>
                      <w:sz w:val="24"/>
                    </w:rPr>
                    <w:t>16</w:t>
                  </w:r>
                  <w:r>
                    <w:rPr>
                      <w:rFonts w:ascii="宋体" w:hAnsi="宋体" w:cs="宋体" w:eastAsia="宋体"/>
                      <w:sz w:val="24"/>
                    </w:rPr>
                    <w:t>G DDR4或以上 3200MHz 内存，提供</w:t>
                  </w:r>
                  <w:r>
                    <w:rPr>
                      <w:rFonts w:ascii="宋体" w:hAnsi="宋体" w:cs="宋体" w:eastAsia="宋体"/>
                      <w:sz w:val="24"/>
                    </w:rPr>
                    <w:t>4</w:t>
                  </w:r>
                  <w:r>
                    <w:rPr>
                      <w:rFonts w:ascii="宋体" w:hAnsi="宋体" w:cs="宋体" w:eastAsia="宋体"/>
                      <w:sz w:val="24"/>
                    </w:rPr>
                    <w:t>个内存槽位；</w:t>
                  </w:r>
                </w:p>
                <w:p>
                  <w:pPr>
                    <w:pStyle w:val="null3"/>
                  </w:pPr>
                  <w:r>
                    <w:rPr>
                      <w:rFonts w:ascii="宋体" w:hAnsi="宋体" w:cs="宋体" w:eastAsia="宋体"/>
                      <w:sz w:val="24"/>
                    </w:rPr>
                    <w:t>4.显卡: 集成；</w:t>
                  </w:r>
                </w:p>
                <w:p>
                  <w:pPr>
                    <w:pStyle w:val="null3"/>
                  </w:pPr>
                  <w:r>
                    <w:rPr>
                      <w:rFonts w:ascii="宋体" w:hAnsi="宋体" w:cs="宋体" w:eastAsia="宋体"/>
                      <w:sz w:val="24"/>
                    </w:rPr>
                    <w:t>5.声卡:集成声卡；</w:t>
                  </w:r>
                </w:p>
                <w:p>
                  <w:pPr>
                    <w:pStyle w:val="null3"/>
                  </w:pPr>
                  <w:r>
                    <w:rPr>
                      <w:rFonts w:ascii="宋体" w:hAnsi="宋体" w:cs="宋体" w:eastAsia="宋体"/>
                      <w:sz w:val="24"/>
                    </w:rPr>
                    <w:t>6.硬盘: ≥256G M.2 NVME 固态硬盘；</w:t>
                  </w:r>
                </w:p>
                <w:p>
                  <w:pPr>
                    <w:pStyle w:val="null3"/>
                  </w:pPr>
                  <w:r>
                    <w:rPr>
                      <w:rFonts w:ascii="宋体" w:hAnsi="宋体" w:cs="宋体" w:eastAsia="宋体"/>
                      <w:sz w:val="24"/>
                    </w:rPr>
                    <w:t>7.网卡: 主板集成2.5G有线网卡；</w:t>
                  </w:r>
                </w:p>
                <w:p>
                  <w:pPr>
                    <w:pStyle w:val="null3"/>
                  </w:pPr>
                  <w:r>
                    <w:rPr>
                      <w:rFonts w:ascii="宋体" w:hAnsi="宋体" w:cs="宋体" w:eastAsia="宋体"/>
                      <w:sz w:val="24"/>
                    </w:rPr>
                    <w:t>8.扩展槽: 1个PCI-E*16、2个PCI-E*4槽位,</w:t>
                  </w:r>
                </w:p>
                <w:p>
                  <w:pPr>
                    <w:pStyle w:val="null3"/>
                  </w:pPr>
                  <w:r>
                    <w:rPr>
                      <w:rFonts w:ascii="宋体" w:hAnsi="宋体" w:cs="宋体" w:eastAsia="宋体"/>
                      <w:sz w:val="24"/>
                    </w:rPr>
                    <w:t>9.键盘、鼠标 :原厂防水键盘、抗菌鼠标；</w:t>
                  </w:r>
                </w:p>
                <w:p>
                  <w:pPr>
                    <w:pStyle w:val="null3"/>
                  </w:pPr>
                  <w:r>
                    <w:rPr>
                      <w:rFonts w:ascii="宋体" w:hAnsi="宋体" w:cs="宋体" w:eastAsia="宋体"/>
                      <w:sz w:val="24"/>
                    </w:rPr>
                    <w:t>10.接口 ：4个USB接口、VGA+1*HDMI+DP接口；</w:t>
                  </w:r>
                </w:p>
                <w:p>
                  <w:pPr>
                    <w:pStyle w:val="null3"/>
                  </w:pPr>
                  <w:r>
                    <w:rPr>
                      <w:rFonts w:ascii="宋体" w:hAnsi="宋体" w:cs="宋体" w:eastAsia="宋体"/>
                      <w:sz w:val="24"/>
                    </w:rPr>
                    <w:t>11.电源：110/220V 260W；</w:t>
                  </w:r>
                </w:p>
                <w:p>
                  <w:pPr>
                    <w:pStyle w:val="null3"/>
                  </w:pPr>
                  <w:r>
                    <w:rPr>
                      <w:rFonts w:ascii="宋体" w:hAnsi="宋体" w:cs="宋体" w:eastAsia="宋体"/>
                      <w:sz w:val="24"/>
                    </w:rPr>
                    <w:t>12.显示器 ： 21.5寸 1920*1080 高清</w:t>
                  </w:r>
                </w:p>
                <w:p>
                  <w:pPr>
                    <w:pStyle w:val="null3"/>
                  </w:pPr>
                  <w:r>
                    <w:rPr>
                      <w:rFonts w:ascii="宋体" w:hAnsi="宋体" w:cs="宋体" w:eastAsia="宋体"/>
                      <w:sz w:val="24"/>
                    </w:rPr>
                    <w:t>13.操作系统：支持Windows 11home 操作系统 ；</w:t>
                  </w:r>
                </w:p>
                <w:p>
                  <w:pPr>
                    <w:pStyle w:val="null3"/>
                  </w:pPr>
                  <w:r>
                    <w:rPr>
                      <w:rFonts w:ascii="宋体" w:hAnsi="宋体" w:cs="宋体" w:eastAsia="宋体"/>
                      <w:sz w:val="24"/>
                    </w:rPr>
                    <w:t>14.机箱 ：标准塔式机箱≥13L；</w:t>
                  </w:r>
                </w:p>
                <w:p>
                  <w:pPr>
                    <w:pStyle w:val="null3"/>
                  </w:pPr>
                  <w:r>
                    <w:rPr>
                      <w:rFonts w:ascii="宋体" w:hAnsi="宋体" w:cs="宋体" w:eastAsia="宋体"/>
                      <w:sz w:val="24"/>
                    </w:rPr>
                    <w:t>15.服务要求 ：生产厂商主机三年免费上门保修，提供售后服务承诺函。</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102</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台</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计算机管理软件</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w:t>
                  </w:r>
                  <w:r>
                    <w:rPr>
                      <w:rFonts w:ascii="宋体" w:hAnsi="宋体" w:cs="宋体" w:eastAsia="宋体"/>
                      <w:sz w:val="24"/>
                    </w:rPr>
                    <w:t>.教师演示：将教师机屏幕和教师讲话实时广播给单一、部分或全体学生，可选择全屏或窗口方式。窗口模式下或教师机与学生机分辨率不同情况下，学生机可以以不同的窗口方式接收广播。</w:t>
                  </w:r>
                </w:p>
                <w:p>
                  <w:pPr>
                    <w:pStyle w:val="null3"/>
                  </w:pPr>
                  <w:r>
                    <w:rPr>
                      <w:rFonts w:ascii="宋体" w:hAnsi="宋体" w:cs="宋体" w:eastAsia="宋体"/>
                      <w:sz w:val="24"/>
                    </w:rPr>
                    <w:t>2</w:t>
                  </w:r>
                  <w:r>
                    <w:rPr>
                      <w:rFonts w:ascii="宋体" w:hAnsi="宋体" w:cs="宋体" w:eastAsia="宋体"/>
                      <w:sz w:val="24"/>
                    </w:rPr>
                    <w:t>.教师演示速度增强：屏幕广播时支持多种画面质量的调节，根据网络的不同选择最好的效果进行教学。</w:t>
                  </w:r>
                </w:p>
                <w:p>
                  <w:pPr>
                    <w:pStyle w:val="null3"/>
                  </w:pPr>
                  <w:r>
                    <w:rPr>
                      <w:rFonts w:ascii="宋体" w:hAnsi="宋体" w:cs="宋体" w:eastAsia="宋体"/>
                      <w:sz w:val="24"/>
                    </w:rPr>
                    <w:t>3</w:t>
                  </w:r>
                  <w:r>
                    <w:rPr>
                      <w:rFonts w:ascii="宋体" w:hAnsi="宋体" w:cs="宋体" w:eastAsia="宋体"/>
                      <w:sz w:val="24"/>
                    </w:rPr>
                    <w:t>.视频广播：采用流媒体技术，实现教师机播放的视频同步广播到学生机，且达到流畅无延时，支持几乎所有常见的媒体音视频格式， Windows Media文件，VCD文件，DVD文件，Real文件，AVI文件，MP3等主流文件格式，支持720p、1080p的高清视频。</w:t>
                  </w:r>
                </w:p>
                <w:p>
                  <w:pPr>
                    <w:pStyle w:val="null3"/>
                  </w:pPr>
                  <w:r>
                    <w:rPr>
                      <w:rFonts w:ascii="宋体" w:hAnsi="宋体" w:cs="宋体" w:eastAsia="宋体"/>
                      <w:sz w:val="24"/>
                    </w:rPr>
                    <w:t>4</w:t>
                  </w:r>
                  <w:r>
                    <w:rPr>
                      <w:rFonts w:ascii="宋体" w:hAnsi="宋体" w:cs="宋体" w:eastAsia="宋体"/>
                      <w:sz w:val="24"/>
                    </w:rPr>
                    <w:t>.分组教学：教师分派组长执行指定的功能，组长代替教师进行小组教学，小组不需要再临时创建，可以直接使用既有分组信息，教师可以监控每个分组的教学过程，以了解分组教学的进度。</w:t>
                  </w:r>
                </w:p>
                <w:p>
                  <w:pPr>
                    <w:pStyle w:val="null3"/>
                  </w:pPr>
                  <w:r>
                    <w:rPr>
                      <w:rFonts w:ascii="宋体" w:hAnsi="宋体" w:cs="宋体" w:eastAsia="宋体"/>
                      <w:sz w:val="24"/>
                    </w:rPr>
                    <w:t>5</w:t>
                  </w:r>
                  <w:r>
                    <w:rPr>
                      <w:rFonts w:ascii="宋体" w:hAnsi="宋体" w:cs="宋体" w:eastAsia="宋体"/>
                      <w:sz w:val="24"/>
                    </w:rPr>
                    <w:t>.分组讨论：教师可以创建多个小组进行讨论活动，并可任意选择分组加入讨论活动。同组师生支持多种方式进行交流，包括文字，图片等。</w:t>
                  </w:r>
                </w:p>
                <w:p>
                  <w:pPr>
                    <w:pStyle w:val="null3"/>
                  </w:pPr>
                  <w:r>
                    <w:rPr>
                      <w:rFonts w:ascii="宋体" w:hAnsi="宋体" w:cs="宋体" w:eastAsia="宋体"/>
                      <w:sz w:val="24"/>
                    </w:rPr>
                    <w:t>6</w:t>
                  </w:r>
                  <w:r>
                    <w:rPr>
                      <w:rFonts w:ascii="宋体" w:hAnsi="宋体" w:cs="宋体" w:eastAsia="宋体"/>
                      <w:sz w:val="24"/>
                    </w:rPr>
                    <w:t>.作业提交：学生把做好的作业直接提交到教师机，方便批改。通过特殊设置，学生提交作业时必需经过教师审批通过后才可提交，教师可以选择接收和拒绝学生提交的文件。并且教师可以限制学生提交文件的数目和大小。</w:t>
                  </w:r>
                </w:p>
                <w:p>
                  <w:pPr>
                    <w:pStyle w:val="null3"/>
                  </w:pPr>
                  <w:r>
                    <w:rPr>
                      <w:rFonts w:ascii="宋体" w:hAnsi="宋体" w:cs="宋体" w:eastAsia="宋体"/>
                      <w:sz w:val="24"/>
                    </w:rPr>
                    <w:t>7</w:t>
                  </w:r>
                  <w:r>
                    <w:rPr>
                      <w:rFonts w:ascii="宋体" w:hAnsi="宋体" w:cs="宋体" w:eastAsia="宋体"/>
                      <w:sz w:val="24"/>
                    </w:rPr>
                    <w:t>.上网限制：设定学生访问网站的黑名单或白名单，对学生可以访问的Internet站点进行管理。支持多浏览器限制，如QQ、IE、谷歌、360、遨游等浏览器。</w:t>
                  </w:r>
                </w:p>
                <w:p>
                  <w:pPr>
                    <w:pStyle w:val="null3"/>
                  </w:pPr>
                  <w:r>
                    <w:rPr>
                      <w:rFonts w:ascii="宋体" w:hAnsi="宋体" w:cs="宋体" w:eastAsia="宋体"/>
                      <w:sz w:val="24"/>
                    </w:rPr>
                    <w:t>8</w:t>
                  </w:r>
                  <w:r>
                    <w:rPr>
                      <w:rFonts w:ascii="宋体" w:hAnsi="宋体" w:cs="宋体" w:eastAsia="宋体"/>
                      <w:sz w:val="24"/>
                    </w:rPr>
                    <w:t>.程序限制：通过各种策略的应用，可防止学生在教学过程中打游戏，或使用QQ等聊天工具。</w:t>
                  </w:r>
                </w:p>
                <w:p>
                  <w:pPr>
                    <w:pStyle w:val="null3"/>
                  </w:pPr>
                  <w:r>
                    <w:rPr>
                      <w:rFonts w:ascii="宋体" w:hAnsi="宋体" w:cs="宋体" w:eastAsia="宋体"/>
                      <w:sz w:val="24"/>
                    </w:rPr>
                    <w:t>9</w:t>
                  </w:r>
                  <w:r>
                    <w:rPr>
                      <w:rFonts w:ascii="宋体" w:hAnsi="宋体" w:cs="宋体" w:eastAsia="宋体"/>
                      <w:sz w:val="24"/>
                    </w:rPr>
                    <w:t>.学生端属性查看：教师可以获取学生端计算机的名称、登录名和其它常用信息，并可以列出学生端的应用程序、进程和进程 ID，教师还可以远程终止学生端的进程。</w:t>
                  </w:r>
                </w:p>
                <w:p>
                  <w:pPr>
                    <w:pStyle w:val="null3"/>
                  </w:pPr>
                  <w:r>
                    <w:rPr>
                      <w:rFonts w:ascii="宋体" w:hAnsi="宋体" w:cs="宋体" w:eastAsia="宋体"/>
                      <w:sz w:val="24"/>
                    </w:rPr>
                    <w:t>10</w:t>
                  </w:r>
                  <w:r>
                    <w:rPr>
                      <w:rFonts w:ascii="宋体" w:hAnsi="宋体" w:cs="宋体" w:eastAsia="宋体"/>
                      <w:sz w:val="24"/>
                    </w:rPr>
                    <w:t>.图标监看：班级模型中可以显示学生机桌面的缩图。缩图显示大小也可自由设定。</w:t>
                  </w:r>
                </w:p>
                <w:p>
                  <w:pPr>
                    <w:pStyle w:val="null3"/>
                  </w:pPr>
                  <w:r>
                    <w:rPr>
                      <w:rFonts w:ascii="宋体" w:hAnsi="宋体" w:cs="宋体" w:eastAsia="宋体"/>
                      <w:sz w:val="24"/>
                    </w:rPr>
                    <w:t>1</w:t>
                  </w:r>
                  <w:r>
                    <w:rPr>
                      <w:rFonts w:ascii="宋体" w:hAnsi="宋体" w:cs="宋体" w:eastAsia="宋体"/>
                      <w:sz w:val="24"/>
                    </w:rPr>
                    <w:t>1</w:t>
                  </w:r>
                  <w:r>
                    <w:rPr>
                      <w:rFonts w:ascii="宋体" w:hAnsi="宋体" w:cs="宋体" w:eastAsia="宋体"/>
                      <w:sz w:val="24"/>
                    </w:rPr>
                    <w:t>.服务要求：提供售后服务承诺函。</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153</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台</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智慧黑板</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一、智慧黑板整机特性</w:t>
                  </w:r>
                </w:p>
                <w:p>
                  <w:pPr>
                    <w:pStyle w:val="null3"/>
                  </w:pPr>
                  <w:r>
                    <w:rPr>
                      <w:rFonts w:ascii="宋体" w:hAnsi="宋体" w:cs="宋体" w:eastAsia="宋体"/>
                      <w:sz w:val="24"/>
                    </w:rPr>
                    <w:t>1.整机正面采用三拼接平面一体化设计，无推拉式结构及外露连接线。整机尺寸宽度≥4200mm，高度≥1200mm；</w:t>
                  </w:r>
                </w:p>
                <w:p>
                  <w:pPr>
                    <w:pStyle w:val="null3"/>
                  </w:pPr>
                  <w:r>
                    <w:rPr>
                      <w:rFonts w:ascii="宋体" w:hAnsi="宋体" w:cs="宋体" w:eastAsia="宋体"/>
                      <w:sz w:val="24"/>
                    </w:rPr>
                    <w:t>2.整机前朝向面板支持教师用作黑板书写板书。主屏与两侧屏幕均支持普通粉笔、液体粉、水溶性粉笔等直接书写；</w:t>
                  </w:r>
                </w:p>
                <w:p>
                  <w:pPr>
                    <w:pStyle w:val="null3"/>
                  </w:pPr>
                  <w:r>
                    <w:rPr>
                      <w:rFonts w:ascii="宋体" w:hAnsi="宋体" w:cs="宋体" w:eastAsia="宋体"/>
                      <w:sz w:val="24"/>
                    </w:rPr>
                    <w:t>3.设备中间屏幕尺寸≥86英寸超高清LED液晶屏；显示比例16:9，显示分辨率≥3840×2160。可视角度≥178°，亮度：≥350cd/m2，对比度：≥4000:1；</w:t>
                  </w:r>
                </w:p>
                <w:p>
                  <w:pPr>
                    <w:pStyle w:val="null3"/>
                  </w:pPr>
                  <w:r>
                    <w:rPr>
                      <w:rFonts w:ascii="宋体" w:hAnsi="宋体" w:cs="宋体" w:eastAsia="宋体"/>
                      <w:sz w:val="24"/>
                    </w:rPr>
                    <w:t>4.整机屏幕色域覆盖率≥NTSC 72%，在sRGB模式下可做到高色准△E≤2，灰度≥256 级；</w:t>
                  </w:r>
                </w:p>
                <w:p>
                  <w:pPr>
                    <w:pStyle w:val="null3"/>
                  </w:pPr>
                  <w:r>
                    <w:rPr>
                      <w:rFonts w:ascii="宋体" w:hAnsi="宋体" w:cs="宋体" w:eastAsia="宋体"/>
                      <w:sz w:val="24"/>
                    </w:rPr>
                    <w:t>5. 整机内置支持2.4G/5G双频WIFI，在无PC条件下，整机可上网，支持AP热点。Wi-Fi和AP热点工作距离≥10米；</w:t>
                  </w:r>
                </w:p>
                <w:p>
                  <w:pPr>
                    <w:pStyle w:val="null3"/>
                  </w:pPr>
                  <w:r>
                    <w:rPr>
                      <w:rFonts w:ascii="宋体" w:hAnsi="宋体" w:cs="宋体" w:eastAsia="宋体"/>
                      <w:sz w:val="24"/>
                    </w:rPr>
                    <w:t>6.为了提高教学中的传输效率，整机支持蓝牙Bluetooth 5.0以上标准；</w:t>
                  </w:r>
                </w:p>
                <w:p>
                  <w:pPr>
                    <w:pStyle w:val="null3"/>
                  </w:pPr>
                  <w:r>
                    <w:rPr>
                      <w:rFonts w:ascii="宋体" w:hAnsi="宋体" w:cs="宋体" w:eastAsia="宋体"/>
                      <w:sz w:val="24"/>
                    </w:rPr>
                    <w:t>7.整机接口具备USB3.0，HDMI， Type-C，为方便教师使用及保护接口安全，前置接口具备隐藏式接口设计与中文标识；</w:t>
                  </w:r>
                </w:p>
                <w:p>
                  <w:pPr>
                    <w:pStyle w:val="null3"/>
                  </w:pPr>
                  <w:r>
                    <w:rPr>
                      <w:rFonts w:ascii="宋体" w:hAnsi="宋体" w:cs="宋体" w:eastAsia="宋体"/>
                      <w:sz w:val="24"/>
                    </w:rPr>
                    <w:t>8.整机前置物理按键≥5个，可实现复用功能，包含但不限于电源、护眼、录屏、主页、返回、设置、节能等功能，电源按键支持开机、关机、待机等三合一功能；</w:t>
                  </w:r>
                </w:p>
                <w:p>
                  <w:pPr>
                    <w:pStyle w:val="null3"/>
                  </w:pPr>
                  <w:r>
                    <w:rPr>
                      <w:rFonts w:ascii="宋体" w:hAnsi="宋体" w:cs="宋体" w:eastAsia="宋体"/>
                      <w:sz w:val="24"/>
                    </w:rPr>
                    <w:t>9.智慧黑板内置非外接的摄像头，摄像头像素≥1300万像素、非独立视场角≥120度的高清摄像头，整机内置非独立外扩展≥4阵列降噪麦克风，可识别距离≥8米；</w:t>
                  </w:r>
                </w:p>
                <w:p>
                  <w:pPr>
                    <w:pStyle w:val="null3"/>
                  </w:pPr>
                  <w:r>
                    <w:rPr>
                      <w:rFonts w:ascii="宋体" w:hAnsi="宋体" w:cs="宋体" w:eastAsia="宋体"/>
                      <w:sz w:val="24"/>
                    </w:rPr>
                    <w:t>10.整机采用红外零贴合技术，手指轻触式多点（支持在Windows、Android双系统下≥20点触控互动体验。屏幕采用防眩光玻璃，硬度≥莫氏7级；</w:t>
                  </w:r>
                </w:p>
                <w:p>
                  <w:pPr>
                    <w:pStyle w:val="null3"/>
                  </w:pPr>
                  <w:r>
                    <w:rPr>
                      <w:rFonts w:ascii="宋体" w:hAnsi="宋体" w:cs="宋体" w:eastAsia="宋体"/>
                      <w:sz w:val="24"/>
                    </w:rPr>
                    <w:t>11.整机内置安卓系统，系统版本≥Android 9.0操作系统，内存≥2GB，存储空间≥8GB；</w:t>
                  </w:r>
                </w:p>
                <w:p>
                  <w:pPr>
                    <w:pStyle w:val="null3"/>
                  </w:pPr>
                  <w:r>
                    <w:rPr>
                      <w:rFonts w:ascii="宋体" w:hAnsi="宋体" w:cs="宋体" w:eastAsia="宋体"/>
                      <w:sz w:val="24"/>
                    </w:rPr>
                    <w:t>12.内置录屏软件，支持Windows和Android无间断切换，并自动保存为.mp4格式。</w:t>
                  </w:r>
                </w:p>
                <w:p>
                  <w:pPr>
                    <w:pStyle w:val="null3"/>
                  </w:pPr>
                  <w:r>
                    <w:rPr>
                      <w:rFonts w:ascii="宋体" w:hAnsi="宋体" w:cs="宋体" w:eastAsia="宋体"/>
                      <w:sz w:val="24"/>
                    </w:rPr>
                    <w:t>二、内置电脑</w:t>
                  </w:r>
                </w:p>
                <w:p>
                  <w:pPr>
                    <w:pStyle w:val="null3"/>
                  </w:pPr>
                  <w:r>
                    <w:rPr>
                      <w:rFonts w:ascii="宋体" w:hAnsi="宋体" w:cs="宋体" w:eastAsia="宋体"/>
                      <w:sz w:val="24"/>
                    </w:rPr>
                    <w:t>1.i5-11代处理器，内存8G,硬盘256G；</w:t>
                  </w:r>
                </w:p>
                <w:p>
                  <w:pPr>
                    <w:pStyle w:val="null3"/>
                  </w:pPr>
                  <w:r>
                    <w:rPr>
                      <w:rFonts w:ascii="宋体" w:hAnsi="宋体" w:cs="宋体" w:eastAsia="宋体"/>
                      <w:sz w:val="24"/>
                    </w:rPr>
                    <w:t>2.随机带视频展台；</w:t>
                  </w:r>
                </w:p>
                <w:p>
                  <w:pPr>
                    <w:pStyle w:val="null3"/>
                  </w:pPr>
                  <w:r>
                    <w:rPr>
                      <w:rFonts w:ascii="宋体" w:hAnsi="宋体" w:cs="宋体" w:eastAsia="宋体"/>
                      <w:sz w:val="24"/>
                    </w:rPr>
                    <w:t>3.提供售后服务承诺函.</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3</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套</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精品课程建设（定制开发）</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完成平面设计和三维动画制作两门课程的教学设计和教学视频制作各不低于</w:t>
                  </w:r>
                  <w:r>
                    <w:rPr>
                      <w:rFonts w:ascii="宋体" w:hAnsi="宋体" w:cs="宋体" w:eastAsia="宋体"/>
                      <w:sz w:val="24"/>
                    </w:rPr>
                    <w:t>500分钟。</w:t>
                  </w:r>
                </w:p>
                <w:p>
                  <w:pPr>
                    <w:pStyle w:val="null3"/>
                  </w:pPr>
                  <w:r>
                    <w:rPr>
                      <w:rFonts w:ascii="宋体" w:hAnsi="宋体" w:cs="宋体" w:eastAsia="宋体"/>
                      <w:sz w:val="24"/>
                    </w:rPr>
                    <w:t>1.每段视频不少于45分钟；</w:t>
                  </w:r>
                </w:p>
                <w:p>
                  <w:pPr>
                    <w:pStyle w:val="null3"/>
                  </w:pPr>
                  <w:r>
                    <w:rPr>
                      <w:rFonts w:ascii="宋体" w:hAnsi="宋体" w:cs="宋体" w:eastAsia="宋体"/>
                      <w:sz w:val="24"/>
                    </w:rPr>
                    <w:t>2.视频须采用3机位全程连续录制，镜头固定，其中一个机位对准黑板和屏幕，另两个机位根据教学实际固定镜头位置，须覆盖教室全景；</w:t>
                  </w:r>
                </w:p>
                <w:p>
                  <w:pPr>
                    <w:pStyle w:val="null3"/>
                  </w:pPr>
                  <w:r>
                    <w:rPr>
                      <w:rFonts w:ascii="宋体" w:hAnsi="宋体" w:cs="宋体" w:eastAsia="宋体"/>
                      <w:sz w:val="24"/>
                    </w:rPr>
                    <w:t>3.3机位须同步录制，保证音视频准确同步；</w:t>
                  </w:r>
                </w:p>
                <w:p>
                  <w:pPr>
                    <w:pStyle w:val="null3"/>
                  </w:pPr>
                  <w:r>
                    <w:rPr>
                      <w:rFonts w:ascii="宋体" w:hAnsi="宋体" w:cs="宋体" w:eastAsia="宋体"/>
                      <w:sz w:val="24"/>
                    </w:rPr>
                    <w:t>4.所有机位拍摄的视频须保证音轨连续，不另行剪辑及配音，不加片头片尾、字幕注解；</w:t>
                  </w:r>
                </w:p>
                <w:p>
                  <w:pPr>
                    <w:pStyle w:val="null3"/>
                  </w:pPr>
                  <w:r>
                    <w:rPr>
                      <w:rFonts w:ascii="宋体" w:hAnsi="宋体" w:cs="宋体" w:eastAsia="宋体"/>
                      <w:sz w:val="24"/>
                    </w:rPr>
                    <w:t>5.视频采用MP4格式封装，单个视频文件大小不超过500M；</w:t>
                  </w:r>
                </w:p>
                <w:p>
                  <w:pPr>
                    <w:pStyle w:val="null3"/>
                  </w:pPr>
                  <w:r>
                    <w:rPr>
                      <w:rFonts w:ascii="宋体" w:hAnsi="宋体" w:cs="宋体" w:eastAsia="宋体"/>
                      <w:sz w:val="24"/>
                    </w:rPr>
                    <w:t>6.视频录制采用H.264/AVC编码格式压缩，动态比特率（码流）不低于1024Kbps，分辨率设定为1280*720，采用逐行扫描，帧速率为25帧/秒；</w:t>
                  </w:r>
                </w:p>
                <w:p>
                  <w:pPr>
                    <w:pStyle w:val="null3"/>
                  </w:pPr>
                  <w:r>
                    <w:rPr>
                      <w:rFonts w:ascii="宋体" w:hAnsi="宋体" w:cs="宋体" w:eastAsia="宋体"/>
                      <w:sz w:val="24"/>
                    </w:rPr>
                    <w:t>7.音频采用AAC格式压缩，采样率48KHz，比特率（码流）128Kbps(恒定)；</w:t>
                  </w:r>
                </w:p>
                <w:p>
                  <w:pPr>
                    <w:pStyle w:val="null3"/>
                  </w:pPr>
                  <w:r>
                    <w:rPr>
                      <w:rFonts w:ascii="宋体" w:hAnsi="宋体" w:cs="宋体" w:eastAsia="宋体"/>
                      <w:sz w:val="24"/>
                    </w:rPr>
                    <w:t>8.拍摄具体内容由双方协商后决定。</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项</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48口交换机</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1.交换容量≥432G；</w:t>
                  </w:r>
                </w:p>
                <w:p>
                  <w:pPr>
                    <w:pStyle w:val="null3"/>
                  </w:pPr>
                  <w:r>
                    <w:rPr>
                      <w:rFonts w:ascii="宋体" w:hAnsi="宋体" w:cs="宋体" w:eastAsia="宋体"/>
                      <w:sz w:val="24"/>
                    </w:rPr>
                    <w:t>2.包转发率≥87Mpps。</w:t>
                  </w:r>
                </w:p>
                <w:p>
                  <w:pPr>
                    <w:pStyle w:val="null3"/>
                  </w:pPr>
                  <w:r>
                    <w:rPr>
                      <w:rFonts w:ascii="宋体" w:hAnsi="宋体" w:cs="宋体" w:eastAsia="宋体"/>
                      <w:sz w:val="24"/>
                    </w:rPr>
                    <w:t>3.固化10/100/1000M以太网端口≥48个，固化1G SFP光接口≥4个；整机最大可用千兆口≥52个；</w:t>
                  </w:r>
                </w:p>
                <w:p>
                  <w:pPr>
                    <w:pStyle w:val="null3"/>
                  </w:pPr>
                  <w:r>
                    <w:rPr>
                      <w:rFonts w:ascii="宋体" w:hAnsi="宋体" w:cs="宋体" w:eastAsia="宋体"/>
                      <w:sz w:val="24"/>
                    </w:rPr>
                    <w:t>4.支持风扇调速及风扇故障告警功能，支持温度告警功能；</w:t>
                  </w:r>
                </w:p>
                <w:p>
                  <w:pPr>
                    <w:pStyle w:val="null3"/>
                  </w:pPr>
                  <w:r>
                    <w:rPr>
                      <w:rFonts w:ascii="宋体" w:hAnsi="宋体" w:cs="宋体" w:eastAsia="宋体"/>
                      <w:sz w:val="24"/>
                    </w:rPr>
                    <w:t>5.设备具备0~50°的宽温设计；</w:t>
                  </w:r>
                </w:p>
                <w:p>
                  <w:pPr>
                    <w:pStyle w:val="null3"/>
                  </w:pPr>
                  <w:r>
                    <w:rPr>
                      <w:rFonts w:ascii="宋体" w:hAnsi="宋体" w:cs="宋体" w:eastAsia="宋体"/>
                      <w:sz w:val="24"/>
                    </w:rPr>
                    <w:t>6.设备MAC地址≥16K；</w:t>
                  </w:r>
                </w:p>
                <w:p>
                  <w:pPr>
                    <w:pStyle w:val="null3"/>
                  </w:pPr>
                  <w:r>
                    <w:rPr>
                      <w:rFonts w:ascii="宋体" w:hAnsi="宋体" w:cs="宋体" w:eastAsia="宋体"/>
                      <w:sz w:val="24"/>
                    </w:rPr>
                    <w:t>7.支持生成树协议STP(IEEE 802.1d)，RSTP(IEEE 802.1w)和MSTP(IEEE 802.1s)。</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3</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台</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千兆光模块</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1000BASE-LX mini GBIC转换模块（1310nm），10km，单模</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12</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个</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9</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24口千兆交换机</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1.交换容量≥330G；</w:t>
                  </w:r>
                </w:p>
                <w:p>
                  <w:pPr>
                    <w:pStyle w:val="null3"/>
                  </w:pPr>
                  <w:r>
                    <w:rPr>
                      <w:rFonts w:ascii="宋体" w:hAnsi="宋体" w:cs="宋体" w:eastAsia="宋体"/>
                      <w:sz w:val="24"/>
                    </w:rPr>
                    <w:t>2.包转发率≥51Mpps；</w:t>
                  </w:r>
                </w:p>
                <w:p>
                  <w:pPr>
                    <w:pStyle w:val="null3"/>
                  </w:pPr>
                  <w:r>
                    <w:rPr>
                      <w:rFonts w:ascii="宋体" w:hAnsi="宋体" w:cs="宋体" w:eastAsia="宋体"/>
                      <w:sz w:val="24"/>
                    </w:rPr>
                    <w:t>3.固化10/100/1000M以太网端口≥24个，固化1G SFP光接口≥4个。</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3</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台</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功放机</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1.输出功率：2 × 250W  8ohm2 × 400W  4ohm;</w:t>
                  </w:r>
                </w:p>
                <w:p>
                  <w:pPr>
                    <w:pStyle w:val="null3"/>
                  </w:pPr>
                  <w:r>
                    <w:rPr>
                      <w:rFonts w:ascii="宋体" w:hAnsi="宋体" w:cs="宋体" w:eastAsia="宋体"/>
                      <w:sz w:val="24"/>
                    </w:rPr>
                    <w:t>2.频率范围：20Hz-20KHz -0.5dB;</w:t>
                  </w:r>
                </w:p>
                <w:p>
                  <w:pPr>
                    <w:pStyle w:val="null3"/>
                  </w:pPr>
                  <w:r>
                    <w:rPr>
                      <w:rFonts w:ascii="宋体" w:hAnsi="宋体" w:cs="宋体" w:eastAsia="宋体"/>
                      <w:sz w:val="24"/>
                    </w:rPr>
                    <w:t>3.信噪比：82 dB;</w:t>
                  </w:r>
                </w:p>
                <w:p>
                  <w:pPr>
                    <w:pStyle w:val="null3"/>
                  </w:pPr>
                  <w:r>
                    <w:rPr>
                      <w:rFonts w:ascii="宋体" w:hAnsi="宋体" w:cs="宋体" w:eastAsia="宋体"/>
                      <w:sz w:val="24"/>
                    </w:rPr>
                    <w:t>4.输入灵敏度：0.18V;</w:t>
                  </w:r>
                </w:p>
                <w:p>
                  <w:pPr>
                    <w:pStyle w:val="null3"/>
                  </w:pPr>
                  <w:r>
                    <w:rPr>
                      <w:rFonts w:ascii="宋体" w:hAnsi="宋体" w:cs="宋体" w:eastAsia="宋体"/>
                      <w:sz w:val="24"/>
                    </w:rPr>
                    <w:t>5.总谐波失真：≤0.05%;</w:t>
                  </w:r>
                </w:p>
                <w:p>
                  <w:pPr>
                    <w:pStyle w:val="null3"/>
                  </w:pPr>
                  <w:r>
                    <w:rPr>
                      <w:rFonts w:ascii="宋体" w:hAnsi="宋体" w:cs="宋体" w:eastAsia="宋体"/>
                      <w:sz w:val="24"/>
                    </w:rPr>
                    <w:t>6.输入阻抗：20KΩ.</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3</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台</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11</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音箱</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1.系统类型 8”二分频全频音箱;</w:t>
                  </w:r>
                </w:p>
                <w:p>
                  <w:pPr>
                    <w:pStyle w:val="null3"/>
                  </w:pPr>
                  <w:r>
                    <w:rPr>
                      <w:rFonts w:ascii="宋体" w:hAnsi="宋体" w:cs="宋体" w:eastAsia="宋体"/>
                      <w:sz w:val="24"/>
                    </w:rPr>
                    <w:t>2.频率响应 60Hz-19KHz±3dB;</w:t>
                  </w:r>
                </w:p>
                <w:p>
                  <w:pPr>
                    <w:pStyle w:val="null3"/>
                  </w:pPr>
                  <w:r>
                    <w:rPr>
                      <w:rFonts w:ascii="宋体" w:hAnsi="宋体" w:cs="宋体" w:eastAsia="宋体"/>
                      <w:sz w:val="24"/>
                    </w:rPr>
                    <w:t>3.灵敏度 101dB/1W/1M@±2dB;</w:t>
                  </w:r>
                </w:p>
                <w:p>
                  <w:pPr>
                    <w:pStyle w:val="null3"/>
                  </w:pPr>
                  <w:r>
                    <w:rPr>
                      <w:rFonts w:ascii="宋体" w:hAnsi="宋体" w:cs="宋体" w:eastAsia="宋体"/>
                      <w:sz w:val="24"/>
                    </w:rPr>
                    <w:t>4.额定功率 200W/8Ω;</w:t>
                  </w:r>
                </w:p>
                <w:p>
                  <w:pPr>
                    <w:pStyle w:val="null3"/>
                  </w:pPr>
                  <w:r>
                    <w:rPr>
                      <w:rFonts w:ascii="宋体" w:hAnsi="宋体" w:cs="宋体" w:eastAsia="宋体"/>
                      <w:sz w:val="24"/>
                    </w:rPr>
                    <w:t>5.峰值功率 400W/8Ω;</w:t>
                  </w:r>
                </w:p>
                <w:p>
                  <w:pPr>
                    <w:pStyle w:val="null3"/>
                  </w:pPr>
                  <w:r>
                    <w:rPr>
                      <w:rFonts w:ascii="宋体" w:hAnsi="宋体" w:cs="宋体" w:eastAsia="宋体"/>
                      <w:sz w:val="24"/>
                    </w:rPr>
                    <w:t>6.高音 1.36″×1;</w:t>
                  </w:r>
                </w:p>
                <w:p>
                  <w:pPr>
                    <w:pStyle w:val="null3"/>
                  </w:pPr>
                  <w:r>
                    <w:rPr>
                      <w:rFonts w:ascii="宋体" w:hAnsi="宋体" w:cs="宋体" w:eastAsia="宋体"/>
                      <w:sz w:val="24"/>
                    </w:rPr>
                    <w:t>7.低音 8″×1;</w:t>
                  </w:r>
                </w:p>
                <w:p>
                  <w:pPr>
                    <w:pStyle w:val="null3"/>
                  </w:pPr>
                  <w:r>
                    <w:rPr>
                      <w:rFonts w:ascii="宋体" w:hAnsi="宋体" w:cs="宋体" w:eastAsia="宋体"/>
                      <w:sz w:val="24"/>
                    </w:rPr>
                    <w:t>8.声压级 106dB Continuous 112dB Peak;</w:t>
                  </w:r>
                </w:p>
                <w:p>
                  <w:pPr>
                    <w:pStyle w:val="null3"/>
                  </w:pPr>
                  <w:r>
                    <w:rPr>
                      <w:rFonts w:ascii="宋体" w:hAnsi="宋体" w:cs="宋体" w:eastAsia="宋体"/>
                      <w:sz w:val="24"/>
                    </w:rPr>
                    <w:t>9.连接器 NL4 x 2;</w:t>
                  </w:r>
                </w:p>
                <w:p>
                  <w:pPr>
                    <w:pStyle w:val="null3"/>
                  </w:pPr>
                  <w:r>
                    <w:rPr>
                      <w:rFonts w:ascii="宋体" w:hAnsi="宋体" w:cs="宋体" w:eastAsia="宋体"/>
                      <w:sz w:val="24"/>
                    </w:rPr>
                    <w:t>10.箱体材料 15mm/BB级板材;</w:t>
                  </w:r>
                </w:p>
                <w:p>
                  <w:pPr>
                    <w:pStyle w:val="null3"/>
                  </w:pPr>
                  <w:r>
                    <w:rPr>
                      <w:rFonts w:ascii="宋体" w:hAnsi="宋体" w:cs="宋体" w:eastAsia="宋体"/>
                      <w:sz w:val="24"/>
                    </w:rPr>
                    <w:t>11.覆盖角度 80°×50°。</w:t>
                  </w:r>
                </w:p>
                <w:p>
                  <w:pPr>
                    <w:pStyle w:val="null3"/>
                  </w:pP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3</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对</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12</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无线话筒</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1.可调UHF频率一拖二无线系统，200个高频通道任意选择；</w:t>
                  </w:r>
                </w:p>
                <w:p>
                  <w:pPr>
                    <w:pStyle w:val="null3"/>
                  </w:pPr>
                  <w:r>
                    <w:rPr>
                      <w:rFonts w:ascii="宋体" w:hAnsi="宋体" w:cs="宋体" w:eastAsia="宋体"/>
                      <w:sz w:val="24"/>
                    </w:rPr>
                    <w:t>2.红外对频式锁定频点，接收机采用双液晶显示屏，更清楚系统工作状态，金属手持且配备加强型钢化网罩；</w:t>
                  </w:r>
                </w:p>
                <w:p>
                  <w:pPr>
                    <w:pStyle w:val="null3"/>
                  </w:pPr>
                  <w:r>
                    <w:rPr>
                      <w:rFonts w:ascii="宋体" w:hAnsi="宋体" w:cs="宋体" w:eastAsia="宋体"/>
                      <w:sz w:val="24"/>
                    </w:rPr>
                    <w:t>3.接收机与发射机通过IR红外对频技术,一键同步对码；</w:t>
                  </w:r>
                </w:p>
                <w:p>
                  <w:pPr>
                    <w:pStyle w:val="null3"/>
                  </w:pPr>
                  <w:r>
                    <w:rPr>
                      <w:rFonts w:ascii="宋体" w:hAnsi="宋体" w:cs="宋体" w:eastAsia="宋体"/>
                      <w:sz w:val="24"/>
                    </w:rPr>
                    <w:t>4.专业演出级别的相位锁定电路,配合杂讯锁定静噪控制与数码导频技术, 当发射器关闭时，导频控制将AF信号静音以抑制噪声，同时将对应的接收机静音。保证了对干忧信号的有效阻隔；</w:t>
                  </w:r>
                </w:p>
                <w:p>
                  <w:pPr>
                    <w:pStyle w:val="null3"/>
                  </w:pPr>
                  <w:r>
                    <w:rPr>
                      <w:rFonts w:ascii="宋体" w:hAnsi="宋体" w:cs="宋体" w:eastAsia="宋体"/>
                      <w:sz w:val="24"/>
                    </w:rPr>
                    <w:t>5.背光式LED显示屏指示了RF和AF信号强度，电池状态，通道指示(A/B)，频率，频率组/频道等工作状态；</w:t>
                  </w:r>
                </w:p>
                <w:p>
                  <w:pPr>
                    <w:pStyle w:val="null3"/>
                  </w:pPr>
                  <w:r>
                    <w:rPr>
                      <w:rFonts w:ascii="宋体" w:hAnsi="宋体" w:cs="宋体" w:eastAsia="宋体"/>
                      <w:sz w:val="24"/>
                    </w:rPr>
                    <w:t>6.系统稳定接收距离约达：50M-80M。</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3</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套</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13</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机柜</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 24U弱电机柜钢板厚度：1.5mm；</w:t>
                  </w:r>
                </w:p>
                <w:p>
                  <w:pPr>
                    <w:pStyle w:val="null3"/>
                  </w:pPr>
                  <w:r>
                    <w:rPr>
                      <w:rFonts w:ascii="宋体" w:hAnsi="宋体" w:cs="宋体" w:eastAsia="宋体"/>
                      <w:sz w:val="24"/>
                    </w:rPr>
                    <w:t>2. 尺寸：2000*600*1000mm(高*宽*深)。</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3</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个</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14</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实训桌</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1.嵌入式电脑桌，可支持21.5/23.8寸液晶显示器，满足实训室建设需求。显示器采用自动翻转设计，开锁即弹出翻转器，手动关闭即成平面桌面；</w:t>
                  </w:r>
                </w:p>
                <w:p>
                  <w:pPr>
                    <w:pStyle w:val="null3"/>
                  </w:pPr>
                  <w:r>
                    <w:rPr>
                      <w:rFonts w:ascii="宋体" w:hAnsi="宋体" w:cs="宋体" w:eastAsia="宋体"/>
                      <w:sz w:val="24"/>
                    </w:rPr>
                    <w:t>2.参考尺寸：电脑桌长≥800mm ，宽≥650mm， 高≥770mm；</w:t>
                  </w:r>
                </w:p>
                <w:p>
                  <w:pPr>
                    <w:pStyle w:val="null3"/>
                  </w:pPr>
                  <w:r>
                    <w:rPr>
                      <w:rFonts w:ascii="宋体" w:hAnsi="宋体" w:cs="宋体" w:eastAsia="宋体"/>
                      <w:sz w:val="24"/>
                    </w:rPr>
                    <w:t>3.材质：台面基材采用环保高密度板，达到国家E1级环保要求，面材采用环保防火板饰面；桌架选用1.2mm-1.5mm厚度冷轧钢板；</w:t>
                  </w:r>
                </w:p>
                <w:p>
                  <w:pPr>
                    <w:pStyle w:val="null3"/>
                  </w:pPr>
                  <w:r>
                    <w:rPr>
                      <w:rFonts w:ascii="宋体" w:hAnsi="宋体" w:cs="宋体" w:eastAsia="宋体"/>
                      <w:sz w:val="24"/>
                    </w:rPr>
                    <w:t>4.主机放置方式采用隐藏式主机箱并带锁，放置于后背板；</w:t>
                  </w:r>
                </w:p>
                <w:p>
                  <w:pPr>
                    <w:pStyle w:val="null3"/>
                  </w:pPr>
                  <w:r>
                    <w:rPr>
                      <w:rFonts w:ascii="宋体" w:hAnsi="宋体" w:cs="宋体" w:eastAsia="宋体"/>
                      <w:sz w:val="24"/>
                    </w:rPr>
                    <w:t>5.具体尺寸及颜色需根据学校实际需求定制。</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153</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位</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15</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实训椅</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1.优质面料饰面；</w:t>
                  </w:r>
                </w:p>
                <w:p>
                  <w:pPr>
                    <w:pStyle w:val="null3"/>
                  </w:pPr>
                  <w:r>
                    <w:rPr>
                      <w:rFonts w:ascii="宋体" w:hAnsi="宋体" w:cs="宋体" w:eastAsia="宋体"/>
                      <w:sz w:val="24"/>
                    </w:rPr>
                    <w:t>2.靠背PA+GF材质；</w:t>
                  </w:r>
                </w:p>
                <w:p>
                  <w:pPr>
                    <w:pStyle w:val="null3"/>
                  </w:pPr>
                  <w:r>
                    <w:rPr>
                      <w:rFonts w:ascii="宋体" w:hAnsi="宋体" w:cs="宋体" w:eastAsia="宋体"/>
                      <w:sz w:val="24"/>
                    </w:rPr>
                    <w:t>3.扶手PA+GF材质；</w:t>
                  </w:r>
                </w:p>
                <w:p>
                  <w:pPr>
                    <w:pStyle w:val="null3"/>
                  </w:pPr>
                  <w:r>
                    <w:rPr>
                      <w:rFonts w:ascii="宋体" w:hAnsi="宋体" w:cs="宋体" w:eastAsia="宋体"/>
                      <w:sz w:val="24"/>
                    </w:rPr>
                    <w:t>4.坐棉采用高密度泡棉；</w:t>
                  </w:r>
                </w:p>
                <w:p>
                  <w:pPr>
                    <w:pStyle w:val="null3"/>
                  </w:pPr>
                  <w:r>
                    <w:rPr>
                      <w:rFonts w:ascii="宋体" w:hAnsi="宋体" w:cs="宋体" w:eastAsia="宋体"/>
                      <w:sz w:val="24"/>
                    </w:rPr>
                    <w:t>5.钢架采用1.5厚表面黑色砂纹喷涂处理；</w:t>
                  </w:r>
                </w:p>
                <w:p>
                  <w:pPr>
                    <w:pStyle w:val="null3"/>
                  </w:pPr>
                  <w:r>
                    <w:rPr>
                      <w:rFonts w:ascii="宋体" w:hAnsi="宋体" w:cs="宋体" w:eastAsia="宋体"/>
                      <w:sz w:val="24"/>
                    </w:rPr>
                    <w:t>6.坐壳采用PP+GF材质；</w:t>
                  </w:r>
                </w:p>
                <w:p>
                  <w:pPr>
                    <w:pStyle w:val="null3"/>
                  </w:pPr>
                  <w:r>
                    <w:rPr>
                      <w:rFonts w:ascii="宋体" w:hAnsi="宋体" w:cs="宋体" w:eastAsia="宋体"/>
                      <w:sz w:val="24"/>
                    </w:rPr>
                    <w:t>7.坐木板采用抛压成型多层环保夹板；</w:t>
                  </w:r>
                </w:p>
                <w:p>
                  <w:pPr>
                    <w:pStyle w:val="null3"/>
                  </w:pPr>
                  <w:r>
                    <w:rPr>
                      <w:rFonts w:ascii="宋体" w:hAnsi="宋体" w:cs="宋体" w:eastAsia="宋体"/>
                      <w:sz w:val="24"/>
                    </w:rPr>
                    <w:t>8.整椅座板可以翻转，钢架可以折叠。</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153</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张</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16</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电子讲台</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1.讲桌采用钢木结合构造，钢板厚度≥1.0mm；</w:t>
                  </w:r>
                </w:p>
                <w:p>
                  <w:pPr>
                    <w:pStyle w:val="null3"/>
                  </w:pPr>
                  <w:r>
                    <w:rPr>
                      <w:rFonts w:ascii="宋体" w:hAnsi="宋体" w:cs="宋体" w:eastAsia="宋体"/>
                      <w:sz w:val="24"/>
                    </w:rPr>
                    <w:t>2.讲台提供左右实木扶手，供使用者扶用；</w:t>
                  </w:r>
                </w:p>
                <w:p>
                  <w:pPr>
                    <w:pStyle w:val="null3"/>
                  </w:pPr>
                  <w:r>
                    <w:rPr>
                      <w:rFonts w:ascii="宋体" w:hAnsi="宋体" w:cs="宋体" w:eastAsia="宋体"/>
                      <w:sz w:val="24"/>
                    </w:rPr>
                    <w:t>3.工艺：脱脂、磷化、静电喷塑、溜平固化，重点部位须采用一次冲压成型技术；</w:t>
                  </w:r>
                </w:p>
                <w:p>
                  <w:pPr>
                    <w:pStyle w:val="null3"/>
                  </w:pPr>
                  <w:r>
                    <w:rPr>
                      <w:rFonts w:ascii="宋体" w:hAnsi="宋体" w:cs="宋体" w:eastAsia="宋体"/>
                      <w:sz w:val="24"/>
                    </w:rPr>
                    <w:t>4.所有钣金部分均采用激光切割加工，所有尖角倒圆角不小于R3；</w:t>
                  </w:r>
                </w:p>
                <w:p>
                  <w:pPr>
                    <w:pStyle w:val="null3"/>
                  </w:pPr>
                  <w:r>
                    <w:rPr>
                      <w:rFonts w:ascii="宋体" w:hAnsi="宋体" w:cs="宋体" w:eastAsia="宋体"/>
                      <w:sz w:val="24"/>
                    </w:rPr>
                    <w:t>5.盖门采取翻转方式；</w:t>
                  </w:r>
                </w:p>
                <w:p>
                  <w:pPr>
                    <w:pStyle w:val="null3"/>
                  </w:pPr>
                  <w:r>
                    <w:rPr>
                      <w:rFonts w:ascii="宋体" w:hAnsi="宋体" w:cs="宋体" w:eastAsia="宋体"/>
                      <w:sz w:val="24"/>
                    </w:rPr>
                    <w:t>6.讲台关闭尺寸： ≥1100*≥780*≥1000mm。</w:t>
                  </w:r>
                </w:p>
                <w:p>
                  <w:pPr>
                    <w:pStyle w:val="null3"/>
                  </w:pPr>
                  <w:r>
                    <w:rPr>
                      <w:rFonts w:ascii="宋体" w:hAnsi="宋体" w:cs="宋体" w:eastAsia="宋体"/>
                      <w:sz w:val="24"/>
                    </w:rPr>
                    <w:t>7.钢木结合材料一体成型，桌面为≥12mm木质耐划台面；全封闭式结构；</w:t>
                  </w:r>
                </w:p>
                <w:p>
                  <w:pPr>
                    <w:pStyle w:val="null3"/>
                  </w:pPr>
                  <w:r>
                    <w:rPr>
                      <w:rFonts w:ascii="宋体" w:hAnsi="宋体" w:cs="宋体" w:eastAsia="宋体"/>
                      <w:sz w:val="24"/>
                    </w:rPr>
                    <w:t>8.液晶显示器采用反转设计，显示器角度随意调节，可使视线和显示器接近垂直，可安装17-24寸显示器（要求显示器后面有壁挂孔），关闭后所有设备都隐藏在讲台内；讲台操作由一把锁控制；显示器，键盘、鼠标、中控盒通过内置连环结构控制且互不影响独立操作；</w:t>
                  </w:r>
                </w:p>
                <w:p>
                  <w:pPr>
                    <w:pStyle w:val="null3"/>
                  </w:pPr>
                  <w:r>
                    <w:rPr>
                      <w:rFonts w:ascii="宋体" w:hAnsi="宋体" w:cs="宋体" w:eastAsia="宋体"/>
                      <w:sz w:val="24"/>
                    </w:rPr>
                    <w:t>9.采用分体式结构，上下两部分采用分体组装；</w:t>
                  </w:r>
                </w:p>
                <w:p>
                  <w:pPr>
                    <w:pStyle w:val="null3"/>
                  </w:pPr>
                  <w:r>
                    <w:rPr>
                      <w:rFonts w:ascii="宋体" w:hAnsi="宋体" w:cs="宋体" w:eastAsia="宋体"/>
                      <w:sz w:val="24"/>
                    </w:rPr>
                    <w:t>10.键盘采用翻转式操作，显示器、中央控制系统、键盘互不影响独立操作；</w:t>
                  </w:r>
                </w:p>
                <w:p>
                  <w:pPr>
                    <w:pStyle w:val="null3"/>
                  </w:pPr>
                  <w:r>
                    <w:rPr>
                      <w:rFonts w:ascii="宋体" w:hAnsi="宋体" w:cs="宋体" w:eastAsia="宋体"/>
                      <w:sz w:val="24"/>
                    </w:rPr>
                    <w:t>11.右侧采用隐藏抽拉式设计，承重不少于6公斤，可安装视频展示台、高拍仪等；</w:t>
                  </w:r>
                </w:p>
                <w:p>
                  <w:pPr>
                    <w:pStyle w:val="null3"/>
                  </w:pPr>
                  <w:r>
                    <w:rPr>
                      <w:rFonts w:ascii="宋体" w:hAnsi="宋体" w:cs="宋体" w:eastAsia="宋体"/>
                      <w:sz w:val="24"/>
                    </w:rPr>
                    <w:t>12.桌体下层内部采用标准机柜设计，带层板，所有设备可整齐固定；</w:t>
                  </w:r>
                </w:p>
                <w:p>
                  <w:pPr>
                    <w:pStyle w:val="null3"/>
                  </w:pPr>
                  <w:r>
                    <w:rPr>
                      <w:rFonts w:ascii="宋体" w:hAnsi="宋体" w:cs="宋体" w:eastAsia="宋体"/>
                      <w:sz w:val="24"/>
                    </w:rPr>
                    <w:t>13.讲台内可放设备：教学终端、中控、实物展示台、键盘、显示器、电脑主机、功放、音响等教学设备；</w:t>
                  </w:r>
                </w:p>
                <w:p>
                  <w:pPr>
                    <w:pStyle w:val="null3"/>
                  </w:pPr>
                  <w:r>
                    <w:rPr>
                      <w:rFonts w:ascii="宋体" w:hAnsi="宋体" w:cs="宋体" w:eastAsia="宋体"/>
                      <w:sz w:val="24"/>
                    </w:rPr>
                    <w:t>14.讲台具备防盗、防火、防尘、散热强等功能：关闭时所有设备不外露，必须借助钥匙才能开启。</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3</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台</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17</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空调</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1、变频/定频：变频</w:t>
                  </w:r>
                </w:p>
                <w:p>
                  <w:pPr>
                    <w:pStyle w:val="null3"/>
                  </w:pPr>
                  <w:r>
                    <w:rPr>
                      <w:rFonts w:ascii="宋体" w:hAnsi="宋体" w:cs="宋体" w:eastAsia="宋体"/>
                      <w:sz w:val="24"/>
                    </w:rPr>
                    <w:t>2、冷暖类型：冷暖空调</w:t>
                  </w:r>
                </w:p>
                <w:p>
                  <w:pPr>
                    <w:pStyle w:val="null3"/>
                  </w:pPr>
                  <w:r>
                    <w:rPr>
                      <w:rFonts w:ascii="宋体" w:hAnsi="宋体" w:cs="宋体" w:eastAsia="宋体"/>
                      <w:sz w:val="24"/>
                    </w:rPr>
                    <w:t>3、商品匹数：3匹</w:t>
                  </w:r>
                </w:p>
                <w:p>
                  <w:pPr>
                    <w:pStyle w:val="null3"/>
                  </w:pPr>
                  <w:r>
                    <w:rPr>
                      <w:rFonts w:ascii="宋体" w:hAnsi="宋体" w:cs="宋体" w:eastAsia="宋体"/>
                      <w:sz w:val="24"/>
                    </w:rPr>
                    <w:t>4、能效等级：3 级</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6</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台</w:t>
                  </w:r>
                </w:p>
              </w:tc>
            </w:tr>
            <w:tr>
              <w:tc>
                <w:tcPr>
                  <w:tcW w:type="dxa" w:w="1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18</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综合布线及文化建设</w:t>
                  </w:r>
                </w:p>
              </w:tc>
              <w:tc>
                <w:tcPr>
                  <w:tcW w:type="dxa" w:w="17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定制，含三间实训室门窗改造，吊顶（约300平方米），弱电设计，综合布线，宣传标语及实训室制度、简介设计等等</w:t>
                  </w:r>
                </w:p>
              </w:tc>
              <w:tc>
                <w:tcPr>
                  <w:tcW w:type="dxa" w:w="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rPr>
                    <w:t>3</w:t>
                  </w:r>
                </w:p>
              </w:tc>
              <w:tc>
                <w:tcPr>
                  <w:tcW w:type="dxa" w:w="1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24"/>
                      <w:color w:val="000000"/>
                    </w:rPr>
                    <w:t>批</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合同签订后40日</w:t>
      </w:r>
    </w:p>
    <w:p>
      <w:pPr>
        <w:pStyle w:val="null3"/>
        <w:outlineLvl w:val="3"/>
      </w:pPr>
      <w:r>
        <w:rPr>
          <w:sz w:val="24"/>
          <w:b/>
        </w:rPr>
        <w:t>3.4.2交货地点</w:t>
      </w:r>
    </w:p>
    <w:p>
      <w:pPr>
        <w:pStyle w:val="null3"/>
      </w:pPr>
      <w:r>
        <w:rPr/>
        <w:t>采购包1：</w:t>
      </w:r>
    </w:p>
    <w:p>
      <w:pPr>
        <w:pStyle w:val="null3"/>
      </w:pPr>
      <w:r>
        <w:rPr/>
        <w:t>陕西机电职业技术学院指定交货地点。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验收合格后</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1、在发货前，乙方应对货物的质量、规格、数量等进行准确而全面的检验，并出具产品生产产地证明材料 (加盖公章)。 2、甲方将在供货单位交货现场组织验收，如果货物达不到国家的质量及企业标准或与投标时封存样品不符，甲方有权拒绝接收。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本项目质保期要求不低于1年。质保期从验收合格后开始计算。质保期以整个项目为单位进行响应。</w:t>
      </w:r>
    </w:p>
    <w:p>
      <w:pPr>
        <w:pStyle w:val="null3"/>
        <w:outlineLvl w:val="3"/>
      </w:pPr>
      <w:r>
        <w:rPr>
          <w:sz w:val="24"/>
          <w:b/>
        </w:rPr>
        <w:t>3.4.8违约责任与解决争议的方法</w:t>
      </w:r>
    </w:p>
    <w:p>
      <w:pPr>
        <w:pStyle w:val="null3"/>
      </w:pPr>
      <w:r>
        <w:rPr/>
        <w:t>采购包1：</w:t>
      </w:r>
    </w:p>
    <w:p>
      <w:pPr>
        <w:pStyle w:val="null3"/>
      </w:pPr>
      <w:r>
        <w:rPr/>
        <w:t>一、违约责任 1、乙方逾期供货，每延迟1日，应按合同总价款的1‰向甲方支付违约金，因不可抗力或经甲方同意除外，但违约金总额不超过合同总价的10％。如合同总价5％以上的货物迟达10日的，甲方有权解除本合同。 2、甲方逾期付款，每延迟1日，应按合同总价款的1‰向乙方支付违约金，因不可抗力或经乙方同意除外。 3、如乙方产品质量不符合国家标准或未达到本企业内控标准，甲方有权退货，并且乙方应承担甲方合同总价款的10％的违约金并赔偿其他损失。 4、在合同规定的供货期内乙方未如数交货，除应如数补齐外，还应承担合同总款的10％违约金。 5、保修期内因产品质量问题，乙方未按合同规定及时进行维修、更换，甲方可自行组织人员进行维修、更换，因此造成的相关责任、费用由乙方承担。 6、乙方对材料不按招标文件要求，擅自更换，除恢复原招标产品外，应承担更换部分价款10%的违约金。 7、乙方如对材料以次充好，除全部按要求恢复外，应承担此部分价款10%的违约金。 8、如由于产品质量原因，不能通过验收，乙方除按规定无偿更换外，应承担所涉及产品总价款的10％违约金。 9、乙方负责现场施工人员及其他人员安全。如因乙方原因造成人员伤亡或财产损失，由乙方负责并承担一切赔偿责任。甲方有权追究乙方的违约责任。 二、争议解决 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甲方所在地人民法院管辖。</w:t>
      </w:r>
    </w:p>
    <w:p>
      <w:pPr>
        <w:pStyle w:val="null3"/>
        <w:jc w:val="left"/>
        <w:outlineLvl w:val="2"/>
      </w:pPr>
      <w:r>
        <w:rPr>
          <w:sz w:val="28"/>
          <w:b/>
        </w:rPr>
        <w:t>3.5其他要求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 壹套、电子版壹 套（U盘一套标明供应商名称，随正本密封）。若系统电子投标文件与纸质投标文件不一致的，以系统电子投标文件为准。 2、定标环节采购人有权对投标文件承诺响应的内容进行复核，如有虚假响应，一经发现，取消成交资格并上报财政主管部门，列入政府采购黑名单。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 投标文件制作注意事项（必看）</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 投标文件制作注意事项（必看）</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 投标文件制作注意事项（必看）</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法定代表人授权委托书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资格响应表</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交货安装期</w:t>
            </w:r>
          </w:p>
        </w:tc>
        <w:tc>
          <w:tcPr>
            <w:tcW w:type="dxa" w:w="3322"/>
          </w:tcPr>
          <w:p>
            <w:pPr>
              <w:pStyle w:val="null3"/>
            </w:pPr>
            <w:r>
              <w:rPr/>
              <w:t>合同签订后40日。</w:t>
            </w:r>
          </w:p>
        </w:tc>
        <w:tc>
          <w:tcPr>
            <w:tcW w:type="dxa" w:w="1661"/>
          </w:tcPr>
          <w:p>
            <w:pPr>
              <w:pStyle w:val="null3"/>
            </w:pPr>
            <w:r>
              <w:rPr/>
              <w:t>商务及技术偏离表 开标一览表及分项报价表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本项目质保期要求不低于1年。质保期从验收合格后开始计算。质保期以整个项目为单位进行响应。</w:t>
            </w:r>
          </w:p>
        </w:tc>
        <w:tc>
          <w:tcPr>
            <w:tcW w:type="dxa" w:w="1661"/>
          </w:tcPr>
          <w:p>
            <w:pPr>
              <w:pStyle w:val="null3"/>
            </w:pPr>
            <w:r>
              <w:rPr/>
              <w:t>商务及技术偏离表 开标一览表及分项报价表</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验收合格后，于30日之内一次性支付合同总额的100%。</w:t>
            </w:r>
          </w:p>
        </w:tc>
        <w:tc>
          <w:tcPr>
            <w:tcW w:type="dxa" w:w="1661"/>
          </w:tcPr>
          <w:p>
            <w:pPr>
              <w:pStyle w:val="null3"/>
            </w:pPr>
            <w:r>
              <w:rPr/>
              <w:t>商务及技术偏离表 开标一览表及分项报价表</w:t>
            </w:r>
          </w:p>
        </w:tc>
      </w:tr>
      <w:tr>
        <w:tc>
          <w:tcPr>
            <w:tcW w:type="dxa" w:w="831"/>
          </w:tcPr>
          <w:p>
            <w:pPr>
              <w:pStyle w:val="null3"/>
            </w:pPr>
            <w:r>
              <w:rPr/>
              <w:t>5</w:t>
            </w:r>
          </w:p>
        </w:tc>
        <w:tc>
          <w:tcPr>
            <w:tcW w:type="dxa" w:w="2492"/>
          </w:tcPr>
          <w:p>
            <w:pPr>
              <w:pStyle w:val="null3"/>
            </w:pPr>
            <w:r>
              <w:rPr/>
              <w:t>投标文件有效期</w:t>
            </w:r>
          </w:p>
        </w:tc>
        <w:tc>
          <w:tcPr>
            <w:tcW w:type="dxa" w:w="3322"/>
          </w:tcPr>
          <w:p>
            <w:pPr>
              <w:pStyle w:val="null3"/>
            </w:pPr>
            <w:r>
              <w:rPr/>
              <w:t>90日历日</w:t>
            </w:r>
          </w:p>
        </w:tc>
        <w:tc>
          <w:tcPr>
            <w:tcW w:type="dxa" w:w="1661"/>
          </w:tcPr>
          <w:p>
            <w:pPr>
              <w:pStyle w:val="null3"/>
            </w:pPr>
            <w:r>
              <w:rPr/>
              <w:t>商务及技术偏离表 投标函</w:t>
            </w:r>
          </w:p>
        </w:tc>
      </w:tr>
      <w:tr>
        <w:tc>
          <w:tcPr>
            <w:tcW w:type="dxa" w:w="831"/>
          </w:tcPr>
          <w:p>
            <w:pPr>
              <w:pStyle w:val="null3"/>
            </w:pPr>
            <w:r>
              <w:rPr/>
              <w:t>6</w:t>
            </w:r>
          </w:p>
        </w:tc>
        <w:tc>
          <w:tcPr>
            <w:tcW w:type="dxa" w:w="2492"/>
          </w:tcPr>
          <w:p>
            <w:pPr>
              <w:pStyle w:val="null3"/>
            </w:pPr>
            <w:r>
              <w:rPr/>
              <w:t>供应商有法律、规章、规范性文件和招标文件规定的其他无效情形，按无效响应处理。</w:t>
            </w:r>
          </w:p>
        </w:tc>
        <w:tc>
          <w:tcPr>
            <w:tcW w:type="dxa" w:w="3322"/>
          </w:tcPr>
          <w:p>
            <w:pPr>
              <w:pStyle w:val="null3"/>
            </w:pPr>
            <w:r>
              <w:rPr/>
              <w:t>供应商有法律、规章、规范性文件和招标文件规定的其他无效情形，按无效响应处理。</w:t>
            </w:r>
          </w:p>
        </w:tc>
        <w:tc>
          <w:tcPr>
            <w:tcW w:type="dxa" w:w="1661"/>
          </w:tcPr>
          <w:p>
            <w:pPr>
              <w:pStyle w:val="null3"/>
            </w:pPr>
            <w:r>
              <w:rPr/>
              <w:t>商务及技术偏离表 投标函 开标一览表及分项报价表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技术指标和配置</w:t>
            </w:r>
          </w:p>
        </w:tc>
        <w:tc>
          <w:tcPr>
            <w:tcW w:type="dxa" w:w="2492"/>
          </w:tcPr>
          <w:p>
            <w:pPr>
              <w:pStyle w:val="null3"/>
            </w:pPr>
            <w:r>
              <w:rPr/>
              <w:t>参数完全满足招标文件要求得16分，有一项不满足扣1分，扣完为止。 供应商应按参数要求提供充足的佐证材料（佐证材料不限于：检测报告、功能说明书、功能截图等内容），供应商自行承担因证明材料不全而被视为技术参数负偏离的风险。技术参数正偏离或负偏离应在技术响应表中注明佐证材料的页码。</w:t>
            </w:r>
          </w:p>
        </w:tc>
        <w:tc>
          <w:tcPr>
            <w:tcW w:type="dxa" w:w="831"/>
          </w:tcPr>
          <w:p>
            <w:pPr>
              <w:pStyle w:val="null3"/>
              <w:jc w:val="right"/>
            </w:pPr>
            <w:r>
              <w:rPr/>
              <w:t>16.0000</w:t>
            </w:r>
          </w:p>
        </w:tc>
        <w:tc>
          <w:tcPr>
            <w:tcW w:type="dxa" w:w="831"/>
          </w:tcPr>
          <w:p>
            <w:pPr>
              <w:pStyle w:val="null3"/>
            </w:pPr>
            <w:r>
              <w:rPr/>
              <w:t>客观</w:t>
            </w:r>
          </w:p>
        </w:tc>
        <w:tc>
          <w:tcPr>
            <w:tcW w:type="dxa" w:w="1661"/>
          </w:tcPr>
          <w:p>
            <w:pPr>
              <w:pStyle w:val="null3"/>
            </w:pPr>
            <w:r>
              <w:rPr/>
              <w:t>商务及技术偏离表</w:t>
            </w:r>
          </w:p>
        </w:tc>
      </w:tr>
      <w:tr>
        <w:tc>
          <w:tcPr>
            <w:tcW w:type="dxa" w:w="831"/>
            <w:vMerge/>
          </w:tcPr>
          <w:p/>
        </w:tc>
        <w:tc>
          <w:tcPr>
            <w:tcW w:type="dxa" w:w="1661"/>
          </w:tcPr>
          <w:p>
            <w:pPr>
              <w:pStyle w:val="null3"/>
            </w:pPr>
            <w:r>
              <w:rPr/>
              <w:t>配置方案</w:t>
            </w:r>
          </w:p>
        </w:tc>
        <w:tc>
          <w:tcPr>
            <w:tcW w:type="dxa" w:w="2492"/>
          </w:tcPr>
          <w:p>
            <w:pPr>
              <w:pStyle w:val="null3"/>
            </w:pPr>
            <w:r>
              <w:rPr/>
              <w:t>供应商提供针对本项目的配置方案。至少包含：1、操作系统技术、配置；2、对后期兼容性、扩展性考虑；3、配套设施；4、软件无版权纠纷。 方案各项内容全面详细、阐述条理清晰、技术先进、功能配置合理，能有效保障本项目实施得12分，每有一项缺项扣3分，每有一处内容存在缺陷，扣1分，扣完为止。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实施方案</w:t>
            </w:r>
          </w:p>
        </w:tc>
        <w:tc>
          <w:tcPr>
            <w:tcW w:type="dxa" w:w="2492"/>
          </w:tcPr>
          <w:p>
            <w:pPr>
              <w:pStyle w:val="null3"/>
            </w:pPr>
            <w:r>
              <w:rPr/>
              <w:t>供应商提供针对本项目的实施方案。至少包含：1、教学设备的安装调试；2、教学系统对接实施方案的合理性、可行性；3、对不可预见因素的预测；4、实施步骤、进度计划和保证措施；5、质量，安全控制方案及措施；6、备品备件更换使用率低；7、项目组人员配置、协调能力等。 方案各项内容全面详细、阐述条理清晰、技术先进、功能配置合理，能有效保障本项目实施得14分，每有一项缺项扣2分，每有一处内容存在缺陷，扣1分，扣完为止。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14.0000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质量保证措施</w:t>
            </w:r>
          </w:p>
        </w:tc>
        <w:tc>
          <w:tcPr>
            <w:tcW w:type="dxa" w:w="2492"/>
          </w:tcPr>
          <w:p>
            <w:pPr>
              <w:pStyle w:val="null3"/>
            </w:pPr>
            <w:r>
              <w:rPr/>
              <w:t>投标产品技术工艺先进，性能稳定，产品进货渠道正规，确保生产供应的产品无假货、水货、翻新货且无产权纠纷，提供的投标产品合法来源渠道证明文件（不限于代理协议、原厂授权等）齐全；得4分；产品来源渠道证明文件内容有缺陷、单一、响应粗略得2分； 未提供得0分。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售后服务</w:t>
            </w:r>
          </w:p>
        </w:tc>
        <w:tc>
          <w:tcPr>
            <w:tcW w:type="dxa" w:w="2492"/>
          </w:tcPr>
          <w:p>
            <w:pPr>
              <w:pStyle w:val="null3"/>
            </w:pPr>
            <w:r>
              <w:rPr/>
              <w:t>根据各供应商针对本项目的售后服务方案，至少包含：1、售后服务内容及承诺；2、现有服务体系；3、服务网点固定场所；4、货物损坏解决方案、响应时间、人员安排等。 方案各项内容全面详细、阐述条理清晰、能有效保障本项目实施得8分，每有一项缺项扣2分，每有一处内容存在缺陷，扣1分，扣完为止。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培训方案</w:t>
            </w:r>
          </w:p>
        </w:tc>
        <w:tc>
          <w:tcPr>
            <w:tcW w:type="dxa" w:w="2492"/>
          </w:tcPr>
          <w:p>
            <w:pPr>
              <w:pStyle w:val="null3"/>
            </w:pPr>
            <w:r>
              <w:rPr/>
              <w:t>根据各供应商提供针对本项目的培训方案，至少包含：1、提供详尽的培训方案及培训计划；2、列出培训的具体内容及方式；3、确保使用人员能够独立熟练操作、维护和正常使用得承诺函等。 方案各项内容全面详细、阐述条理清晰得6分，每有一项缺项扣2分，每有一处内容存在缺陷，扣1分，扣完为止。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服务方案、人员表及供应商认为有必要提供的其他内容</w:t>
            </w:r>
          </w:p>
        </w:tc>
      </w:tr>
      <w:tr>
        <w:tc>
          <w:tcPr>
            <w:tcW w:type="dxa" w:w="831"/>
            <w:vMerge/>
          </w:tcPr>
          <w:p/>
        </w:tc>
        <w:tc>
          <w:tcPr>
            <w:tcW w:type="dxa" w:w="1661"/>
          </w:tcPr>
          <w:p>
            <w:pPr>
              <w:pStyle w:val="null3"/>
            </w:pPr>
            <w:r>
              <w:rPr/>
              <w:t>业绩</w:t>
            </w:r>
          </w:p>
        </w:tc>
        <w:tc>
          <w:tcPr>
            <w:tcW w:type="dxa" w:w="2492"/>
          </w:tcPr>
          <w:p>
            <w:pPr>
              <w:pStyle w:val="null3"/>
            </w:pPr>
            <w:r>
              <w:rPr/>
              <w:t>提供供应商2021年1月1日至今同类项目合同（以合同签订日期为准），每提供1个得2分，最高得10分。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经初审合格的投标文件，其投标报价为有效投标价。 评标基准价：即满足招标文件要求且投标价格最低的投标报价为评标基准价。 其他投标人的价格分统一按照下列公式计算。投标报价得分=(评标基准价／投标报价)×30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详见附件：商务及技术偏离表</w:t>
      </w:r>
    </w:p>
    <w:p>
      <w:pPr>
        <w:pStyle w:val="null3"/>
        <w:ind w:firstLine="960"/>
      </w:pPr>
      <w:r>
        <w:rPr/>
        <w:t>详见附件：服务方案、人员表及供应商认为有必要提供的其他内容</w:t>
      </w:r>
    </w:p>
    <w:p>
      <w:pPr>
        <w:pStyle w:val="null3"/>
        <w:ind w:firstLine="960"/>
      </w:pPr>
      <w:r>
        <w:rPr/>
        <w:t>详见附件：业绩一览表</w:t>
      </w:r>
    </w:p>
    <w:p>
      <w:pPr>
        <w:pStyle w:val="null3"/>
        <w:ind w:firstLine="960"/>
      </w:pPr>
      <w:r>
        <w:rPr/>
        <w:t>详见附件：资格响应表</w:t>
      </w:r>
    </w:p>
    <w:p>
      <w:pPr>
        <w:pStyle w:val="null3"/>
        <w:ind w:firstLine="960"/>
      </w:pPr>
      <w:r>
        <w:rPr/>
        <w:t>详见附件：开标一览表及分项报价表</w:t>
      </w:r>
    </w:p>
    <w:p>
      <w:pPr>
        <w:pStyle w:val="null3"/>
        <w:ind w:firstLine="960"/>
      </w:pPr>
      <w:r>
        <w:rPr/>
        <w:t>详见附件：投标文件制作注意事项（必看）</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