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2024年硒鼓粉盒等耗材采购项目</w:t>
      </w:r>
    </w:p>
    <w:p>
      <w:pPr>
        <w:pStyle w:val="null3"/>
        <w:jc w:val="center"/>
        <w:outlineLvl w:val="2"/>
      </w:pPr>
      <w:r>
        <w:rPr>
          <w:sz w:val="28"/>
          <w:b/>
        </w:rPr>
        <w:t>采购项目编号：</w:t>
      </w:r>
      <w:r>
        <w:rPr>
          <w:sz w:val="28"/>
          <w:b/>
        </w:rPr>
        <w:t>SZT2024-SN-SC-ZC-HW-0679</w:t>
      </w:r>
      <w:r>
        <w:br/>
      </w:r>
      <w:r>
        <w:br/>
      </w:r>
      <w:r>
        <w:br/>
      </w:r>
    </w:p>
    <w:p>
      <w:pPr>
        <w:pStyle w:val="null3"/>
        <w:jc w:val="center"/>
        <w:outlineLvl w:val="2"/>
      </w:pPr>
      <w:r>
        <w:rPr>
          <w:sz w:val="28"/>
          <w:b/>
        </w:rPr>
        <w:t>陕西省人民医院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2024年07月16日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陕西省人民医院</w:t>
      </w:r>
      <w:r>
        <w:rPr/>
        <w:t>委托，拟对</w:t>
      </w:r>
      <w:r>
        <w:rPr/>
        <w:t>2024年硒鼓粉盒等耗材采购项目</w:t>
      </w:r>
      <w:r>
        <w:rPr/>
        <w:t>进行国内公开招标，兹邀请符合本次招标要求的供应商参加投标。</w:t>
      </w:r>
    </w:p>
    <w:p>
      <w:pPr>
        <w:pStyle w:val="null3"/>
        <w:outlineLvl w:val="2"/>
      </w:pPr>
      <w:r>
        <w:rPr>
          <w:sz w:val="28"/>
          <w:b/>
        </w:rPr>
        <w:t>一、采购项目编号：</w:t>
      </w:r>
      <w:r>
        <w:rPr>
          <w:sz w:val="28"/>
          <w:b/>
        </w:rPr>
        <w:t>SZT2024-SN-SC-ZC-HW-0679</w:t>
      </w:r>
    </w:p>
    <w:p>
      <w:pPr>
        <w:pStyle w:val="null3"/>
        <w:outlineLvl w:val="2"/>
      </w:pPr>
      <w:r>
        <w:rPr>
          <w:sz w:val="28"/>
          <w:b/>
        </w:rPr>
        <w:t>二、采购项目名称：</w:t>
      </w:r>
      <w:r>
        <w:rPr>
          <w:sz w:val="28"/>
          <w:b/>
        </w:rPr>
        <w:t>2024年硒鼓粉盒等耗材采购项目</w:t>
      </w:r>
    </w:p>
    <w:p>
      <w:pPr>
        <w:pStyle w:val="null3"/>
        <w:outlineLvl w:val="2"/>
      </w:pPr>
      <w:r>
        <w:rPr>
          <w:sz w:val="28"/>
          <w:b/>
        </w:rPr>
        <w:t>三、招标项目简介</w:t>
      </w:r>
    </w:p>
    <w:p>
      <w:pPr>
        <w:pStyle w:val="null3"/>
        <w:ind w:firstLine="480"/>
      </w:pPr>
      <w:r>
        <w:rPr/>
        <w:t>2024年主院区和西咸院区的日常使用各类型号的硒鼓、粉盒、墨盒、油墨等采购内容，按实际需求供货，据实结算，合同金额用完为止</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85253261-3382</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预算金额差额定率累进法计算（预算金额100万以下按规定收取，100万-500万按下浮20%收取，500万-1000万按下浮25%收取，1000 万以上按下浮30%收取）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陕西中技招标有限公司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2024年主院区和西咸院区的日常使用各类型号的硒鼓、粉盒、墨盒、油墨等采购内容，按实际需求供货，据实结算，合同金额用完为止</w:t>
      </w:r>
    </w:p>
    <w:p>
      <w:pPr>
        <w:pStyle w:val="null3"/>
        <w:outlineLvl w:val="2"/>
      </w:pPr>
      <w:r>
        <w:rPr>
          <w:sz w:val="28"/>
          <w:b/>
        </w:rPr>
        <w:t>3.2采购内容</w:t>
      </w:r>
    </w:p>
    <w:p>
      <w:pPr>
        <w:pStyle w:val="null3"/>
      </w:pPr>
      <w:r>
        <w:rPr/>
        <w:t>采购包1：</w:t>
      </w:r>
    </w:p>
    <w:p>
      <w:pPr>
        <w:pStyle w:val="null3"/>
      </w:pPr>
      <w:r>
        <w:rPr/>
        <w:t>采购包预算金额（元）: 1,900,000.00</w:t>
      </w:r>
    </w:p>
    <w:p>
      <w:pPr>
        <w:pStyle w:val="null3"/>
      </w:pPr>
      <w:r>
        <w:rPr/>
        <w:t>采购包最高限价（元）: 1,900,000.00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硒鼓粉盒等</w:t>
            </w:r>
          </w:p>
        </w:tc>
        <w:tc>
          <w:tcPr>
            <w:tcW w:type="dxa" w:w="831"/>
          </w:tcPr>
          <w:p>
            <w:pPr>
              <w:pStyle w:val="null3"/>
              <w:jc w:val="right"/>
            </w:pPr>
            <w:r>
              <w:rPr/>
              <w:t>1.00</w:t>
            </w:r>
          </w:p>
        </w:tc>
        <w:tc>
          <w:tcPr>
            <w:tcW w:type="dxa" w:w="831"/>
          </w:tcPr>
          <w:p>
            <w:pPr>
              <w:pStyle w:val="null3"/>
              <w:jc w:val="right"/>
            </w:pPr>
            <w:r>
              <w:rPr/>
              <w:t>1,900,000.00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标的名称：硒鼓粉盒等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3"/>
              <w:gridCol w:w="244"/>
              <w:gridCol w:w="167"/>
              <w:gridCol w:w="320"/>
              <w:gridCol w:w="1619"/>
            </w:tblGrid>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32"/>
                      <w:b/>
                      <w:color w:val="000000"/>
                    </w:rPr>
                    <w:t>技术参数</w:t>
                  </w:r>
                </w:p>
              </w:tc>
            </w:tr>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序号</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品类</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单位</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预估数量</w:t>
                  </w:r>
                </w:p>
              </w:tc>
              <w:tc>
                <w:tcPr>
                  <w:tcW w:type="dxa" w:w="1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技术参数</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9000（核心产品）</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▲打印量≥2000页，适用于惠普1020、1020Plus，国产黑鼓（带芯片），A4幅面5%覆盖率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6000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▲打印量≥1500页，适用于惠普P1106、P1106Plus，国产黑鼓（带芯片），A4幅面5%覆盖率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2000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▲打印量≥1600页，适用于惠普M203dn、227fdw打印机，国产黑色硒鼓（带芯片），A4幅面5%覆盖率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▲打印量≥3100页，适用于惠普M305DN打印机，国产一体式硒鼓（带芯片），A4幅面5%覆盖率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≥1500页，适用于惠普108A打印机，国产品牌黑色硒鼓，A4幅面5%覆盖率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≥9000页，适用于惠普M701n打印机，国产品牌黑色硒鼓（带芯片），A4幅面5%覆盖率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≥30000页，适用于兄弟Brother HL-5450DN打印机，国产黑色硒鼓，A4幅面5%覆盖率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≥2100页，适用于惠普M1536打印机，国产品牌黑色硒鼓（带芯片），A4幅面5%覆盖率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≥1600页，适用PANTUM（P2206W）打印机，国产黑色硒鼓，A4幅面5%覆盖率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≥10000页，适用惠普M712N打印机，国产黑色硒鼓，A4幅面5%覆盖率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≥1400页，HPCF-540,国产黑色硒鼓（带芯片），A4幅面5%覆盖率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≥3000页，适用于M403N、M403DW、M403DN、M403DNE打印机，国产黑色硒鼓（带芯片），A4幅面5%覆盖率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≥1000页，适用于惠普M154A打印机，国产黑色硒鼓（带芯片），A4幅面5%覆盖率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≥900页，适用于惠普M154A打印机，国产彩色硒鼓（带芯片），A4幅面5%覆盖率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≥1500页,适用于佳能CanonLBP3018、LBP3108打印机，国产黑色硒鼓，A4幅面5%覆盖率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≥1500页，适用于惠普103A打印机，国产黑色硒鼓（带芯片），A4幅面5%覆盖率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打印量黑</w:t>
                  </w:r>
                  <w:r>
                    <w:rPr>
                      <w:rFonts w:ascii="仿宋" w:hAnsi="仿宋" w:cs="仿宋" w:eastAsia="仿宋"/>
                      <w:sz w:val="28"/>
                      <w:color w:val="000000"/>
                    </w:rPr>
                    <w:t>≥1400页，适用于惠普281FDW打印机，国产黑色硒鼓，A4幅面5%覆盖率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打印量彩</w:t>
                  </w:r>
                  <w:r>
                    <w:rPr>
                      <w:rFonts w:ascii="仿宋" w:hAnsi="仿宋" w:cs="仿宋" w:eastAsia="仿宋"/>
                      <w:sz w:val="28"/>
                      <w:color w:val="000000"/>
                    </w:rPr>
                    <w:t>≥1300页，适用于惠普281FDW打印机，国产彩色硒鼓（带芯片），A4幅面5%覆盖率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≥1700页，适用于惠普3104FDW打印机，国产黑色硒鼓，A4幅面5%覆盖率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≥2000页，适用于惠普1120、1522nf打印机，国产黑色硒鼓，A4幅面5%覆盖率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160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≥2400页，适用于惠普M454dw、M479dw、M480f打印机，国产黑色硒鼓（带芯片），A4幅面5%覆盖率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≥2100页，适用于惠普M454dw、M479dw、M480f打印机，国产彩色硒鼓（带芯片），A4幅面5%覆盖率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≥2100页，适用佳能MF4712打印机，国产黑色硒鼓（带芯片），A4幅面5%覆盖率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≥1600页，适用于佳能LBP6018W打印机，国产黑色硒鼓（带芯片），A4幅面5%覆盖率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≥1500页，适用于三星M2071打印机，国产黑色硒鼓，A4幅面5%覆盖率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≥6000页，适用于惠普P3015打印机，国产黑色硒鼓，A4幅面5%覆盖率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≥2300页，适用于惠普P2035、P2055打印机，国产黑色硒鼓，A4幅面5%覆盖率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≥2500页，适用于佳能LBP-1120打印机，国产黑色硒鼓，A4幅面5%覆盖率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≥25000页，适用于兄弟HL-5240打印机，国产黑色硒鼓，A4幅面5%覆盖率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≥10000页，适用于HP 600 M601n/601dn/602n/602dn/602x/603n/603dn/603xh/M4555MFP打印机，国产黑色硒鼓，A4幅面5%覆盖率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打印量黑</w:t>
                  </w:r>
                  <w:r>
                    <w:rPr>
                      <w:rFonts w:ascii="仿宋" w:hAnsi="仿宋" w:cs="仿宋" w:eastAsia="仿宋"/>
                      <w:sz w:val="28"/>
                      <w:color w:val="000000"/>
                    </w:rPr>
                    <w:t>≥2300页，彩≥2300页，适用于惠普m452dw打印机，国产黑、彩色硒鼓，A4幅面5%覆盖率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打印量黑</w:t>
                  </w:r>
                  <w:r>
                    <w:rPr>
                      <w:rFonts w:ascii="仿宋" w:hAnsi="仿宋" w:cs="仿宋" w:eastAsia="仿宋"/>
                      <w:sz w:val="28"/>
                      <w:color w:val="000000"/>
                    </w:rPr>
                    <w:t>≥36000页，适用于佳能mC3125打印机，国产黑色硒鼓，A4幅面5%覆盖率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打印量彩</w:t>
                  </w:r>
                  <w:r>
                    <w:rPr>
                      <w:rFonts w:ascii="仿宋" w:hAnsi="仿宋" w:cs="仿宋" w:eastAsia="仿宋"/>
                      <w:sz w:val="28"/>
                      <w:color w:val="000000"/>
                    </w:rPr>
                    <w:t>≥19000页，适用于佳能mC3125打印机，国产彩色硒鼓，A4幅面5%覆盖率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≥30000页，适用于兄弟Brother HL-5590DN打印机，国产黑色硒鼓，A4幅面覆盖率5%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≥1500，适用于hp 108a/w 136a/w/nw 138p/pn/pnw打印机，国产黑色硒鼓，A4幅面覆盖率5%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≥3000页，适用于HPPRoM402n,M426fdw打印机，国产黑色硒鼓，A4幅面覆盖率5%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≥25000页，适用于惠普E78223/78228DN打印机，国产黑色硒鼓，A4幅面覆盖率5%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≥20000页，适用于惠普E78223/78228DN打印机，国产彩色硒鼓，A4幅面覆盖率5%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≥7000页，适用于HP5225dn打印机，国产黑色硒鼓，A4幅面覆盖率5%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≥7300页，适用于HP5225dn打印机，国产彩色硒鼓，A4幅面覆盖率5%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≥3000页，适用于惠普P2015打印机，国产黑色硒鼓，A4幅面5%覆盖率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≥12000页，适用于惠普5200、5200n打印机，国产黑色硒鼓，A4幅面5%覆盖率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≥12000页，适用于惠普CP1025打印机，国产黑色硒鼓，A4幅面5%覆盖率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≥1000页,适用于150MFP打印机，国产黑色硒鼓，A4幅面5%覆盖率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≥700页, 适用于150MFP打印机，国产彩色硒鼓，A4幅面5%覆盖率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打印量黑</w:t>
                  </w:r>
                  <w:r>
                    <w:rPr>
                      <w:rFonts w:ascii="仿宋" w:hAnsi="仿宋" w:cs="仿宋" w:eastAsia="仿宋"/>
                      <w:sz w:val="28"/>
                      <w:color w:val="000000"/>
                    </w:rPr>
                    <w:t>≥2300页，适用于惠普m452dw打印机，国产黑色硒鼓，A4幅面5%覆盖率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打印量彩</w:t>
                  </w:r>
                  <w:r>
                    <w:rPr>
                      <w:rFonts w:ascii="仿宋" w:hAnsi="仿宋" w:cs="仿宋" w:eastAsia="仿宋"/>
                      <w:sz w:val="28"/>
                      <w:color w:val="000000"/>
                    </w:rPr>
                    <w:t>≥2300页，适用于惠普m452dw打印机，国产彩色硒鼓，A4幅面5%覆盖率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打印量黑</w:t>
                  </w:r>
                  <w:r>
                    <w:rPr>
                      <w:rFonts w:ascii="仿宋" w:hAnsi="仿宋" w:cs="仿宋" w:eastAsia="仿宋"/>
                      <w:sz w:val="28"/>
                      <w:color w:val="000000"/>
                    </w:rPr>
                    <w:t>≥1000页，适用于惠普M154A打印机，国产黑色硒鼓，A4幅面5%覆盖率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打印量彩</w:t>
                  </w:r>
                  <w:r>
                    <w:rPr>
                      <w:rFonts w:ascii="仿宋" w:hAnsi="仿宋" w:cs="仿宋" w:eastAsia="仿宋"/>
                      <w:sz w:val="28"/>
                      <w:color w:val="000000"/>
                    </w:rPr>
                    <w:t>≥900页，适用于惠普M154A打印机，国产彩色硒鼓，A4幅面5%覆盖率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≥12000页，适用于兄弟Brother HL2240D打印机，国产黑色硒鼓，A4幅面5%覆盖率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≥12000页，适用于兄弟Brother 7530DN、7520打印机，国产黑色硒鼓，A4幅面5%覆盖率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硒鼓</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≥10000页，适用联想LJ6300、6300D、6350DN打印机，国产黑色硒鼓，A4幅面5%覆盖率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≥1400页，适用于惠普M132打印机，国产黑色粉盒，A4幅面5%覆盖率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≥33000页，适用于惠普M72625、72630DN打印机，国产黑色粉盒，A4幅面5%覆盖率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≥1600页，适用于惠普227fdn打印机，国产黑色粉盒，A4幅面5%覆盖率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≥8000页，适用于兄弟Brother HL-5590DN打印机，国产黑色粉盒，A4幅面5%覆盖率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≥2600页，适用于兄弟MFC-7360打印机，国产黑色粉盒，A4幅面5%覆盖率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≥1500页，适用于DCP-1618W、MFC-1919NW、HL1218W打印机，国产黑色粉盒，A4幅面5%覆盖率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≥1500页，适用于联想LJ2200、2200L、2250/2250N打印机，国产黑色粉盒，A4幅面5%覆盖率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≥2600页，适用于联想LJ2400打印机，国产黑色粉盒，A4幅面5%覆盖率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≥3000页，适用于兄弟Brother HL-5450DN打印机，国产黑色粉盒，A4幅面5%覆盖率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≥1500页，适用于联想LJ2200、2200L、2250/2250N打印机，国产黑色粉盒，A4幅面5%覆盖率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黑色打印量</w:t>
                  </w:r>
                  <w:r>
                    <w:rPr>
                      <w:rFonts w:ascii="仿宋" w:hAnsi="仿宋" w:cs="仿宋" w:eastAsia="仿宋"/>
                      <w:sz w:val="28"/>
                      <w:color w:val="000000"/>
                    </w:rPr>
                    <w:t>≥1200页，适用于惠普CP1025/M175系列打印机，国产黑色粉盒，A4幅面5%覆盖率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彩色打印量</w:t>
                  </w:r>
                  <w:r>
                    <w:rPr>
                      <w:rFonts w:ascii="仿宋" w:hAnsi="仿宋" w:cs="仿宋" w:eastAsia="仿宋"/>
                      <w:sz w:val="28"/>
                      <w:color w:val="000000"/>
                    </w:rPr>
                    <w:t>≥1000页，适用于惠普CP1025/M175系列打印机，国产彩色粉盒，A4幅面5%覆盖率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≥29000页，适用于HPE77822DN打印机，国产黑色粉盒，A4幅面5%覆盖率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≥28000页，适用于HPE77822DN打印机，国产彩色粉盒，A4幅面5%覆盖率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粉盒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≥2600页，适用于兄弟Brother HL2240D打印机，国产黑色粉盒，A4幅面5%覆盖率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碳粉</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1000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国产黑色碳粉，适用于</w:t>
                  </w:r>
                  <w:r>
                    <w:rPr>
                      <w:rFonts w:ascii="仿宋" w:hAnsi="仿宋" w:cs="仿宋" w:eastAsia="仿宋"/>
                      <w:sz w:val="28"/>
                      <w:color w:val="000000"/>
                    </w:rPr>
                    <w:t>HP、佳能、兄弟打印机，A4幅面5%覆盖率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碳粉</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1000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国产彩色碳粉，适用于</w:t>
                  </w:r>
                  <w:r>
                    <w:rPr>
                      <w:rFonts w:ascii="仿宋" w:hAnsi="仿宋" w:cs="仿宋" w:eastAsia="仿宋"/>
                      <w:sz w:val="28"/>
                      <w:color w:val="000000"/>
                    </w:rPr>
                    <w:t>HP、佳能、兄弟打印机，A4幅面5%覆盖率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墨袋</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≥5000页，适用于爱普生WF-C5290a、WF-C5790a打印机，国产黑色墨袋，A4幅面5%覆盖率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墨袋</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▲打印量≥5000页，适用于爱普生WF-C5290a、WF-C5790a打印机，国产彩色墨袋，A4幅面5%覆盖率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维护箱</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6</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适用于爱普生</w:t>
                  </w:r>
                  <w:r>
                    <w:rPr>
                      <w:rFonts w:ascii="仿宋" w:hAnsi="仿宋" w:cs="仿宋" w:eastAsia="仿宋"/>
                      <w:sz w:val="28"/>
                      <w:color w:val="000000"/>
                    </w:rPr>
                    <w:t>WF-C5290打印机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保养墨盒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适用于佳能</w:t>
                  </w:r>
                  <w:r>
                    <w:rPr>
                      <w:rFonts w:ascii="仿宋" w:hAnsi="仿宋" w:cs="仿宋" w:eastAsia="仿宋"/>
                      <w:sz w:val="28"/>
                      <w:color w:val="000000"/>
                    </w:rPr>
                    <w:t>G1820彩色打印机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≥280页,适用于惠普D1368、D1468打印机,各原装品牌黑色墨盒，A4幅面5%覆盖率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≥240页,适用于惠普D1368、D1468打印机,各原装品牌彩色墨盒，A4幅面5%覆盖率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≥1500页，适用于惠普2520hc、2020hc打印机,各原装品牌黑色墨盒，A4幅面5%覆盖率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≥750页，适用于惠普2520hc、2020hc打印机,各原装品牌彩色墨盒，A4幅面5%覆盖率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≥600页，适用于惠普J3608、J3606打印机,各原装品牌黑色墨盒，A4幅面5%覆盖率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79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40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≥165页，适用于惠普J3508、J3608打印机,各原装品牌彩色墨盒，A4幅面5%覆盖率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≥220页，适用于佳能iP2780打印机，各原装品牌黑色墨盒，A4幅面5%覆盖率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≥244页，适用于佳能iP2780打印机，各原装品牌彩色墨盒，A4幅面5%覆盖率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≥930页，适用于惠普710c打印机，各原装品牌黑色墨盒，A4幅面5%覆盖率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≥560页，适用于喷墨打印机：920c、930打印机，各原装品牌墨盒，A4幅面5%覆盖率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≥200页，适用于惠普2010、2060打印机，各原装品牌彩色墨盒，A4幅面5%覆盖率，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≥480页，适用于惠普2010、2060打印机，各原装品牌黑色墨盒，A4幅面5%覆盖率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黑色打印量</w:t>
                  </w:r>
                  <w:r>
                    <w:rPr>
                      <w:rFonts w:ascii="仿宋" w:hAnsi="仿宋" w:cs="仿宋" w:eastAsia="仿宋"/>
                      <w:sz w:val="28"/>
                      <w:color w:val="000000"/>
                    </w:rPr>
                    <w:t>≥200页，适用于惠普D1668、D2568打印机，各原装品牌墨盒，A4幅面5%覆盖率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≥165页，适用于惠普D1668、D2568打印机，各原装品牌彩墨盒，A4幅面5%覆盖率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≥2300页，适用于惠普8100 、8600，各原装品牌黑色墨盒，A4幅面5%覆盖率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89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≥1500页，适用于惠普8100 、8600，各原装品牌彩色墨盒，A4幅面5%覆盖率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≥9200页，适用于x451dw/551dw/476dw/576dw打印机，各原装品牌黑色墨盒，A4幅面5%覆盖率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≥180页，适用于佳能MX538、MX528打印机，各原装品牌黑色墨盒，A4幅面5%覆盖率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≥180页，适用于佳能MX538、MX528打印机，各原装品牌彩色墨盒，A4幅面5%覆盖率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≥800页，适用于佳能E618、E608、E518打印机，各原装品牌黑色墨盒，A4幅面5%覆盖率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≥200页，适用于佳能iP110、iP100打印机，各原装品牌黑色墨盒，A4幅面5%覆盖率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≥250页，适用于佳能iP110、iP100打印机，各原装品牌彩色墨盒，A4幅面5%覆盖率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≥400页，适用于佳能E618、E608、E518打印机，各原装品牌彩色墨盒，A4幅面5%覆盖率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30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≥815页，适用于爱普生R270 、R390、 RX590打印机，各原装品牌六色墨盒，A4幅面5%覆盖率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≥245页，适用于爱普生ME30、600F打印机，各原装品牌黑色墨盒，A4幅面5%覆盖率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99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≥565页，适用于爱普生ME30、600F打印机，各原装品牌彩色墨盒，A4幅面5%覆盖率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≥155页，适用于</w:t>
                  </w:r>
                  <w:r>
                    <w:rPr>
                      <w:rFonts w:ascii="arial" w:hAnsi="arial" w:cs="arial" w:eastAsia="arial"/>
                      <w:sz w:val="28"/>
                      <w:color w:val="000000"/>
                    </w:rPr>
                    <w:t>Deskjet1112 2132 1111 2131</w:t>
                  </w:r>
                  <w:r>
                    <w:rPr>
                      <w:rFonts w:ascii="仿宋" w:hAnsi="仿宋" w:cs="仿宋" w:eastAsia="仿宋"/>
                      <w:sz w:val="28"/>
                      <w:color w:val="000000"/>
                    </w:rPr>
                    <w:t>打印机，各原装品牌彩色墨盒，</w:t>
                  </w:r>
                  <w:r>
                    <w:rPr>
                      <w:rFonts w:ascii="arial" w:hAnsi="arial" w:cs="arial" w:eastAsia="arial"/>
                      <w:sz w:val="28"/>
                      <w:color w:val="000000"/>
                    </w:rPr>
                    <w:t>A4</w:t>
                  </w:r>
                  <w:r>
                    <w:rPr>
                      <w:rFonts w:ascii="仿宋" w:hAnsi="仿宋" w:cs="仿宋" w:eastAsia="仿宋"/>
                      <w:sz w:val="28"/>
                      <w:color w:val="000000"/>
                    </w:rPr>
                    <w:t>幅面</w:t>
                  </w:r>
                  <w:r>
                    <w:rPr>
                      <w:rFonts w:ascii="arial" w:hAnsi="arial" w:cs="arial" w:eastAsia="arial"/>
                      <w:sz w:val="28"/>
                      <w:color w:val="000000"/>
                    </w:rPr>
                    <w:t>5%</w:t>
                  </w:r>
                  <w:r>
                    <w:rPr>
                      <w:rFonts w:ascii="仿宋" w:hAnsi="仿宋" w:cs="仿宋" w:eastAsia="仿宋"/>
                      <w:sz w:val="28"/>
                      <w:color w:val="000000"/>
                    </w:rPr>
                    <w:t>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≥300页，适用于佳能MG3080、Ip2880、TS308、TS20打印机，各原装品牌黑色墨盒，A4幅面5%覆盖率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黑色打印量</w:t>
                  </w:r>
                  <w:r>
                    <w:rPr>
                      <w:rFonts w:ascii="仿宋" w:hAnsi="仿宋" w:cs="仿宋" w:eastAsia="仿宋"/>
                      <w:sz w:val="28"/>
                      <w:color w:val="000000"/>
                    </w:rPr>
                    <w:t>≥6000页，彩色打印量≥7000页，适用于佳能G2810、1810打印机，各原装品牌四色墨盒，A4幅面5%覆盖率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黑色打印量</w:t>
                  </w:r>
                  <w:r>
                    <w:rPr>
                      <w:rFonts w:ascii="仿宋" w:hAnsi="仿宋" w:cs="仿宋" w:eastAsia="仿宋"/>
                      <w:sz w:val="28"/>
                      <w:color w:val="000000"/>
                    </w:rPr>
                    <w:t>≥3000页，彩色打印量≥5400页，适用于爱普生L805打印机，各原装品牌六色墨盒，A4幅面5%覆盖率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≥480页，适用于惠普2648、4648打印机，各原装品牌黑色墨盒，A4幅面5%覆盖率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打印量</w:t>
                  </w:r>
                  <w:r>
                    <w:rPr>
                      <w:rFonts w:ascii="仿宋" w:hAnsi="仿宋" w:cs="仿宋" w:eastAsia="仿宋"/>
                      <w:sz w:val="28"/>
                      <w:color w:val="000000"/>
                    </w:rPr>
                    <w:t>≥150页，适用于惠普2648、4648打印机，各原装品牌彩色墨盒，A4幅面5%覆盖率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墨盒</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黑色打印量</w:t>
                  </w:r>
                  <w:r>
                    <w:rPr>
                      <w:rFonts w:ascii="仿宋" w:hAnsi="仿宋" w:cs="仿宋" w:eastAsia="仿宋"/>
                      <w:sz w:val="28"/>
                      <w:color w:val="000000"/>
                    </w:rPr>
                    <w:t>≥120页，彩色打印量≥100页，适用于惠普1210、1212打印机，各原装品牌黑+彩墨盒，A4幅面5%覆盖率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定影器</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适用于兄弟</w:t>
                  </w:r>
                  <w:r>
                    <w:rPr>
                      <w:rFonts w:ascii="仿宋" w:hAnsi="仿宋" w:cs="仿宋" w:eastAsia="仿宋"/>
                      <w:sz w:val="28"/>
                      <w:color w:val="000000"/>
                    </w:rPr>
                    <w:t>Brother HL2240D打印机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搓纸轮</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适用于理光</w:t>
                  </w:r>
                  <w:r>
                    <w:rPr>
                      <w:rFonts w:ascii="仿宋" w:hAnsi="仿宋" w:cs="仿宋" w:eastAsia="仿宋"/>
                      <w:sz w:val="28"/>
                      <w:color w:val="000000"/>
                    </w:rPr>
                    <w:t>DD3344C油印机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搓纸垫</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适用于理光</w:t>
                  </w:r>
                  <w:r>
                    <w:rPr>
                      <w:rFonts w:ascii="仿宋" w:hAnsi="仿宋" w:cs="仿宋" w:eastAsia="仿宋"/>
                      <w:sz w:val="28"/>
                      <w:color w:val="000000"/>
                    </w:rPr>
                    <w:t>DD3344C油印机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110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油印纸</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包</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20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80g/500张，适用于理光DD3344C油印机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111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油墨</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ES型油墨，适用于理光DD3344C油印机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112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版纸</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卷</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color w:val="000000"/>
                    </w:rPr>
                    <w:t>50</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8"/>
                      <w:color w:val="000000"/>
                    </w:rPr>
                    <w:t>ES B4版纸，适用于理光DD3344C油印机</w:t>
                  </w:r>
                </w:p>
              </w:tc>
            </w:tr>
          </w:tbl>
          <w:p/>
        </w:tc>
      </w:tr>
      <w:tr>
        <w:tc>
          <w:tcPr>
            <w:tcW w:type="dxa" w:w="2769"/>
          </w:tcPr>
          <w:p/>
        </w:tc>
        <w:tc>
          <w:tcPr>
            <w:tcW w:type="dxa" w:w="2769"/>
          </w:tcPr>
          <w:p>
            <w:pPr>
              <w:pStyle w:val="null3"/>
            </w:pPr>
            <w:r>
              <w:rPr/>
              <w:t>2</w:t>
            </w:r>
          </w:p>
        </w:tc>
        <w:tc>
          <w:tcPr>
            <w:tcW w:type="dxa" w:w="2769"/>
          </w:tcPr>
          <w:p>
            <w:pPr>
              <w:pStyle w:val="null3"/>
              <w:jc w:val="left"/>
            </w:pPr>
            <w:r>
              <w:rPr>
                <w:rFonts w:ascii="仿宋" w:hAnsi="仿宋" w:cs="仿宋" w:eastAsia="仿宋"/>
                <w:sz w:val="28"/>
                <w:b/>
                <w:color w:val="000000"/>
              </w:rPr>
              <w:t>二、服务要求</w:t>
            </w:r>
          </w:p>
          <w:p>
            <w:pPr>
              <w:pStyle w:val="null3"/>
              <w:ind w:firstLine="560"/>
              <w:jc w:val="left"/>
            </w:pPr>
            <w:r>
              <w:rPr>
                <w:rFonts w:ascii="仿宋" w:hAnsi="仿宋" w:cs="仿宋" w:eastAsia="仿宋"/>
                <w:sz w:val="28"/>
                <w:color w:val="000000"/>
              </w:rPr>
              <w:t>1.</w:t>
            </w:r>
            <w:r>
              <w:rPr>
                <w:rFonts w:ascii="仿宋" w:hAnsi="仿宋" w:cs="仿宋" w:eastAsia="仿宋"/>
                <w:sz w:val="28"/>
              </w:rPr>
              <w:t>▲</w:t>
            </w:r>
            <w:r>
              <w:rPr>
                <w:rFonts w:ascii="仿宋" w:hAnsi="仿宋" w:cs="仿宋" w:eastAsia="仿宋"/>
                <w:sz w:val="28"/>
                <w:color w:val="000000"/>
              </w:rPr>
              <w:t>投标供应商需保证服务所需产品的稳定。提供质量保证承诺：如果供应商所供产品，不能满足采购人实际需求或存在质量问题，须按采购人要去及时更换，直至满足使用；如在使用过程中因质量问题收到使用部门投诉反馈三次及以上，采购人有权自行采购符合使用要求的产品进行替代，替代产品费用由中标人承担。</w:t>
            </w:r>
          </w:p>
          <w:p>
            <w:pPr>
              <w:pStyle w:val="null3"/>
              <w:ind w:firstLine="560"/>
              <w:jc w:val="left"/>
            </w:pPr>
            <w:r>
              <w:rPr>
                <w:rFonts w:ascii="仿宋" w:hAnsi="仿宋" w:cs="仿宋" w:eastAsia="仿宋"/>
                <w:sz w:val="28"/>
                <w:color w:val="000000"/>
              </w:rPr>
              <w:t>2.</w:t>
            </w:r>
            <w:r>
              <w:rPr>
                <w:rFonts w:ascii="仿宋" w:hAnsi="仿宋" w:cs="仿宋" w:eastAsia="仿宋"/>
                <w:sz w:val="28"/>
              </w:rPr>
              <w:t>▲</w:t>
            </w:r>
            <w:r>
              <w:rPr>
                <w:rFonts w:ascii="仿宋" w:hAnsi="仿宋" w:cs="仿宋" w:eastAsia="仿宋"/>
                <w:sz w:val="28"/>
                <w:color w:val="000000"/>
              </w:rPr>
              <w:t>在本地有库房及充足的库存。</w:t>
            </w:r>
          </w:p>
          <w:p>
            <w:pPr>
              <w:pStyle w:val="null3"/>
              <w:ind w:firstLine="560"/>
              <w:jc w:val="left"/>
            </w:pPr>
            <w:r>
              <w:rPr>
                <w:rFonts w:ascii="仿宋" w:hAnsi="仿宋" w:cs="仿宋" w:eastAsia="仿宋"/>
                <w:sz w:val="28"/>
                <w:color w:val="000000"/>
              </w:rPr>
              <w:t>3.</w:t>
            </w:r>
            <w:r>
              <w:rPr>
                <w:rFonts w:ascii="仿宋" w:hAnsi="仿宋" w:cs="仿宋" w:eastAsia="仿宋"/>
                <w:sz w:val="28"/>
              </w:rPr>
              <w:t>▲</w:t>
            </w:r>
            <w:r>
              <w:rPr>
                <w:rFonts w:ascii="仿宋" w:hAnsi="仿宋" w:cs="仿宋" w:eastAsia="仿宋"/>
                <w:sz w:val="28"/>
                <w:color w:val="000000"/>
              </w:rPr>
              <w:t>投标供应商需</w:t>
            </w:r>
            <w:r>
              <w:rPr>
                <w:rFonts w:ascii="仿宋" w:hAnsi="仿宋" w:cs="仿宋" w:eastAsia="仿宋"/>
                <w:sz w:val="28"/>
                <w:color w:val="000000"/>
              </w:rPr>
              <w:t>派至少</w:t>
            </w:r>
            <w:r>
              <w:rPr>
                <w:rFonts w:ascii="仿宋" w:hAnsi="仿宋" w:cs="仿宋" w:eastAsia="仿宋"/>
                <w:sz w:val="28"/>
                <w:color w:val="000000"/>
              </w:rPr>
              <w:t>1名本单位具有售后服务能力的专业技术服务人员作为和用户方专门对接的售后服务人员（需满足主院区和西咸院区需求），如该</w:t>
            </w:r>
            <w:r>
              <w:rPr>
                <w:rFonts w:ascii="仿宋" w:hAnsi="仿宋" w:cs="仿宋" w:eastAsia="仿宋"/>
                <w:sz w:val="28"/>
                <w:color w:val="000000"/>
              </w:rPr>
              <w:t>售后服务人员收到使用部门投诉反馈三次及以上，供应商须更换人员，更换人员一天内到位。</w:t>
            </w:r>
          </w:p>
          <w:p>
            <w:pPr>
              <w:pStyle w:val="null3"/>
              <w:ind w:firstLine="560"/>
              <w:jc w:val="left"/>
            </w:pPr>
            <w:r>
              <w:rPr>
                <w:rFonts w:ascii="仿宋" w:hAnsi="仿宋" w:cs="仿宋" w:eastAsia="仿宋"/>
                <w:sz w:val="28"/>
                <w:color w:val="000000"/>
              </w:rPr>
              <w:t>4.</w:t>
            </w:r>
            <w:r>
              <w:rPr>
                <w:rFonts w:ascii="仿宋" w:hAnsi="仿宋" w:cs="仿宋" w:eastAsia="仿宋"/>
                <w:sz w:val="28"/>
              </w:rPr>
              <w:t>▲</w:t>
            </w:r>
            <w:r>
              <w:rPr>
                <w:rFonts w:ascii="仿宋" w:hAnsi="仿宋" w:cs="仿宋" w:eastAsia="仿宋"/>
                <w:sz w:val="28"/>
                <w:color w:val="000000"/>
              </w:rPr>
              <w:t>服务响应时间：接到院方电话后，要求</w:t>
            </w:r>
            <w:r>
              <w:rPr>
                <w:rFonts w:ascii="仿宋" w:hAnsi="仿宋" w:cs="仿宋" w:eastAsia="仿宋"/>
                <w:sz w:val="28"/>
                <w:color w:val="000000"/>
              </w:rPr>
              <w:t>10分钟内做出行动响应，30分钟内到达用户现场解决问题</w:t>
            </w:r>
            <w:r>
              <w:rPr>
                <w:rFonts w:ascii="仿宋" w:hAnsi="仿宋" w:cs="仿宋" w:eastAsia="仿宋"/>
                <w:sz w:val="28"/>
                <w:color w:val="000000"/>
              </w:rPr>
              <w:t>。</w:t>
            </w:r>
            <w:r>
              <w:rPr>
                <w:rFonts w:ascii="仿宋" w:hAnsi="仿宋" w:cs="仿宋" w:eastAsia="仿宋"/>
                <w:sz w:val="28"/>
                <w:color w:val="000000"/>
              </w:rPr>
              <w:t>修复时间</w:t>
            </w:r>
            <w:r>
              <w:rPr>
                <w:rFonts w:ascii="仿宋" w:hAnsi="仿宋" w:cs="仿宋" w:eastAsia="仿宋"/>
                <w:sz w:val="28"/>
                <w:color w:val="000000"/>
              </w:rPr>
              <w:t>2</w:t>
            </w:r>
            <w:r>
              <w:rPr>
                <w:rFonts w:ascii="仿宋" w:hAnsi="仿宋" w:cs="仿宋" w:eastAsia="仿宋"/>
                <w:sz w:val="28"/>
                <w:color w:val="000000"/>
              </w:rPr>
              <w:t xml:space="preserve"> </w:t>
            </w:r>
            <w:r>
              <w:rPr>
                <w:rFonts w:ascii="仿宋" w:hAnsi="仿宋" w:cs="仿宋" w:eastAsia="仿宋"/>
                <w:sz w:val="28"/>
                <w:color w:val="000000"/>
              </w:rPr>
              <w:t>小时内解决；如在</w:t>
            </w:r>
            <w:r>
              <w:rPr>
                <w:rFonts w:ascii="仿宋" w:hAnsi="仿宋" w:cs="仿宋" w:eastAsia="仿宋"/>
                <w:sz w:val="28"/>
                <w:color w:val="000000"/>
              </w:rPr>
              <w:t>2</w:t>
            </w:r>
            <w:r>
              <w:rPr>
                <w:rFonts w:ascii="仿宋" w:hAnsi="仿宋" w:cs="仿宋" w:eastAsia="仿宋"/>
                <w:sz w:val="28"/>
                <w:color w:val="000000"/>
              </w:rPr>
              <w:t>小时内无法修复，则提供部件冗余服务或采取应急措施，提供相同产品或不低于故障产品规格档次的备用产品供采购人使用，以确保货物的正常使用。</w:t>
            </w:r>
          </w:p>
          <w:p>
            <w:pPr>
              <w:pStyle w:val="null3"/>
              <w:ind w:firstLine="562"/>
              <w:jc w:val="both"/>
            </w:pPr>
            <w:r>
              <w:rPr>
                <w:rFonts w:ascii="仿宋" w:hAnsi="仿宋" w:cs="仿宋" w:eastAsia="仿宋"/>
                <w:sz w:val="28"/>
                <w:b/>
              </w:rPr>
              <w:t>备注：</w:t>
            </w:r>
            <w:r>
              <w:rPr>
                <w:rFonts w:ascii="仿宋" w:hAnsi="仿宋" w:cs="仿宋" w:eastAsia="仿宋"/>
                <w:sz w:val="28"/>
                <w:b/>
              </w:rPr>
              <w:t>“</w:t>
            </w:r>
            <w:r>
              <w:rPr>
                <w:rFonts w:ascii="仿宋" w:hAnsi="仿宋" w:cs="仿宋" w:eastAsia="仿宋"/>
                <w:sz w:val="28"/>
              </w:rPr>
              <w:t>▲</w:t>
            </w:r>
            <w:r>
              <w:rPr>
                <w:rFonts w:ascii="仿宋" w:hAnsi="仿宋" w:cs="仿宋" w:eastAsia="仿宋"/>
                <w:sz w:val="28"/>
                <w:b/>
              </w:rPr>
              <w:t>”内容项为重要要求，投标人未达到要求或未响应将影响评分。</w:t>
            </w:r>
          </w:p>
          <w:p>
            <w:pPr>
              <w:pStyle w:val="null3"/>
              <w:jc w:val="both"/>
            </w:pPr>
            <w:r>
              <w:rPr>
                <w:rFonts w:ascii="仿宋" w:hAnsi="仿宋" w:cs="仿宋" w:eastAsia="仿宋"/>
                <w:sz w:val="28"/>
                <w:b/>
              </w:rPr>
              <w:t>三、商务要求</w:t>
            </w:r>
          </w:p>
          <w:p>
            <w:pPr>
              <w:pStyle w:val="null3"/>
              <w:jc w:val="both"/>
            </w:pPr>
            <w:r>
              <w:rPr>
                <w:rFonts w:ascii="仿宋" w:hAnsi="仿宋" w:cs="仿宋" w:eastAsia="仿宋"/>
                <w:sz w:val="28"/>
                <w:color w:val="000000"/>
              </w:rPr>
              <w:t>1、交货期：按甲方需求时间分批次供货，每次自接到订单之日起4小时内。</w:t>
            </w:r>
          </w:p>
          <w:p>
            <w:pPr>
              <w:pStyle w:val="null3"/>
              <w:jc w:val="both"/>
            </w:pPr>
            <w:r>
              <w:rPr>
                <w:rFonts w:ascii="仿宋" w:hAnsi="仿宋" w:cs="仿宋" w:eastAsia="仿宋"/>
                <w:sz w:val="28"/>
                <w:color w:val="000000"/>
              </w:rPr>
              <w:t>2、结算方式：根据实际供货量据实结算，每两个月结算一次货款。直至完成合同总价。</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按甲方需求时间分批次供货，每次自接到订单之日起4小时内。</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根据实际供货量据实结算，每两个月结算一次货款。直至完成合同总价。</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验收合格通过之日起1年</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按甲方需求时间分批次供货，每次自接到订单之日起4小时</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验收合格通过之日起1年</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根据实际供货量据实结算，每两个月结算一次货款。直至完成合同总价。</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 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商务偏离表 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产品技术参数和服务要求完全满足招标文件采购内容及技术要求中所有要求的，得25分；技术参数和服务要求中标“▲”项（9项）有一项不满足扣2分，技术参数和服务要求中未标“▲”项有一项不满足扣1分，扣完为止。 注：1、技术参数中标“▲”条款须提供相应佐证材料，不限于第三方检测报告或厂家检测报告或产品彩页等相关证明资料及投标产品的技术参数偏离表；（所提供的资料需清晰，并罗列清楚对应清单产品及序号） 2、服务要求中标“▲”条款须提供相应佐证材料（承诺及相关证明材料）； 3、投标供应商自行承担因提供相关证明材料不足、不清晰等问题而导致被视为参数负偏离的风险。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渠道来源</w:t>
            </w:r>
          </w:p>
        </w:tc>
        <w:tc>
          <w:tcPr>
            <w:tcW w:type="dxa" w:w="2492"/>
          </w:tcPr>
          <w:p>
            <w:pPr>
              <w:pStyle w:val="null3"/>
            </w:pPr>
            <w:r>
              <w:rPr/>
              <w:t>提供技术参数列表中标“▲”项（共5项）产品的合法来源渠道证明文件（不限于制造商厂家授权、销售协议或代理协议等），提供一个产品的得1分，满分5分。 注：按照所投产品提供相应的证明材料并加盖投标人公章。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规格、技术参数偏离表</w:t>
            </w:r>
          </w:p>
          <w:p>
            <w:pPr>
              <w:pStyle w:val="null3"/>
            </w:pPr>
            <w:r>
              <w:rPr/>
              <w:t>技术方案，人员及售后</w:t>
            </w:r>
          </w:p>
        </w:tc>
      </w:tr>
      <w:tr>
        <w:tc>
          <w:tcPr>
            <w:tcW w:type="dxa" w:w="831"/>
            <w:vMerge/>
          </w:tcPr>
          <w:p/>
        </w:tc>
        <w:tc>
          <w:tcPr>
            <w:tcW w:type="dxa" w:w="1661"/>
          </w:tcPr>
          <w:p>
            <w:pPr>
              <w:pStyle w:val="null3"/>
            </w:pPr>
            <w:r>
              <w:rPr/>
              <w:t>品质保证</w:t>
            </w:r>
          </w:p>
        </w:tc>
        <w:tc>
          <w:tcPr>
            <w:tcW w:type="dxa" w:w="2492"/>
          </w:tcPr>
          <w:p>
            <w:pPr>
              <w:pStyle w:val="null3"/>
            </w:pPr>
            <w:r>
              <w:rPr/>
              <w:t>根据各投标人所投标品牌、型号、技术规格描述是否明确，选型是否合理，存储库房环境是否适合产品存放。提供相关证明材料及质量保证承诺。 1、证明材料完善，产品品牌型号、技术规格明确，选型合理，库房环境完全符合存放要求，有质量保证承诺。得8分; 2、证明材料基本完善，产品品牌型号、技术规格明确，选型较合理，库房环境基本符合存放要求，有质量保证承诺。得6分; 3、证明材料简单，产品品牌型号、技术规格明确，选型基本合理，库房环境基本符合存放要求，有质量保证承诺。得4分； 4、证明材料有缺失，产品品牌型号、技术规格不明确，库房环境无法满足存放要求，质量保证承诺欠缺。得2分。未提供不得分。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技术方案，人员及售后</w:t>
            </w:r>
          </w:p>
        </w:tc>
      </w:tr>
      <w:tr>
        <w:tc>
          <w:tcPr>
            <w:tcW w:type="dxa" w:w="831"/>
            <w:vMerge/>
          </w:tcPr>
          <w:p/>
        </w:tc>
        <w:tc>
          <w:tcPr>
            <w:tcW w:type="dxa" w:w="1661"/>
          </w:tcPr>
          <w:p>
            <w:pPr>
              <w:pStyle w:val="null3"/>
            </w:pPr>
            <w:r>
              <w:rPr/>
              <w:t>实施方案</w:t>
            </w:r>
          </w:p>
        </w:tc>
        <w:tc>
          <w:tcPr>
            <w:tcW w:type="dxa" w:w="2492"/>
          </w:tcPr>
          <w:p>
            <w:pPr>
              <w:pStyle w:val="null3"/>
            </w:pPr>
            <w:r>
              <w:rPr/>
              <w:t>针对本项目有详细可行整体实施方案，包括但不限于：1、供货组织安排及进度计划安排；2、维保方案；3、物力调配、运输及应急保障措施；4、硒鼓、粉盒维修及换粉服务方案等，方案各项内容全面详细、阐述条理清晰、技术先进、功能配置合理，能有效保障本项目实施得8分，每有一项缺项扣2分，每有一处内容存在缺陷，扣1分，扣完为止。 备注：缺陷是指内容不合理、虽有内容但不完善、内容表述前后不一致、不符合科学事实、套用其他项目方案或与项目需求不匹配及其他不利于项目实施的等任意一种情形。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技术方案，人员及售后</w:t>
            </w:r>
          </w:p>
        </w:tc>
      </w:tr>
      <w:tr>
        <w:tc>
          <w:tcPr>
            <w:tcW w:type="dxa" w:w="831"/>
            <w:vMerge/>
          </w:tcPr>
          <w:p/>
        </w:tc>
        <w:tc>
          <w:tcPr>
            <w:tcW w:type="dxa" w:w="1661"/>
          </w:tcPr>
          <w:p>
            <w:pPr>
              <w:pStyle w:val="null3"/>
            </w:pPr>
            <w:r>
              <w:rPr/>
              <w:t>人员保障</w:t>
            </w:r>
          </w:p>
        </w:tc>
        <w:tc>
          <w:tcPr>
            <w:tcW w:type="dxa" w:w="2492"/>
          </w:tcPr>
          <w:p>
            <w:pPr>
              <w:pStyle w:val="null3"/>
            </w:pPr>
            <w:r>
              <w:rPr/>
              <w:t>提供针对本项目拟定的管理机构、工作职能组织运行图、岗位职责制度等（2分）： 1、具有完整的组织机构，人员保障措施分工合理、职责明确，各项管理制度健全，能够确保项目顺利实施。得2分。 2、组织机构单一，人员保障措施及分工职责无针对性，管理制度简单。得1分。未提供不得分。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技术方案，人员及售后</w:t>
            </w:r>
          </w:p>
        </w:tc>
      </w:tr>
      <w:tr>
        <w:tc>
          <w:tcPr>
            <w:tcW w:type="dxa" w:w="831"/>
            <w:vMerge/>
          </w:tcPr>
          <w:p/>
        </w:tc>
        <w:tc>
          <w:tcPr>
            <w:tcW w:type="dxa" w:w="1661"/>
          </w:tcPr>
          <w:p>
            <w:pPr>
              <w:pStyle w:val="null3"/>
            </w:pPr>
            <w:r>
              <w:rPr/>
              <w:t>售后服务</w:t>
            </w:r>
          </w:p>
        </w:tc>
        <w:tc>
          <w:tcPr>
            <w:tcW w:type="dxa" w:w="2492"/>
          </w:tcPr>
          <w:p>
            <w:pPr>
              <w:pStyle w:val="null3"/>
            </w:pPr>
            <w:r>
              <w:rPr/>
              <w:t>根据各供应商针对本项目的售后服务方案，包括但不限于：1、接到甲方通知后的服务响应措施；2、售后服务承诺、保证措施；3、耗材储备情况等。方案各项内容全面详细、阐述条理清晰、能有效保障本项目实施得6分，每有一项缺项扣2分，每有一处内容存在缺陷，扣1分，扣完为止。 备注：缺陷是指内容不合理、虽有内容但不完善、内容表述前后不一致、不符合科学事实、套用其他项目方案或与项目需求不匹配及其他不利于项目实施的等任意一种情形。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技术方案，人员及售后</w:t>
            </w:r>
          </w:p>
        </w:tc>
      </w:tr>
      <w:tr>
        <w:tc>
          <w:tcPr>
            <w:tcW w:type="dxa" w:w="831"/>
            <w:vMerge/>
          </w:tcPr>
          <w:p/>
        </w:tc>
        <w:tc>
          <w:tcPr>
            <w:tcW w:type="dxa" w:w="1661"/>
          </w:tcPr>
          <w:p>
            <w:pPr>
              <w:pStyle w:val="null3"/>
            </w:pPr>
            <w:r>
              <w:rPr/>
              <w:t>业绩</w:t>
            </w:r>
          </w:p>
        </w:tc>
        <w:tc>
          <w:tcPr>
            <w:tcW w:type="dxa" w:w="2492"/>
          </w:tcPr>
          <w:p>
            <w:pPr>
              <w:pStyle w:val="null3"/>
            </w:pPr>
            <w:r>
              <w:rPr/>
              <w:t>提供 2021年1月1日至今同类项目业绩（以合同签订日期为准，并加盖供应商公章的合同关键页复印件及发票复印件为计分依据），每份合格业绩合同得1分，满分6分。 注：业绩需提供项目合同关键页复印件及发票复印件作为证明材料（在投标文件中附有加盖供应商公章的复印件），以上两种证明材料同时提供方可得分，否则不得分。(发票可提供合同期内任意一张及以上即可）</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1、经初审合格的投标文件，通过符合性审查的投标报价为有效投标价。对符合政策性扣减的有效投标报价进行政策性扣减，并依据扣减后的价格（评审价格）进行价格评审。 2、有效最低报价为基准价得40分。 3、按（有效最低报价/有效投标报价）×40 的公式计算报价得分。 4、投标报价不完整的，不进入评标基准价的计算，本项得0分。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详见附件：技术方案，人员及售后</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